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94676" w14:textId="1C2E79E3" w:rsidR="00F3353C" w:rsidRPr="00114346" w:rsidRDefault="00F3353C" w:rsidP="00F3353C">
      <w:pPr>
        <w:spacing w:after="40"/>
        <w:jc w:val="center"/>
        <w:rPr>
          <w:rFonts w:asciiTheme="minorHAnsi" w:hAnsiTheme="minorHAnsi"/>
          <w:b/>
          <w:color w:val="FF0000"/>
        </w:rPr>
      </w:pPr>
      <w:bookmarkStart w:id="0" w:name="_GoBack"/>
      <w:bookmarkEnd w:id="0"/>
      <w:r>
        <w:rPr>
          <w:rFonts w:asciiTheme="minorHAnsi" w:hAnsiTheme="minorHAnsi"/>
          <w:b/>
          <w:noProof/>
          <w:color w:val="FF0000"/>
          <w:lang w:val="en-IE" w:eastAsia="en-IE"/>
        </w:rPr>
        <w:drawing>
          <wp:inline distT="0" distB="0" distL="0" distR="0" wp14:anchorId="2068F374" wp14:editId="75505DE3">
            <wp:extent cx="1646063" cy="35817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F43F0.tmp"/>
                    <pic:cNvPicPr/>
                  </pic:nvPicPr>
                  <pic:blipFill>
                    <a:blip r:embed="rId11">
                      <a:extLst>
                        <a:ext uri="{28A0092B-C50C-407E-A947-70E740481C1C}">
                          <a14:useLocalDpi xmlns:a14="http://schemas.microsoft.com/office/drawing/2010/main" val="0"/>
                        </a:ext>
                      </a:extLst>
                    </a:blip>
                    <a:stretch>
                      <a:fillRect/>
                    </a:stretch>
                  </pic:blipFill>
                  <pic:spPr>
                    <a:xfrm>
                      <a:off x="0" y="0"/>
                      <a:ext cx="1646063" cy="358171"/>
                    </a:xfrm>
                    <a:prstGeom prst="rect">
                      <a:avLst/>
                    </a:prstGeom>
                  </pic:spPr>
                </pic:pic>
              </a:graphicData>
            </a:graphic>
          </wp:inline>
        </w:drawing>
      </w:r>
    </w:p>
    <w:p w14:paraId="7350DEA7" w14:textId="47A7DE73" w:rsidR="00F3353C" w:rsidRPr="00A3140A" w:rsidRDefault="00F3353C" w:rsidP="00F3353C">
      <w:pPr>
        <w:spacing w:after="40"/>
        <w:jc w:val="right"/>
        <w:rPr>
          <w:rFonts w:asciiTheme="minorHAnsi" w:hAnsiTheme="minorHAnsi"/>
          <w:b/>
          <w:sz w:val="22"/>
          <w:szCs w:val="22"/>
        </w:rPr>
      </w:pPr>
      <w:r>
        <w:rPr>
          <w:rFonts w:asciiTheme="minorHAnsi" w:hAnsiTheme="minorHAnsi"/>
          <w:b/>
          <w:sz w:val="22"/>
          <w:szCs w:val="22"/>
        </w:rPr>
        <w:t>2</w:t>
      </w:r>
      <w:r w:rsidRPr="00A3140A">
        <w:rPr>
          <w:rFonts w:asciiTheme="minorHAnsi" w:hAnsiTheme="minorHAnsi"/>
          <w:b/>
          <w:sz w:val="22"/>
          <w:szCs w:val="22"/>
        </w:rPr>
        <w:t xml:space="preserve">7 </w:t>
      </w:r>
      <w:r>
        <w:rPr>
          <w:rFonts w:asciiTheme="minorHAnsi" w:hAnsiTheme="minorHAnsi"/>
          <w:b/>
          <w:sz w:val="22"/>
          <w:szCs w:val="22"/>
        </w:rPr>
        <w:t>February 2020</w:t>
      </w:r>
    </w:p>
    <w:p w14:paraId="007A98F2" w14:textId="0EBFE6B9" w:rsidR="00F3353C" w:rsidRPr="00A97C64" w:rsidRDefault="00F3353C" w:rsidP="00F3353C">
      <w:pPr>
        <w:spacing w:after="80"/>
        <w:jc w:val="center"/>
        <w:rPr>
          <w:rFonts w:asciiTheme="minorHAnsi" w:hAnsiTheme="minorHAnsi"/>
          <w:b/>
          <w:sz w:val="22"/>
          <w:szCs w:val="22"/>
        </w:rPr>
      </w:pPr>
      <w:r w:rsidRPr="00A3140A">
        <w:rPr>
          <w:rFonts w:asciiTheme="minorHAnsi" w:hAnsiTheme="minorHAnsi"/>
          <w:b/>
          <w:sz w:val="22"/>
          <w:szCs w:val="22"/>
        </w:rPr>
        <w:t>Flutter Entertainment p</w:t>
      </w:r>
      <w:r>
        <w:rPr>
          <w:rFonts w:asciiTheme="minorHAnsi" w:hAnsiTheme="minorHAnsi"/>
          <w:b/>
          <w:sz w:val="22"/>
          <w:szCs w:val="22"/>
        </w:rPr>
        <w:t>l</w:t>
      </w:r>
      <w:r w:rsidRPr="00A3140A">
        <w:rPr>
          <w:rFonts w:asciiTheme="minorHAnsi" w:hAnsiTheme="minorHAnsi"/>
          <w:b/>
          <w:sz w:val="22"/>
          <w:szCs w:val="22"/>
        </w:rPr>
        <w:t xml:space="preserve">c - 2019 </w:t>
      </w:r>
      <w:r w:rsidR="00516D61">
        <w:rPr>
          <w:rFonts w:asciiTheme="minorHAnsi" w:hAnsiTheme="minorHAnsi"/>
          <w:b/>
          <w:sz w:val="22"/>
          <w:szCs w:val="22"/>
        </w:rPr>
        <w:t xml:space="preserve">Preliminary </w:t>
      </w:r>
      <w:r w:rsidRPr="00A97C64">
        <w:rPr>
          <w:rFonts w:asciiTheme="minorHAnsi" w:hAnsiTheme="minorHAnsi"/>
          <w:b/>
          <w:sz w:val="22"/>
          <w:szCs w:val="22"/>
        </w:rPr>
        <w:t>Results</w:t>
      </w:r>
    </w:p>
    <w:p w14:paraId="022DFF1C" w14:textId="405EF080" w:rsidR="00B60210" w:rsidRDefault="004070FF" w:rsidP="00B60210">
      <w:pPr>
        <w:spacing w:after="120"/>
        <w:jc w:val="center"/>
        <w:rPr>
          <w:rFonts w:cstheme="minorHAnsi"/>
          <w:b/>
        </w:rPr>
      </w:pPr>
      <w:r w:rsidRPr="004070FF">
        <w:rPr>
          <w:rFonts w:asciiTheme="minorHAnsi" w:hAnsiTheme="minorHAnsi" w:cstheme="minorHAnsi"/>
          <w:b/>
          <w:sz w:val="22"/>
          <w:szCs w:val="22"/>
        </w:rPr>
        <w:t xml:space="preserve">Flutter </w:t>
      </w:r>
      <w:r w:rsidR="00B60210" w:rsidRPr="004070FF">
        <w:rPr>
          <w:rFonts w:asciiTheme="minorHAnsi" w:hAnsiTheme="minorHAnsi" w:cstheme="minorHAnsi"/>
          <w:b/>
          <w:sz w:val="22"/>
          <w:szCs w:val="22"/>
        </w:rPr>
        <w:t xml:space="preserve">online growth of 18%; FanDuel biggest </w:t>
      </w:r>
      <w:r w:rsidR="00E62573" w:rsidRPr="004070FF">
        <w:rPr>
          <w:rFonts w:asciiTheme="minorHAnsi" w:hAnsiTheme="minorHAnsi" w:cstheme="minorHAnsi"/>
          <w:b/>
          <w:sz w:val="22"/>
          <w:szCs w:val="22"/>
        </w:rPr>
        <w:t>US</w:t>
      </w:r>
      <w:r w:rsidR="007B7AC5" w:rsidRPr="004070FF">
        <w:rPr>
          <w:rFonts w:asciiTheme="minorHAnsi" w:hAnsiTheme="minorHAnsi" w:cstheme="minorHAnsi"/>
          <w:b/>
          <w:sz w:val="22"/>
          <w:szCs w:val="22"/>
        </w:rPr>
        <w:t xml:space="preserve"> </w:t>
      </w:r>
      <w:r w:rsidR="00F77741" w:rsidRPr="004070FF">
        <w:rPr>
          <w:rFonts w:asciiTheme="minorHAnsi" w:hAnsiTheme="minorHAnsi" w:cstheme="minorHAnsi"/>
          <w:b/>
          <w:sz w:val="22"/>
          <w:szCs w:val="22"/>
        </w:rPr>
        <w:t xml:space="preserve">online </w:t>
      </w:r>
      <w:r w:rsidR="00B60210" w:rsidRPr="004070FF">
        <w:rPr>
          <w:rFonts w:asciiTheme="minorHAnsi" w:hAnsiTheme="minorHAnsi" w:cstheme="minorHAnsi"/>
          <w:b/>
          <w:sz w:val="22"/>
          <w:szCs w:val="22"/>
        </w:rPr>
        <w:t xml:space="preserve">sportsbook </w:t>
      </w:r>
      <w:r w:rsidR="00E62573" w:rsidRPr="004070FF">
        <w:rPr>
          <w:rFonts w:asciiTheme="minorHAnsi" w:hAnsiTheme="minorHAnsi" w:cstheme="minorHAnsi"/>
          <w:b/>
          <w:sz w:val="22"/>
          <w:szCs w:val="22"/>
        </w:rPr>
        <w:t>and casino</w:t>
      </w:r>
    </w:p>
    <w:p w14:paraId="0800C3EC" w14:textId="18229800" w:rsidR="00F3353C" w:rsidRPr="00547D2E" w:rsidRDefault="00F3353C" w:rsidP="00F3353C">
      <w:pPr>
        <w:spacing w:after="120"/>
        <w:jc w:val="both"/>
        <w:rPr>
          <w:rFonts w:asciiTheme="minorHAnsi" w:hAnsiTheme="minorHAnsi"/>
          <w:sz w:val="21"/>
          <w:szCs w:val="21"/>
        </w:rPr>
      </w:pPr>
      <w:r w:rsidRPr="00A97C64">
        <w:rPr>
          <w:rFonts w:asciiTheme="minorHAnsi" w:hAnsiTheme="minorHAnsi"/>
          <w:sz w:val="21"/>
          <w:szCs w:val="21"/>
        </w:rPr>
        <w:t xml:space="preserve">Flutter Entertainment plc (the “Group”) announces </w:t>
      </w:r>
      <w:r>
        <w:rPr>
          <w:rFonts w:asciiTheme="minorHAnsi" w:hAnsiTheme="minorHAnsi"/>
          <w:sz w:val="21"/>
          <w:szCs w:val="21"/>
        </w:rPr>
        <w:t>preliminary</w:t>
      </w:r>
      <w:r w:rsidRPr="00A97C64">
        <w:rPr>
          <w:rFonts w:asciiTheme="minorHAnsi" w:hAnsiTheme="minorHAnsi"/>
          <w:sz w:val="21"/>
          <w:szCs w:val="21"/>
        </w:rPr>
        <w:t xml:space="preserve"> results for the </w:t>
      </w:r>
      <w:r>
        <w:rPr>
          <w:rFonts w:asciiTheme="minorHAnsi" w:hAnsiTheme="minorHAnsi"/>
          <w:sz w:val="21"/>
          <w:szCs w:val="21"/>
        </w:rPr>
        <w:t>year</w:t>
      </w:r>
      <w:r w:rsidRPr="00A3140A">
        <w:rPr>
          <w:rFonts w:asciiTheme="minorHAnsi" w:hAnsiTheme="minorHAnsi"/>
          <w:sz w:val="21"/>
          <w:szCs w:val="21"/>
        </w:rPr>
        <w:t xml:space="preserve"> ended </w:t>
      </w:r>
      <w:r>
        <w:rPr>
          <w:rFonts w:asciiTheme="minorHAnsi" w:hAnsiTheme="minorHAnsi"/>
          <w:sz w:val="21"/>
          <w:szCs w:val="21"/>
        </w:rPr>
        <w:t>31 December 2019</w:t>
      </w: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3448"/>
        <w:gridCol w:w="1655"/>
        <w:gridCol w:w="993"/>
        <w:gridCol w:w="1134"/>
        <w:gridCol w:w="1134"/>
        <w:gridCol w:w="1275"/>
      </w:tblGrid>
      <w:tr w:rsidR="00E877C8" w:rsidRPr="00926ECB" w14:paraId="21985BFE" w14:textId="69351C75" w:rsidTr="008B26ED">
        <w:trPr>
          <w:trHeight w:val="431"/>
        </w:trPr>
        <w:tc>
          <w:tcPr>
            <w:tcW w:w="3448" w:type="dxa"/>
            <w:tcBorders>
              <w:top w:val="single" w:sz="4" w:space="0" w:color="auto"/>
              <w:bottom w:val="single" w:sz="4" w:space="0" w:color="auto"/>
            </w:tcBorders>
          </w:tcPr>
          <w:p w14:paraId="408EE91E"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Fonts w:asciiTheme="minorHAnsi" w:hAnsiTheme="minorHAnsi"/>
                <w:b/>
                <w:sz w:val="22"/>
              </w:rPr>
            </w:pPr>
            <w:r w:rsidRPr="00E877C8">
              <w:rPr>
                <w:rFonts w:asciiTheme="minorHAnsi" w:hAnsiTheme="minorHAnsi"/>
                <w:b/>
                <w:sz w:val="22"/>
              </w:rPr>
              <w:t>£m</w:t>
            </w:r>
          </w:p>
          <w:p w14:paraId="45920C46"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i/>
                <w:sz w:val="22"/>
              </w:rPr>
            </w:pPr>
          </w:p>
        </w:tc>
        <w:tc>
          <w:tcPr>
            <w:tcW w:w="2648" w:type="dxa"/>
            <w:gridSpan w:val="2"/>
            <w:tcBorders>
              <w:top w:val="single" w:sz="4" w:space="0" w:color="auto"/>
              <w:bottom w:val="single" w:sz="4" w:space="0" w:color="auto"/>
            </w:tcBorders>
            <w:shd w:val="clear" w:color="auto" w:fill="auto"/>
          </w:tcPr>
          <w:p w14:paraId="1607AD6C"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p>
          <w:p w14:paraId="4B8F9D25"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p>
          <w:p w14:paraId="2BB9F772"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p>
          <w:p w14:paraId="0EEDB43F" w14:textId="5F8C7D90"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r w:rsidRPr="00E877C8">
              <w:rPr>
                <w:rFonts w:asciiTheme="minorHAnsi" w:hAnsiTheme="minorHAnsi"/>
                <w:b/>
                <w:sz w:val="22"/>
              </w:rPr>
              <w:t xml:space="preserve">2019 </w:t>
            </w:r>
          </w:p>
          <w:p w14:paraId="50288E0E" w14:textId="46C71B01"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r w:rsidRPr="00E877C8">
              <w:rPr>
                <w:rFonts w:asciiTheme="minorHAnsi" w:hAnsiTheme="minorHAnsi"/>
                <w:b/>
                <w:sz w:val="22"/>
              </w:rPr>
              <w:t>£m</w:t>
            </w:r>
          </w:p>
        </w:tc>
        <w:tc>
          <w:tcPr>
            <w:tcW w:w="1134" w:type="dxa"/>
            <w:tcBorders>
              <w:top w:val="single" w:sz="4" w:space="0" w:color="auto"/>
              <w:bottom w:val="single" w:sz="4" w:space="0" w:color="auto"/>
            </w:tcBorders>
            <w:shd w:val="clear" w:color="auto" w:fill="auto"/>
          </w:tcPr>
          <w:p w14:paraId="61C83E93"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r w:rsidRPr="00E877C8">
              <w:rPr>
                <w:rFonts w:asciiTheme="minorHAnsi" w:hAnsiTheme="minorHAnsi"/>
                <w:b/>
                <w:sz w:val="22"/>
              </w:rPr>
              <w:t xml:space="preserve"> </w:t>
            </w:r>
          </w:p>
          <w:p w14:paraId="02FB3DA1"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p>
          <w:p w14:paraId="4569DED1"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p>
          <w:p w14:paraId="3EDE9FA1" w14:textId="7B77FE76"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r w:rsidRPr="00E877C8">
              <w:rPr>
                <w:rFonts w:asciiTheme="minorHAnsi" w:hAnsiTheme="minorHAnsi"/>
                <w:b/>
                <w:sz w:val="22"/>
              </w:rPr>
              <w:t>2018</w:t>
            </w:r>
          </w:p>
          <w:p w14:paraId="7D9EB695" w14:textId="503B8C5F"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r w:rsidRPr="00E877C8">
              <w:rPr>
                <w:rFonts w:asciiTheme="minorHAnsi" w:hAnsiTheme="minorHAnsi"/>
                <w:b/>
                <w:sz w:val="22"/>
              </w:rPr>
              <w:t>£m</w:t>
            </w:r>
          </w:p>
        </w:tc>
        <w:tc>
          <w:tcPr>
            <w:tcW w:w="1134" w:type="dxa"/>
            <w:tcBorders>
              <w:top w:val="single" w:sz="4" w:space="0" w:color="auto"/>
              <w:bottom w:val="single" w:sz="4" w:space="0" w:color="auto"/>
            </w:tcBorders>
          </w:tcPr>
          <w:p w14:paraId="5626C0A5"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p>
          <w:p w14:paraId="0FE64242"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p>
          <w:p w14:paraId="049A2851"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p>
          <w:p w14:paraId="68CC871A"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p>
          <w:p w14:paraId="4CCF5CD4" w14:textId="2909674C"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r w:rsidRPr="00E877C8">
              <w:rPr>
                <w:rFonts w:asciiTheme="minorHAnsi" w:hAnsiTheme="minorHAnsi"/>
                <w:b/>
                <w:sz w:val="22"/>
              </w:rPr>
              <w:t>YoY %</w:t>
            </w:r>
          </w:p>
        </w:tc>
        <w:tc>
          <w:tcPr>
            <w:tcW w:w="1275" w:type="dxa"/>
            <w:tcBorders>
              <w:top w:val="single" w:sz="4" w:space="0" w:color="auto"/>
              <w:bottom w:val="single" w:sz="4" w:space="0" w:color="auto"/>
            </w:tcBorders>
          </w:tcPr>
          <w:p w14:paraId="3591A9C5" w14:textId="048B16C0"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22"/>
              </w:rPr>
            </w:pPr>
            <w:r w:rsidRPr="00E877C8">
              <w:rPr>
                <w:rFonts w:asciiTheme="minorHAnsi" w:hAnsiTheme="minorHAnsi"/>
                <w:b/>
                <w:sz w:val="22"/>
              </w:rPr>
              <w:t>Adjusted for taxes and regulatory changes</w:t>
            </w:r>
            <w:r w:rsidRPr="00E877C8">
              <w:rPr>
                <w:rFonts w:asciiTheme="minorHAnsi" w:hAnsiTheme="minorHAnsi"/>
                <w:b/>
                <w:i/>
                <w:sz w:val="22"/>
                <w:vertAlign w:val="superscript"/>
              </w:rPr>
              <w:t>4</w:t>
            </w:r>
            <w:r w:rsidRPr="00E877C8">
              <w:rPr>
                <w:rFonts w:asciiTheme="minorHAnsi" w:hAnsiTheme="minorHAnsi"/>
                <w:b/>
                <w:sz w:val="22"/>
              </w:rPr>
              <w:t xml:space="preserve"> YoY%</w:t>
            </w:r>
          </w:p>
        </w:tc>
      </w:tr>
      <w:tr w:rsidR="00E877C8" w:rsidRPr="00926ECB" w14:paraId="7F6683A4" w14:textId="302AA84F" w:rsidTr="008B26ED">
        <w:trPr>
          <w:trHeight w:val="70"/>
        </w:trPr>
        <w:tc>
          <w:tcPr>
            <w:tcW w:w="3448" w:type="dxa"/>
            <w:tcBorders>
              <w:top w:val="single" w:sz="4" w:space="0" w:color="auto"/>
              <w:left w:val="single" w:sz="4" w:space="0" w:color="auto"/>
              <w:bottom w:val="nil"/>
              <w:right w:val="nil"/>
            </w:tcBorders>
          </w:tcPr>
          <w:p w14:paraId="6D0DF510"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22"/>
              </w:rPr>
            </w:pPr>
          </w:p>
        </w:tc>
        <w:tc>
          <w:tcPr>
            <w:tcW w:w="2648" w:type="dxa"/>
            <w:gridSpan w:val="2"/>
            <w:tcBorders>
              <w:top w:val="single" w:sz="4" w:space="0" w:color="auto"/>
              <w:left w:val="nil"/>
              <w:bottom w:val="nil"/>
              <w:right w:val="nil"/>
            </w:tcBorders>
            <w:shd w:val="clear" w:color="auto" w:fill="auto"/>
          </w:tcPr>
          <w:p w14:paraId="4B7F6631"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sz w:val="22"/>
              </w:rPr>
            </w:pPr>
          </w:p>
        </w:tc>
        <w:tc>
          <w:tcPr>
            <w:tcW w:w="1134" w:type="dxa"/>
            <w:tcBorders>
              <w:top w:val="single" w:sz="4" w:space="0" w:color="auto"/>
              <w:left w:val="nil"/>
              <w:bottom w:val="nil"/>
              <w:right w:val="nil"/>
            </w:tcBorders>
            <w:shd w:val="clear" w:color="auto" w:fill="auto"/>
          </w:tcPr>
          <w:p w14:paraId="7180378B"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p>
        </w:tc>
        <w:tc>
          <w:tcPr>
            <w:tcW w:w="1134" w:type="dxa"/>
            <w:tcBorders>
              <w:top w:val="single" w:sz="4" w:space="0" w:color="auto"/>
              <w:left w:val="nil"/>
              <w:bottom w:val="nil"/>
              <w:right w:val="nil"/>
            </w:tcBorders>
          </w:tcPr>
          <w:p w14:paraId="5EDFD637"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p>
        </w:tc>
        <w:tc>
          <w:tcPr>
            <w:tcW w:w="1275" w:type="dxa"/>
            <w:tcBorders>
              <w:top w:val="single" w:sz="4" w:space="0" w:color="auto"/>
              <w:left w:val="nil"/>
              <w:bottom w:val="nil"/>
              <w:right w:val="single" w:sz="4" w:space="0" w:color="auto"/>
            </w:tcBorders>
          </w:tcPr>
          <w:p w14:paraId="6F87ABF3" w14:textId="77777777" w:rsidR="00480618" w:rsidRPr="00E877C8" w:rsidRDefault="00480618"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p>
        </w:tc>
      </w:tr>
      <w:tr w:rsidR="00E877C8" w:rsidRPr="00926ECB" w14:paraId="385081D7" w14:textId="42DC6D88" w:rsidTr="008B26ED">
        <w:trPr>
          <w:trHeight w:val="20"/>
        </w:trPr>
        <w:tc>
          <w:tcPr>
            <w:tcW w:w="3448" w:type="dxa"/>
            <w:tcBorders>
              <w:top w:val="nil"/>
              <w:left w:val="single" w:sz="4" w:space="0" w:color="auto"/>
              <w:bottom w:val="nil"/>
              <w:right w:val="nil"/>
            </w:tcBorders>
          </w:tcPr>
          <w:p w14:paraId="1AD53785"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22"/>
              </w:rPr>
            </w:pPr>
            <w:r w:rsidRPr="00E877C8">
              <w:rPr>
                <w:rFonts w:asciiTheme="minorHAnsi" w:hAnsiTheme="minorHAnsi"/>
                <w:sz w:val="22"/>
              </w:rPr>
              <w:t>Revenue</w:t>
            </w:r>
          </w:p>
        </w:tc>
        <w:tc>
          <w:tcPr>
            <w:tcW w:w="2648" w:type="dxa"/>
            <w:gridSpan w:val="2"/>
            <w:tcBorders>
              <w:top w:val="nil"/>
              <w:left w:val="nil"/>
              <w:bottom w:val="nil"/>
              <w:right w:val="nil"/>
            </w:tcBorders>
            <w:shd w:val="clear" w:color="auto" w:fill="auto"/>
          </w:tcPr>
          <w:p w14:paraId="00BFB66C" w14:textId="7348A4D2"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2,140</w:t>
            </w:r>
          </w:p>
        </w:tc>
        <w:tc>
          <w:tcPr>
            <w:tcW w:w="1134" w:type="dxa"/>
            <w:tcBorders>
              <w:top w:val="nil"/>
              <w:left w:val="nil"/>
              <w:bottom w:val="nil"/>
              <w:right w:val="nil"/>
            </w:tcBorders>
            <w:shd w:val="clear" w:color="auto" w:fill="auto"/>
          </w:tcPr>
          <w:p w14:paraId="55C5FD30" w14:textId="1179BA76"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1,873</w:t>
            </w:r>
          </w:p>
        </w:tc>
        <w:tc>
          <w:tcPr>
            <w:tcW w:w="1134" w:type="dxa"/>
            <w:tcBorders>
              <w:top w:val="nil"/>
              <w:left w:val="nil"/>
              <w:bottom w:val="nil"/>
              <w:right w:val="nil"/>
            </w:tcBorders>
          </w:tcPr>
          <w:p w14:paraId="278EFDDF" w14:textId="48625634"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+14%</w:t>
            </w:r>
          </w:p>
        </w:tc>
        <w:tc>
          <w:tcPr>
            <w:tcW w:w="1275" w:type="dxa"/>
            <w:tcBorders>
              <w:top w:val="nil"/>
              <w:left w:val="nil"/>
              <w:bottom w:val="nil"/>
              <w:right w:val="single" w:sz="4" w:space="0" w:color="auto"/>
            </w:tcBorders>
          </w:tcPr>
          <w:p w14:paraId="1D62D5BF" w14:textId="2A1E2674" w:rsidR="00480618" w:rsidRPr="00E877C8" w:rsidRDefault="00BF645B" w:rsidP="000819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w:t>
            </w:r>
            <w:r w:rsidR="006A5143" w:rsidRPr="00E877C8">
              <w:rPr>
                <w:rFonts w:asciiTheme="minorHAnsi" w:hAnsiTheme="minorHAnsi"/>
                <w:sz w:val="22"/>
              </w:rPr>
              <w:t>16</w:t>
            </w:r>
            <w:r w:rsidRPr="00E877C8">
              <w:rPr>
                <w:rFonts w:asciiTheme="minorHAnsi" w:hAnsiTheme="minorHAnsi"/>
                <w:sz w:val="22"/>
              </w:rPr>
              <w:t>%</w:t>
            </w:r>
          </w:p>
        </w:tc>
      </w:tr>
      <w:tr w:rsidR="00E877C8" w:rsidRPr="00926ECB" w14:paraId="7D8E8C81" w14:textId="73AEC3F8" w:rsidTr="008B26ED">
        <w:trPr>
          <w:trHeight w:val="20"/>
        </w:trPr>
        <w:tc>
          <w:tcPr>
            <w:tcW w:w="3448" w:type="dxa"/>
            <w:tcBorders>
              <w:top w:val="nil"/>
              <w:left w:val="single" w:sz="4" w:space="0" w:color="auto"/>
              <w:bottom w:val="nil"/>
              <w:right w:val="nil"/>
            </w:tcBorders>
          </w:tcPr>
          <w:p w14:paraId="0391DC37"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rPr>
            </w:pPr>
          </w:p>
        </w:tc>
        <w:tc>
          <w:tcPr>
            <w:tcW w:w="2648" w:type="dxa"/>
            <w:gridSpan w:val="2"/>
            <w:tcBorders>
              <w:top w:val="nil"/>
              <w:left w:val="nil"/>
              <w:bottom w:val="nil"/>
              <w:right w:val="nil"/>
            </w:tcBorders>
            <w:shd w:val="clear" w:color="auto" w:fill="auto"/>
          </w:tcPr>
          <w:p w14:paraId="0DB9EBEC"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highlight w:val="yellow"/>
              </w:rPr>
            </w:pPr>
          </w:p>
        </w:tc>
        <w:tc>
          <w:tcPr>
            <w:tcW w:w="1134" w:type="dxa"/>
            <w:tcBorders>
              <w:top w:val="nil"/>
              <w:left w:val="nil"/>
              <w:bottom w:val="nil"/>
              <w:right w:val="nil"/>
            </w:tcBorders>
            <w:shd w:val="clear" w:color="auto" w:fill="auto"/>
          </w:tcPr>
          <w:p w14:paraId="309C6A38"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rPr>
            </w:pPr>
          </w:p>
        </w:tc>
        <w:tc>
          <w:tcPr>
            <w:tcW w:w="1134" w:type="dxa"/>
            <w:tcBorders>
              <w:top w:val="nil"/>
              <w:left w:val="nil"/>
              <w:bottom w:val="nil"/>
              <w:right w:val="nil"/>
            </w:tcBorders>
          </w:tcPr>
          <w:p w14:paraId="7BA3A3A2"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rPr>
            </w:pPr>
          </w:p>
        </w:tc>
        <w:tc>
          <w:tcPr>
            <w:tcW w:w="1275" w:type="dxa"/>
            <w:tcBorders>
              <w:top w:val="nil"/>
              <w:left w:val="nil"/>
              <w:bottom w:val="nil"/>
              <w:right w:val="single" w:sz="4" w:space="0" w:color="auto"/>
            </w:tcBorders>
          </w:tcPr>
          <w:p w14:paraId="12A0FB28"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rPr>
            </w:pPr>
          </w:p>
        </w:tc>
      </w:tr>
      <w:tr w:rsidR="00E877C8" w:rsidRPr="00926ECB" w14:paraId="51B8B696" w14:textId="77777777" w:rsidTr="008B26ED">
        <w:trPr>
          <w:trHeight w:val="20"/>
        </w:trPr>
        <w:tc>
          <w:tcPr>
            <w:tcW w:w="5103" w:type="dxa"/>
            <w:gridSpan w:val="2"/>
            <w:tcBorders>
              <w:top w:val="nil"/>
              <w:left w:val="single" w:sz="4" w:space="0" w:color="auto"/>
              <w:bottom w:val="nil"/>
              <w:right w:val="nil"/>
            </w:tcBorders>
          </w:tcPr>
          <w:p w14:paraId="50F7B6A7" w14:textId="3040381E" w:rsidR="008D6474" w:rsidRPr="00E877C8" w:rsidRDefault="008D6474"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22"/>
              </w:rPr>
            </w:pPr>
            <w:r w:rsidRPr="00FA1B6E">
              <w:rPr>
                <w:rFonts w:asciiTheme="minorHAnsi" w:hAnsiTheme="minorHAnsi"/>
                <w:sz w:val="22"/>
              </w:rPr>
              <w:t>Underlying</w:t>
            </w:r>
            <w:r w:rsidR="00EA3F18" w:rsidRPr="00E877C8">
              <w:rPr>
                <w:rFonts w:asciiTheme="minorHAnsi" w:hAnsiTheme="minorHAnsi"/>
                <w:sz w:val="22"/>
              </w:rPr>
              <w:t xml:space="preserve"> </w:t>
            </w:r>
            <w:r w:rsidRPr="00E877C8">
              <w:rPr>
                <w:rFonts w:asciiTheme="minorHAnsi" w:hAnsiTheme="minorHAnsi"/>
                <w:sz w:val="22"/>
              </w:rPr>
              <w:t>Group EBITDA excluding US (pre IFRS 16)</w:t>
            </w:r>
            <w:r w:rsidRPr="00E877C8">
              <w:rPr>
                <w:rFonts w:asciiTheme="minorHAnsi" w:hAnsiTheme="minorHAnsi"/>
                <w:sz w:val="22"/>
                <w:vertAlign w:val="superscript"/>
              </w:rPr>
              <w:t xml:space="preserve"> </w:t>
            </w:r>
            <w:r w:rsidR="00EA3F18">
              <w:rPr>
                <w:rFonts w:asciiTheme="minorHAnsi" w:hAnsiTheme="minorHAnsi"/>
                <w:sz w:val="22"/>
                <w:vertAlign w:val="superscript"/>
              </w:rPr>
              <w:t>1,</w:t>
            </w:r>
            <w:r w:rsidRPr="00E877C8">
              <w:rPr>
                <w:rFonts w:asciiTheme="minorHAnsi" w:hAnsiTheme="minorHAnsi"/>
                <w:sz w:val="22"/>
                <w:vertAlign w:val="superscript"/>
              </w:rPr>
              <w:t>2</w:t>
            </w:r>
          </w:p>
        </w:tc>
        <w:tc>
          <w:tcPr>
            <w:tcW w:w="993" w:type="dxa"/>
            <w:tcBorders>
              <w:top w:val="nil"/>
              <w:left w:val="nil"/>
              <w:bottom w:val="nil"/>
              <w:right w:val="nil"/>
            </w:tcBorders>
            <w:shd w:val="clear" w:color="auto" w:fill="auto"/>
          </w:tcPr>
          <w:p w14:paraId="4A2707CC" w14:textId="1067EDF0" w:rsidR="008D6474" w:rsidRPr="00E877C8" w:rsidRDefault="008D6474"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42</w:t>
            </w:r>
            <w:r w:rsidR="00860946" w:rsidRPr="00E877C8">
              <w:rPr>
                <w:rFonts w:asciiTheme="minorHAnsi" w:hAnsiTheme="minorHAnsi"/>
                <w:sz w:val="22"/>
              </w:rPr>
              <w:t>6</w:t>
            </w:r>
          </w:p>
        </w:tc>
        <w:tc>
          <w:tcPr>
            <w:tcW w:w="1134" w:type="dxa"/>
            <w:tcBorders>
              <w:top w:val="nil"/>
              <w:left w:val="nil"/>
              <w:bottom w:val="nil"/>
              <w:right w:val="nil"/>
            </w:tcBorders>
            <w:shd w:val="clear" w:color="auto" w:fill="auto"/>
          </w:tcPr>
          <w:p w14:paraId="566302DC" w14:textId="2CFB23AE" w:rsidR="008D6474" w:rsidRPr="00E877C8" w:rsidRDefault="008D6474"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465</w:t>
            </w:r>
          </w:p>
        </w:tc>
        <w:tc>
          <w:tcPr>
            <w:tcW w:w="1134" w:type="dxa"/>
            <w:tcBorders>
              <w:top w:val="nil"/>
              <w:left w:val="nil"/>
              <w:bottom w:val="nil"/>
              <w:right w:val="nil"/>
            </w:tcBorders>
          </w:tcPr>
          <w:p w14:paraId="2F71A563" w14:textId="098F5166" w:rsidR="008D6474" w:rsidRPr="00E877C8" w:rsidRDefault="008D6474"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-9%</w:t>
            </w:r>
          </w:p>
        </w:tc>
        <w:tc>
          <w:tcPr>
            <w:tcW w:w="1275" w:type="dxa"/>
            <w:tcBorders>
              <w:top w:val="nil"/>
              <w:left w:val="nil"/>
              <w:bottom w:val="nil"/>
              <w:right w:val="single" w:sz="4" w:space="0" w:color="auto"/>
            </w:tcBorders>
          </w:tcPr>
          <w:p w14:paraId="35E29D48" w14:textId="1F143A95" w:rsidR="008D6474" w:rsidRPr="00E877C8" w:rsidRDefault="00BF645B" w:rsidP="000819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w:t>
            </w:r>
            <w:r w:rsidR="006A5143" w:rsidRPr="00E877C8">
              <w:rPr>
                <w:rFonts w:asciiTheme="minorHAnsi" w:hAnsiTheme="minorHAnsi"/>
                <w:sz w:val="22"/>
              </w:rPr>
              <w:t>19</w:t>
            </w:r>
            <w:r w:rsidRPr="00E877C8">
              <w:rPr>
                <w:rFonts w:asciiTheme="minorHAnsi" w:hAnsiTheme="minorHAnsi"/>
                <w:sz w:val="22"/>
              </w:rPr>
              <w:t>%</w:t>
            </w:r>
          </w:p>
        </w:tc>
      </w:tr>
      <w:tr w:rsidR="005953CC" w:rsidRPr="005953CC" w14:paraId="4ADAEF8D" w14:textId="77777777" w:rsidTr="008B26ED">
        <w:trPr>
          <w:trHeight w:val="20"/>
        </w:trPr>
        <w:tc>
          <w:tcPr>
            <w:tcW w:w="3448" w:type="dxa"/>
            <w:tcBorders>
              <w:top w:val="nil"/>
              <w:left w:val="single" w:sz="4" w:space="0" w:color="auto"/>
              <w:bottom w:val="nil"/>
              <w:right w:val="nil"/>
            </w:tcBorders>
          </w:tcPr>
          <w:p w14:paraId="0AD6E173" w14:textId="77777777" w:rsidR="005953CC" w:rsidRPr="002D5494" w:rsidRDefault="005953CC"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8"/>
                <w:szCs w:val="8"/>
                <w:lang w:eastAsia="en-IE"/>
              </w:rPr>
            </w:pPr>
          </w:p>
        </w:tc>
        <w:tc>
          <w:tcPr>
            <w:tcW w:w="2648" w:type="dxa"/>
            <w:gridSpan w:val="2"/>
            <w:tcBorders>
              <w:top w:val="nil"/>
              <w:left w:val="nil"/>
              <w:bottom w:val="nil"/>
              <w:right w:val="nil"/>
            </w:tcBorders>
            <w:shd w:val="clear" w:color="auto" w:fill="auto"/>
          </w:tcPr>
          <w:p w14:paraId="7093B70A" w14:textId="77777777" w:rsidR="005953CC" w:rsidRPr="002D5494" w:rsidRDefault="005953CC"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c>
          <w:tcPr>
            <w:tcW w:w="1134" w:type="dxa"/>
            <w:tcBorders>
              <w:top w:val="nil"/>
              <w:left w:val="nil"/>
              <w:bottom w:val="nil"/>
              <w:right w:val="nil"/>
            </w:tcBorders>
            <w:shd w:val="clear" w:color="auto" w:fill="auto"/>
          </w:tcPr>
          <w:p w14:paraId="6DE1F8A9" w14:textId="77777777" w:rsidR="005953CC" w:rsidRPr="002D5494" w:rsidRDefault="005953CC"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sz w:val="8"/>
                <w:szCs w:val="8"/>
                <w:lang w:eastAsia="en-IE"/>
              </w:rPr>
            </w:pPr>
          </w:p>
        </w:tc>
        <w:tc>
          <w:tcPr>
            <w:tcW w:w="1134" w:type="dxa"/>
            <w:tcBorders>
              <w:top w:val="nil"/>
              <w:left w:val="nil"/>
              <w:bottom w:val="nil"/>
              <w:right w:val="nil"/>
            </w:tcBorders>
          </w:tcPr>
          <w:p w14:paraId="110D5951" w14:textId="77777777" w:rsidR="005953CC" w:rsidRPr="002D5494" w:rsidRDefault="005953CC"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c>
          <w:tcPr>
            <w:tcW w:w="1275" w:type="dxa"/>
            <w:tcBorders>
              <w:top w:val="nil"/>
              <w:left w:val="nil"/>
              <w:bottom w:val="nil"/>
              <w:right w:val="single" w:sz="4" w:space="0" w:color="auto"/>
            </w:tcBorders>
          </w:tcPr>
          <w:p w14:paraId="48283DE2" w14:textId="77777777" w:rsidR="005953CC" w:rsidRPr="002D5494" w:rsidRDefault="005953CC"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r>
      <w:tr w:rsidR="00E877C8" w:rsidRPr="00926ECB" w14:paraId="1458092B" w14:textId="44CFDCF6" w:rsidTr="008B26ED">
        <w:trPr>
          <w:trHeight w:val="20"/>
        </w:trPr>
        <w:tc>
          <w:tcPr>
            <w:tcW w:w="3448" w:type="dxa"/>
            <w:tcBorders>
              <w:top w:val="nil"/>
              <w:left w:val="single" w:sz="4" w:space="0" w:color="auto"/>
              <w:bottom w:val="nil"/>
              <w:right w:val="nil"/>
            </w:tcBorders>
          </w:tcPr>
          <w:p w14:paraId="60B13722" w14:textId="13F45ABF"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22"/>
              </w:rPr>
            </w:pPr>
            <w:r w:rsidRPr="00FA1B6E">
              <w:rPr>
                <w:rFonts w:asciiTheme="minorHAnsi" w:hAnsiTheme="minorHAnsi"/>
                <w:sz w:val="22"/>
              </w:rPr>
              <w:t>Underlying</w:t>
            </w:r>
            <w:r w:rsidRPr="00E877C8">
              <w:rPr>
                <w:rFonts w:asciiTheme="minorHAnsi" w:hAnsiTheme="minorHAnsi"/>
                <w:sz w:val="22"/>
              </w:rPr>
              <w:t xml:space="preserve"> EBITDA</w:t>
            </w:r>
            <w:r w:rsidRPr="00E877C8">
              <w:rPr>
                <w:rFonts w:asciiTheme="minorHAnsi" w:hAnsiTheme="minorHAnsi"/>
                <w:sz w:val="22"/>
                <w:vertAlign w:val="superscript"/>
              </w:rPr>
              <w:t xml:space="preserve"> </w:t>
            </w:r>
            <w:r w:rsidRPr="00E877C8">
              <w:rPr>
                <w:rFonts w:asciiTheme="minorHAnsi" w:hAnsiTheme="minorHAnsi"/>
                <w:sz w:val="22"/>
              </w:rPr>
              <w:t>(pre IFRS 16)</w:t>
            </w:r>
            <w:r w:rsidRPr="00E877C8">
              <w:rPr>
                <w:rFonts w:asciiTheme="minorHAnsi" w:hAnsiTheme="minorHAnsi"/>
                <w:sz w:val="22"/>
                <w:vertAlign w:val="superscript"/>
              </w:rPr>
              <w:t xml:space="preserve"> </w:t>
            </w:r>
            <w:r w:rsidR="00EA3F18">
              <w:rPr>
                <w:rFonts w:asciiTheme="minorHAnsi" w:hAnsiTheme="minorHAnsi"/>
                <w:sz w:val="22"/>
                <w:vertAlign w:val="superscript"/>
              </w:rPr>
              <w:t>1,</w:t>
            </w:r>
            <w:r w:rsidRPr="00E877C8">
              <w:rPr>
                <w:rFonts w:asciiTheme="minorHAnsi" w:hAnsiTheme="minorHAnsi"/>
                <w:sz w:val="22"/>
                <w:vertAlign w:val="superscript"/>
              </w:rPr>
              <w:t>2</w:t>
            </w:r>
          </w:p>
        </w:tc>
        <w:tc>
          <w:tcPr>
            <w:tcW w:w="2648" w:type="dxa"/>
            <w:gridSpan w:val="2"/>
            <w:tcBorders>
              <w:top w:val="nil"/>
              <w:left w:val="nil"/>
              <w:bottom w:val="nil"/>
              <w:right w:val="nil"/>
            </w:tcBorders>
            <w:shd w:val="clear" w:color="auto" w:fill="auto"/>
          </w:tcPr>
          <w:p w14:paraId="099D0060" w14:textId="44E7F39D"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highlight w:val="yellow"/>
              </w:rPr>
            </w:pPr>
            <w:r w:rsidRPr="00E877C8">
              <w:rPr>
                <w:rFonts w:asciiTheme="minorHAnsi" w:hAnsiTheme="minorHAnsi"/>
                <w:sz w:val="22"/>
              </w:rPr>
              <w:t>385</w:t>
            </w:r>
          </w:p>
        </w:tc>
        <w:tc>
          <w:tcPr>
            <w:tcW w:w="1134" w:type="dxa"/>
            <w:tcBorders>
              <w:top w:val="nil"/>
              <w:left w:val="nil"/>
              <w:bottom w:val="nil"/>
              <w:right w:val="nil"/>
            </w:tcBorders>
            <w:shd w:val="clear" w:color="auto" w:fill="auto"/>
          </w:tcPr>
          <w:p w14:paraId="6724215D" w14:textId="58A38FA3"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4</w:t>
            </w:r>
            <w:r w:rsidR="009B582F" w:rsidRPr="00E877C8">
              <w:rPr>
                <w:rFonts w:asciiTheme="minorHAnsi" w:hAnsiTheme="minorHAnsi"/>
                <w:sz w:val="22"/>
              </w:rPr>
              <w:t>51</w:t>
            </w:r>
          </w:p>
        </w:tc>
        <w:tc>
          <w:tcPr>
            <w:tcW w:w="1134" w:type="dxa"/>
            <w:tcBorders>
              <w:top w:val="nil"/>
              <w:left w:val="nil"/>
              <w:bottom w:val="nil"/>
              <w:right w:val="nil"/>
            </w:tcBorders>
          </w:tcPr>
          <w:p w14:paraId="7020D95B" w14:textId="18808AF5"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-15%</w:t>
            </w:r>
          </w:p>
        </w:tc>
        <w:tc>
          <w:tcPr>
            <w:tcW w:w="1275" w:type="dxa"/>
            <w:tcBorders>
              <w:top w:val="nil"/>
              <w:left w:val="nil"/>
              <w:bottom w:val="nil"/>
              <w:right w:val="single" w:sz="4" w:space="0" w:color="auto"/>
            </w:tcBorders>
          </w:tcPr>
          <w:p w14:paraId="755CA261" w14:textId="48E83AF5" w:rsidR="00480618" w:rsidRPr="00E877C8" w:rsidRDefault="00BF645B"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w:t>
            </w:r>
            <w:r w:rsidR="006A5143" w:rsidRPr="00E877C8">
              <w:rPr>
                <w:rFonts w:asciiTheme="minorHAnsi" w:hAnsiTheme="minorHAnsi"/>
                <w:sz w:val="22"/>
              </w:rPr>
              <w:t>12</w:t>
            </w:r>
            <w:r w:rsidRPr="00E877C8">
              <w:rPr>
                <w:rFonts w:asciiTheme="minorHAnsi" w:hAnsiTheme="minorHAnsi"/>
                <w:sz w:val="22"/>
              </w:rPr>
              <w:t>%</w:t>
            </w:r>
          </w:p>
        </w:tc>
      </w:tr>
      <w:tr w:rsidR="00E877C8" w:rsidRPr="00926ECB" w14:paraId="52971881" w14:textId="7DCE5B58" w:rsidTr="008B26ED">
        <w:trPr>
          <w:trHeight w:val="20"/>
        </w:trPr>
        <w:tc>
          <w:tcPr>
            <w:tcW w:w="3448" w:type="dxa"/>
            <w:tcBorders>
              <w:top w:val="nil"/>
              <w:left w:val="single" w:sz="4" w:space="0" w:color="auto"/>
              <w:bottom w:val="nil"/>
              <w:right w:val="nil"/>
            </w:tcBorders>
          </w:tcPr>
          <w:p w14:paraId="10646F6C"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rPr>
            </w:pPr>
          </w:p>
        </w:tc>
        <w:tc>
          <w:tcPr>
            <w:tcW w:w="2648" w:type="dxa"/>
            <w:gridSpan w:val="2"/>
            <w:tcBorders>
              <w:top w:val="nil"/>
              <w:left w:val="nil"/>
              <w:bottom w:val="nil"/>
              <w:right w:val="nil"/>
            </w:tcBorders>
            <w:shd w:val="clear" w:color="auto" w:fill="auto"/>
          </w:tcPr>
          <w:p w14:paraId="78132992"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highlight w:val="yellow"/>
              </w:rPr>
            </w:pPr>
          </w:p>
        </w:tc>
        <w:tc>
          <w:tcPr>
            <w:tcW w:w="1134" w:type="dxa"/>
            <w:tcBorders>
              <w:top w:val="nil"/>
              <w:left w:val="nil"/>
              <w:bottom w:val="nil"/>
              <w:right w:val="nil"/>
            </w:tcBorders>
            <w:shd w:val="clear" w:color="auto" w:fill="auto"/>
          </w:tcPr>
          <w:p w14:paraId="122EADBE"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rPr>
            </w:pPr>
          </w:p>
        </w:tc>
        <w:tc>
          <w:tcPr>
            <w:tcW w:w="1134" w:type="dxa"/>
            <w:tcBorders>
              <w:top w:val="nil"/>
              <w:left w:val="nil"/>
              <w:bottom w:val="nil"/>
              <w:right w:val="nil"/>
            </w:tcBorders>
          </w:tcPr>
          <w:p w14:paraId="23CC147D"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rPr>
            </w:pPr>
          </w:p>
        </w:tc>
        <w:tc>
          <w:tcPr>
            <w:tcW w:w="1275" w:type="dxa"/>
            <w:tcBorders>
              <w:top w:val="nil"/>
              <w:left w:val="nil"/>
              <w:bottom w:val="nil"/>
              <w:right w:val="single" w:sz="4" w:space="0" w:color="auto"/>
            </w:tcBorders>
          </w:tcPr>
          <w:p w14:paraId="709345C3"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rPr>
            </w:pPr>
          </w:p>
        </w:tc>
      </w:tr>
      <w:tr w:rsidR="00E877C8" w:rsidRPr="00926ECB" w14:paraId="1014284F" w14:textId="410DE814" w:rsidTr="008B26ED">
        <w:trPr>
          <w:trHeight w:val="20"/>
        </w:trPr>
        <w:tc>
          <w:tcPr>
            <w:tcW w:w="3448" w:type="dxa"/>
            <w:tcBorders>
              <w:top w:val="nil"/>
              <w:left w:val="single" w:sz="4" w:space="0" w:color="auto"/>
              <w:bottom w:val="nil"/>
              <w:right w:val="nil"/>
            </w:tcBorders>
          </w:tcPr>
          <w:p w14:paraId="3B1D3D73"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22"/>
              </w:rPr>
            </w:pPr>
            <w:r w:rsidRPr="00E877C8">
              <w:rPr>
                <w:rFonts w:asciiTheme="minorHAnsi" w:hAnsiTheme="minorHAnsi"/>
                <w:sz w:val="22"/>
              </w:rPr>
              <w:t xml:space="preserve">Reported profit before tax </w:t>
            </w:r>
          </w:p>
        </w:tc>
        <w:tc>
          <w:tcPr>
            <w:tcW w:w="2648" w:type="dxa"/>
            <w:gridSpan w:val="2"/>
            <w:tcBorders>
              <w:top w:val="nil"/>
              <w:left w:val="nil"/>
              <w:bottom w:val="nil"/>
              <w:right w:val="nil"/>
            </w:tcBorders>
            <w:shd w:val="clear" w:color="auto" w:fill="auto"/>
          </w:tcPr>
          <w:p w14:paraId="6BCB3267" w14:textId="7E1FDC3C" w:rsidR="00480618" w:rsidRPr="00E877C8" w:rsidRDefault="007F3DDA"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13</w:t>
            </w:r>
            <w:r w:rsidR="00860946" w:rsidRPr="00E877C8">
              <w:rPr>
                <w:rFonts w:asciiTheme="minorHAnsi" w:hAnsiTheme="minorHAnsi"/>
                <w:sz w:val="22"/>
              </w:rPr>
              <w:t>6</w:t>
            </w:r>
          </w:p>
        </w:tc>
        <w:tc>
          <w:tcPr>
            <w:tcW w:w="1134" w:type="dxa"/>
            <w:tcBorders>
              <w:top w:val="nil"/>
              <w:left w:val="nil"/>
              <w:bottom w:val="nil"/>
              <w:right w:val="nil"/>
            </w:tcBorders>
            <w:shd w:val="clear" w:color="auto" w:fill="auto"/>
          </w:tcPr>
          <w:p w14:paraId="6D597A26" w14:textId="2F022016"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219</w:t>
            </w:r>
          </w:p>
        </w:tc>
        <w:tc>
          <w:tcPr>
            <w:tcW w:w="1134" w:type="dxa"/>
            <w:tcBorders>
              <w:top w:val="nil"/>
              <w:left w:val="nil"/>
              <w:bottom w:val="nil"/>
              <w:right w:val="nil"/>
            </w:tcBorders>
            <w:shd w:val="clear" w:color="auto" w:fill="auto"/>
          </w:tcPr>
          <w:p w14:paraId="1CAFF0D4" w14:textId="73B15BC9" w:rsidR="00480618" w:rsidRPr="00E877C8" w:rsidRDefault="00CA1816"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-38%</w:t>
            </w:r>
          </w:p>
        </w:tc>
        <w:tc>
          <w:tcPr>
            <w:tcW w:w="1275" w:type="dxa"/>
            <w:tcBorders>
              <w:top w:val="nil"/>
              <w:left w:val="nil"/>
              <w:bottom w:val="nil"/>
              <w:right w:val="single" w:sz="4" w:space="0" w:color="auto"/>
            </w:tcBorders>
          </w:tcPr>
          <w:p w14:paraId="4D8D1B69"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p>
        </w:tc>
      </w:tr>
      <w:tr w:rsidR="00E877C8" w:rsidRPr="00926ECB" w14:paraId="7B414440" w14:textId="3961644F" w:rsidTr="008B26ED">
        <w:trPr>
          <w:trHeight w:val="20"/>
        </w:trPr>
        <w:tc>
          <w:tcPr>
            <w:tcW w:w="3448" w:type="dxa"/>
            <w:tcBorders>
              <w:top w:val="nil"/>
              <w:left w:val="single" w:sz="4" w:space="0" w:color="auto"/>
              <w:bottom w:val="nil"/>
              <w:right w:val="nil"/>
            </w:tcBorders>
          </w:tcPr>
          <w:p w14:paraId="705B159E"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rPr>
            </w:pPr>
          </w:p>
        </w:tc>
        <w:tc>
          <w:tcPr>
            <w:tcW w:w="2648" w:type="dxa"/>
            <w:gridSpan w:val="2"/>
            <w:tcBorders>
              <w:top w:val="nil"/>
              <w:left w:val="nil"/>
              <w:bottom w:val="nil"/>
              <w:right w:val="nil"/>
            </w:tcBorders>
            <w:shd w:val="clear" w:color="auto" w:fill="auto"/>
          </w:tcPr>
          <w:p w14:paraId="71595411"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c>
          <w:tcPr>
            <w:tcW w:w="1134" w:type="dxa"/>
            <w:tcBorders>
              <w:top w:val="nil"/>
              <w:left w:val="nil"/>
              <w:bottom w:val="nil"/>
              <w:right w:val="nil"/>
            </w:tcBorders>
            <w:shd w:val="clear" w:color="auto" w:fill="auto"/>
          </w:tcPr>
          <w:p w14:paraId="0AFB122E"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c>
          <w:tcPr>
            <w:tcW w:w="1134" w:type="dxa"/>
            <w:tcBorders>
              <w:top w:val="nil"/>
              <w:left w:val="nil"/>
              <w:bottom w:val="nil"/>
              <w:right w:val="nil"/>
            </w:tcBorders>
          </w:tcPr>
          <w:p w14:paraId="5CF527E1"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c>
          <w:tcPr>
            <w:tcW w:w="1275" w:type="dxa"/>
            <w:tcBorders>
              <w:top w:val="nil"/>
              <w:left w:val="nil"/>
              <w:bottom w:val="nil"/>
              <w:right w:val="single" w:sz="4" w:space="0" w:color="auto"/>
            </w:tcBorders>
          </w:tcPr>
          <w:p w14:paraId="68520A61"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r>
      <w:tr w:rsidR="00E877C8" w:rsidRPr="00926ECB" w14:paraId="03DED12F" w14:textId="2E6529B8" w:rsidTr="008B26ED">
        <w:trPr>
          <w:trHeight w:val="20"/>
        </w:trPr>
        <w:tc>
          <w:tcPr>
            <w:tcW w:w="3448" w:type="dxa"/>
            <w:tcBorders>
              <w:top w:val="nil"/>
              <w:left w:val="single" w:sz="4" w:space="0" w:color="auto"/>
              <w:bottom w:val="nil"/>
              <w:right w:val="nil"/>
            </w:tcBorders>
          </w:tcPr>
          <w:p w14:paraId="11E435F3"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22"/>
              </w:rPr>
            </w:pPr>
            <w:r w:rsidRPr="00E877C8">
              <w:rPr>
                <w:rFonts w:asciiTheme="minorHAnsi" w:hAnsiTheme="minorHAnsi"/>
                <w:sz w:val="22"/>
              </w:rPr>
              <w:t xml:space="preserve">Reported earnings per share </w:t>
            </w:r>
          </w:p>
        </w:tc>
        <w:tc>
          <w:tcPr>
            <w:tcW w:w="2648" w:type="dxa"/>
            <w:gridSpan w:val="2"/>
            <w:tcBorders>
              <w:top w:val="nil"/>
              <w:left w:val="nil"/>
              <w:bottom w:val="nil"/>
              <w:right w:val="nil"/>
            </w:tcBorders>
            <w:shd w:val="clear" w:color="auto" w:fill="auto"/>
          </w:tcPr>
          <w:p w14:paraId="7AF677ED" w14:textId="102AB26E" w:rsidR="00480618" w:rsidRPr="00E877C8" w:rsidRDefault="007F3DDA"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183.</w:t>
            </w:r>
            <w:r w:rsidR="0003050B" w:rsidRPr="00E877C8">
              <w:rPr>
                <w:rFonts w:asciiTheme="minorHAnsi" w:hAnsiTheme="minorHAnsi"/>
                <w:sz w:val="22"/>
              </w:rPr>
              <w:t>2p</w:t>
            </w:r>
          </w:p>
        </w:tc>
        <w:tc>
          <w:tcPr>
            <w:tcW w:w="1134" w:type="dxa"/>
            <w:tcBorders>
              <w:top w:val="nil"/>
              <w:left w:val="nil"/>
              <w:bottom w:val="nil"/>
              <w:right w:val="nil"/>
            </w:tcBorders>
            <w:shd w:val="clear" w:color="auto" w:fill="auto"/>
          </w:tcPr>
          <w:p w14:paraId="5C63B855" w14:textId="23396741"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241.7p</w:t>
            </w:r>
          </w:p>
        </w:tc>
        <w:tc>
          <w:tcPr>
            <w:tcW w:w="1134" w:type="dxa"/>
            <w:tcBorders>
              <w:top w:val="nil"/>
              <w:left w:val="nil"/>
              <w:bottom w:val="nil"/>
              <w:right w:val="nil"/>
            </w:tcBorders>
          </w:tcPr>
          <w:p w14:paraId="78A36AD2" w14:textId="761B32DD" w:rsidR="00480618" w:rsidRPr="00E877C8" w:rsidRDefault="00CA1816"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-24%</w:t>
            </w:r>
          </w:p>
        </w:tc>
        <w:tc>
          <w:tcPr>
            <w:tcW w:w="1275" w:type="dxa"/>
            <w:tcBorders>
              <w:top w:val="nil"/>
              <w:left w:val="nil"/>
              <w:bottom w:val="nil"/>
              <w:right w:val="single" w:sz="4" w:space="0" w:color="auto"/>
            </w:tcBorders>
          </w:tcPr>
          <w:p w14:paraId="79FE42B2"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p>
        </w:tc>
      </w:tr>
      <w:tr w:rsidR="00E877C8" w:rsidRPr="00926ECB" w14:paraId="7B81791D" w14:textId="2A51921D" w:rsidTr="008B26ED">
        <w:trPr>
          <w:trHeight w:val="20"/>
        </w:trPr>
        <w:tc>
          <w:tcPr>
            <w:tcW w:w="3448" w:type="dxa"/>
            <w:tcBorders>
              <w:top w:val="nil"/>
              <w:left w:val="single" w:sz="4" w:space="0" w:color="auto"/>
              <w:bottom w:val="nil"/>
              <w:right w:val="nil"/>
            </w:tcBorders>
          </w:tcPr>
          <w:p w14:paraId="160B9A65"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rPr>
            </w:pPr>
          </w:p>
        </w:tc>
        <w:tc>
          <w:tcPr>
            <w:tcW w:w="2648" w:type="dxa"/>
            <w:gridSpan w:val="2"/>
            <w:tcBorders>
              <w:top w:val="nil"/>
              <w:left w:val="nil"/>
              <w:bottom w:val="nil"/>
              <w:right w:val="nil"/>
            </w:tcBorders>
            <w:shd w:val="clear" w:color="auto" w:fill="auto"/>
          </w:tcPr>
          <w:p w14:paraId="562ECF82"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c>
          <w:tcPr>
            <w:tcW w:w="1134" w:type="dxa"/>
            <w:tcBorders>
              <w:top w:val="nil"/>
              <w:left w:val="nil"/>
              <w:bottom w:val="nil"/>
              <w:right w:val="nil"/>
            </w:tcBorders>
            <w:shd w:val="clear" w:color="auto" w:fill="auto"/>
          </w:tcPr>
          <w:p w14:paraId="5CDB9E9E"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c>
          <w:tcPr>
            <w:tcW w:w="1134" w:type="dxa"/>
            <w:tcBorders>
              <w:top w:val="nil"/>
              <w:left w:val="nil"/>
              <w:bottom w:val="nil"/>
              <w:right w:val="nil"/>
            </w:tcBorders>
          </w:tcPr>
          <w:p w14:paraId="7060FEEB"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highlight w:val="yellow"/>
              </w:rPr>
            </w:pPr>
          </w:p>
        </w:tc>
        <w:tc>
          <w:tcPr>
            <w:tcW w:w="1275" w:type="dxa"/>
            <w:tcBorders>
              <w:top w:val="nil"/>
              <w:left w:val="nil"/>
              <w:bottom w:val="nil"/>
              <w:right w:val="single" w:sz="4" w:space="0" w:color="auto"/>
            </w:tcBorders>
          </w:tcPr>
          <w:p w14:paraId="165F284C"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r>
      <w:tr w:rsidR="00E877C8" w:rsidRPr="00926ECB" w14:paraId="396F771F" w14:textId="5B99A334" w:rsidTr="008B26ED">
        <w:trPr>
          <w:trHeight w:val="20"/>
        </w:trPr>
        <w:tc>
          <w:tcPr>
            <w:tcW w:w="3448" w:type="dxa"/>
            <w:tcBorders>
              <w:top w:val="nil"/>
              <w:left w:val="single" w:sz="4" w:space="0" w:color="auto"/>
              <w:bottom w:val="nil"/>
              <w:right w:val="nil"/>
            </w:tcBorders>
          </w:tcPr>
          <w:p w14:paraId="31103563" w14:textId="77777777" w:rsidR="00480618" w:rsidRPr="00505D01"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2"/>
                <w:szCs w:val="22"/>
                <w:lang w:eastAsia="en-IE"/>
              </w:rPr>
            </w:pPr>
            <w:r w:rsidRPr="00E877C8">
              <w:rPr>
                <w:rFonts w:asciiTheme="minorHAnsi" w:hAnsiTheme="minorHAnsi"/>
                <w:sz w:val="22"/>
              </w:rPr>
              <w:t>Underlying</w:t>
            </w:r>
            <w:r w:rsidRPr="00A049E9">
              <w:rPr>
                <w:rFonts w:asciiTheme="minorHAnsi" w:hAnsiTheme="minorHAnsi"/>
                <w:sz w:val="22"/>
                <w:vertAlign w:val="superscript"/>
              </w:rPr>
              <w:t>1</w:t>
            </w:r>
            <w:r w:rsidRPr="00E877C8">
              <w:rPr>
                <w:rFonts w:asciiTheme="minorHAnsi" w:hAnsiTheme="minorHAnsi"/>
                <w:i/>
                <w:sz w:val="22"/>
                <w:vertAlign w:val="superscript"/>
              </w:rPr>
              <w:t xml:space="preserve"> </w:t>
            </w:r>
            <w:r w:rsidRPr="00E877C8">
              <w:rPr>
                <w:rFonts w:asciiTheme="minorHAnsi" w:hAnsiTheme="minorHAnsi"/>
                <w:sz w:val="22"/>
              </w:rPr>
              <w:t>earnings per share</w:t>
            </w:r>
          </w:p>
        </w:tc>
        <w:tc>
          <w:tcPr>
            <w:tcW w:w="2648" w:type="dxa"/>
            <w:gridSpan w:val="2"/>
            <w:tcBorders>
              <w:top w:val="nil"/>
              <w:left w:val="nil"/>
              <w:bottom w:val="nil"/>
              <w:right w:val="nil"/>
            </w:tcBorders>
            <w:shd w:val="clear" w:color="auto" w:fill="auto"/>
          </w:tcPr>
          <w:p w14:paraId="55DCE783" w14:textId="510BEF3D" w:rsidR="00480618" w:rsidRPr="00505D01" w:rsidRDefault="007F3DDA"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sz w:val="22"/>
                <w:szCs w:val="22"/>
                <w:lang w:eastAsia="en-IE"/>
              </w:rPr>
            </w:pPr>
            <w:r w:rsidRPr="00E877C8">
              <w:rPr>
                <w:rFonts w:asciiTheme="minorHAnsi" w:hAnsiTheme="minorHAnsi"/>
                <w:sz w:val="22"/>
              </w:rPr>
              <w:t>303</w:t>
            </w:r>
            <w:r w:rsidR="00481E66" w:rsidRPr="00E877C8">
              <w:rPr>
                <w:rFonts w:asciiTheme="minorHAnsi" w:hAnsiTheme="minorHAnsi"/>
                <w:sz w:val="22"/>
              </w:rPr>
              <w:t>.</w:t>
            </w:r>
            <w:r w:rsidR="0003050B" w:rsidRPr="00E877C8">
              <w:rPr>
                <w:rFonts w:asciiTheme="minorHAnsi" w:hAnsiTheme="minorHAnsi"/>
                <w:sz w:val="22"/>
              </w:rPr>
              <w:t>3p</w:t>
            </w:r>
          </w:p>
        </w:tc>
        <w:tc>
          <w:tcPr>
            <w:tcW w:w="1134" w:type="dxa"/>
            <w:tcBorders>
              <w:top w:val="nil"/>
              <w:left w:val="nil"/>
              <w:bottom w:val="nil"/>
              <w:right w:val="nil"/>
            </w:tcBorders>
            <w:shd w:val="clear" w:color="auto" w:fill="auto"/>
          </w:tcPr>
          <w:p w14:paraId="16AA708C" w14:textId="2A0025AF" w:rsidR="00480618" w:rsidRPr="00505D01"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sz w:val="22"/>
                <w:szCs w:val="22"/>
                <w:lang w:eastAsia="en-IE"/>
              </w:rPr>
            </w:pPr>
            <w:r w:rsidRPr="00E877C8">
              <w:rPr>
                <w:rFonts w:asciiTheme="minorHAnsi" w:hAnsiTheme="minorHAnsi"/>
                <w:sz w:val="22"/>
              </w:rPr>
              <w:t>379.3p</w:t>
            </w:r>
          </w:p>
        </w:tc>
        <w:tc>
          <w:tcPr>
            <w:tcW w:w="1134" w:type="dxa"/>
            <w:tcBorders>
              <w:top w:val="nil"/>
              <w:left w:val="nil"/>
              <w:bottom w:val="nil"/>
              <w:right w:val="nil"/>
            </w:tcBorders>
          </w:tcPr>
          <w:p w14:paraId="23AC6A2D" w14:textId="0C7B4A70" w:rsidR="00480618" w:rsidRPr="00505D01" w:rsidRDefault="00CA1816"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sz w:val="22"/>
                <w:szCs w:val="22"/>
                <w:lang w:eastAsia="en-IE"/>
              </w:rPr>
            </w:pPr>
            <w:r w:rsidRPr="00E877C8">
              <w:rPr>
                <w:rFonts w:asciiTheme="minorHAnsi" w:hAnsiTheme="minorHAnsi"/>
                <w:sz w:val="22"/>
              </w:rPr>
              <w:t>-20%</w:t>
            </w:r>
          </w:p>
        </w:tc>
        <w:tc>
          <w:tcPr>
            <w:tcW w:w="1275" w:type="dxa"/>
            <w:tcBorders>
              <w:top w:val="nil"/>
              <w:left w:val="nil"/>
              <w:bottom w:val="nil"/>
              <w:right w:val="single" w:sz="4" w:space="0" w:color="auto"/>
            </w:tcBorders>
          </w:tcPr>
          <w:p w14:paraId="3016F98D"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p>
        </w:tc>
      </w:tr>
      <w:tr w:rsidR="00E877C8" w:rsidRPr="00926ECB" w14:paraId="0C467C92" w14:textId="7C707321" w:rsidTr="008B26ED">
        <w:trPr>
          <w:trHeight w:val="20"/>
        </w:trPr>
        <w:tc>
          <w:tcPr>
            <w:tcW w:w="3448" w:type="dxa"/>
            <w:tcBorders>
              <w:top w:val="nil"/>
              <w:left w:val="single" w:sz="4" w:space="0" w:color="auto"/>
              <w:bottom w:val="nil"/>
              <w:right w:val="nil"/>
            </w:tcBorders>
          </w:tcPr>
          <w:p w14:paraId="0439C352"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rPr>
            </w:pPr>
          </w:p>
        </w:tc>
        <w:tc>
          <w:tcPr>
            <w:tcW w:w="2648" w:type="dxa"/>
            <w:gridSpan w:val="2"/>
            <w:tcBorders>
              <w:top w:val="nil"/>
              <w:left w:val="nil"/>
              <w:bottom w:val="nil"/>
              <w:right w:val="nil"/>
            </w:tcBorders>
            <w:shd w:val="clear" w:color="auto" w:fill="auto"/>
          </w:tcPr>
          <w:p w14:paraId="3706D936"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c>
          <w:tcPr>
            <w:tcW w:w="1134" w:type="dxa"/>
            <w:tcBorders>
              <w:top w:val="nil"/>
              <w:left w:val="nil"/>
              <w:bottom w:val="nil"/>
              <w:right w:val="nil"/>
            </w:tcBorders>
            <w:shd w:val="clear" w:color="auto" w:fill="auto"/>
          </w:tcPr>
          <w:p w14:paraId="1CC7BDD8"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c>
          <w:tcPr>
            <w:tcW w:w="1134" w:type="dxa"/>
            <w:tcBorders>
              <w:top w:val="nil"/>
              <w:left w:val="nil"/>
              <w:bottom w:val="nil"/>
              <w:right w:val="nil"/>
            </w:tcBorders>
          </w:tcPr>
          <w:p w14:paraId="35CAB70D"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highlight w:val="yellow"/>
              </w:rPr>
            </w:pPr>
          </w:p>
        </w:tc>
        <w:tc>
          <w:tcPr>
            <w:tcW w:w="1275" w:type="dxa"/>
            <w:tcBorders>
              <w:top w:val="nil"/>
              <w:left w:val="nil"/>
              <w:bottom w:val="nil"/>
              <w:right w:val="single" w:sz="4" w:space="0" w:color="auto"/>
            </w:tcBorders>
          </w:tcPr>
          <w:p w14:paraId="00FDC230"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r>
      <w:tr w:rsidR="00E877C8" w:rsidRPr="00926ECB" w14:paraId="2989D922" w14:textId="220F4F08" w:rsidTr="008B26ED">
        <w:trPr>
          <w:trHeight w:val="20"/>
        </w:trPr>
        <w:tc>
          <w:tcPr>
            <w:tcW w:w="3448" w:type="dxa"/>
            <w:tcBorders>
              <w:top w:val="nil"/>
              <w:left w:val="single" w:sz="4" w:space="0" w:color="auto"/>
              <w:bottom w:val="nil"/>
              <w:right w:val="nil"/>
            </w:tcBorders>
          </w:tcPr>
          <w:p w14:paraId="0725A7C9"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22"/>
              </w:rPr>
            </w:pPr>
            <w:r w:rsidRPr="00E877C8">
              <w:rPr>
                <w:rFonts w:asciiTheme="minorHAnsi" w:hAnsiTheme="minorHAnsi"/>
                <w:sz w:val="22"/>
              </w:rPr>
              <w:t>Proposed full-year dividend per share</w:t>
            </w:r>
          </w:p>
        </w:tc>
        <w:tc>
          <w:tcPr>
            <w:tcW w:w="2648" w:type="dxa"/>
            <w:gridSpan w:val="2"/>
            <w:tcBorders>
              <w:top w:val="nil"/>
              <w:left w:val="nil"/>
              <w:bottom w:val="nil"/>
              <w:right w:val="nil"/>
            </w:tcBorders>
            <w:shd w:val="clear" w:color="auto" w:fill="auto"/>
          </w:tcPr>
          <w:p w14:paraId="4AA28D14" w14:textId="693CAC8D" w:rsidR="00480618" w:rsidRPr="00E62573" w:rsidRDefault="007F3DDA"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2A6B22">
              <w:rPr>
                <w:rFonts w:asciiTheme="minorHAnsi" w:hAnsiTheme="minorHAnsi"/>
                <w:sz w:val="22"/>
              </w:rPr>
              <w:t>200</w:t>
            </w:r>
            <w:r w:rsidR="00F338FB" w:rsidRPr="002A6B22">
              <w:rPr>
                <w:rFonts w:asciiTheme="minorHAnsi" w:hAnsiTheme="minorHAnsi"/>
                <w:sz w:val="22"/>
              </w:rPr>
              <w:t>p</w:t>
            </w:r>
          </w:p>
        </w:tc>
        <w:tc>
          <w:tcPr>
            <w:tcW w:w="1134" w:type="dxa"/>
            <w:tcBorders>
              <w:top w:val="nil"/>
              <w:left w:val="nil"/>
              <w:bottom w:val="nil"/>
              <w:right w:val="nil"/>
            </w:tcBorders>
            <w:shd w:val="clear" w:color="auto" w:fill="auto"/>
          </w:tcPr>
          <w:p w14:paraId="590B27E8" w14:textId="26A158D9" w:rsidR="00480618" w:rsidRPr="006E41E4"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6E41E4">
              <w:rPr>
                <w:rFonts w:asciiTheme="minorHAnsi" w:hAnsiTheme="minorHAnsi"/>
                <w:sz w:val="22"/>
              </w:rPr>
              <w:t>200p</w:t>
            </w:r>
          </w:p>
        </w:tc>
        <w:tc>
          <w:tcPr>
            <w:tcW w:w="1134" w:type="dxa"/>
            <w:tcBorders>
              <w:top w:val="nil"/>
              <w:left w:val="nil"/>
              <w:bottom w:val="nil"/>
              <w:right w:val="nil"/>
            </w:tcBorders>
          </w:tcPr>
          <w:p w14:paraId="1C06E1D9" w14:textId="4055C07C" w:rsidR="00480618" w:rsidRPr="00E877C8" w:rsidRDefault="00AA7AF0"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r w:rsidRPr="00E877C8">
              <w:rPr>
                <w:rFonts w:asciiTheme="minorHAnsi" w:hAnsiTheme="minorHAnsi"/>
                <w:sz w:val="22"/>
              </w:rPr>
              <w:t>Flat</w:t>
            </w:r>
          </w:p>
        </w:tc>
        <w:tc>
          <w:tcPr>
            <w:tcW w:w="1275" w:type="dxa"/>
            <w:tcBorders>
              <w:top w:val="nil"/>
              <w:left w:val="nil"/>
              <w:bottom w:val="nil"/>
              <w:right w:val="single" w:sz="4" w:space="0" w:color="auto"/>
            </w:tcBorders>
          </w:tcPr>
          <w:p w14:paraId="4057A419"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p>
        </w:tc>
      </w:tr>
      <w:tr w:rsidR="00E877C8" w:rsidRPr="00926ECB" w14:paraId="5C88A234" w14:textId="7D3F2F47" w:rsidTr="008B26ED">
        <w:trPr>
          <w:trHeight w:val="20"/>
        </w:trPr>
        <w:tc>
          <w:tcPr>
            <w:tcW w:w="3448" w:type="dxa"/>
            <w:tcBorders>
              <w:top w:val="nil"/>
              <w:left w:val="single" w:sz="4" w:space="0" w:color="auto"/>
              <w:bottom w:val="nil"/>
              <w:right w:val="nil"/>
            </w:tcBorders>
          </w:tcPr>
          <w:p w14:paraId="285BC41F" w14:textId="1A48ECD5"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rPr>
            </w:pPr>
          </w:p>
        </w:tc>
        <w:tc>
          <w:tcPr>
            <w:tcW w:w="2648" w:type="dxa"/>
            <w:gridSpan w:val="2"/>
            <w:tcBorders>
              <w:top w:val="nil"/>
              <w:left w:val="nil"/>
              <w:bottom w:val="nil"/>
              <w:right w:val="nil"/>
            </w:tcBorders>
            <w:shd w:val="clear" w:color="auto" w:fill="auto"/>
          </w:tcPr>
          <w:p w14:paraId="637F99C6" w14:textId="1DB8D239" w:rsidR="00480618" w:rsidRPr="00E62573"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c>
          <w:tcPr>
            <w:tcW w:w="1134" w:type="dxa"/>
            <w:tcBorders>
              <w:top w:val="nil"/>
              <w:left w:val="nil"/>
              <w:bottom w:val="nil"/>
              <w:right w:val="nil"/>
            </w:tcBorders>
            <w:shd w:val="clear" w:color="auto" w:fill="auto"/>
          </w:tcPr>
          <w:p w14:paraId="313B29D5" w14:textId="5665918C" w:rsidR="00480618" w:rsidRPr="006E41E4"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c>
          <w:tcPr>
            <w:tcW w:w="1134" w:type="dxa"/>
            <w:tcBorders>
              <w:top w:val="nil"/>
              <w:left w:val="nil"/>
              <w:bottom w:val="nil"/>
              <w:right w:val="nil"/>
            </w:tcBorders>
          </w:tcPr>
          <w:p w14:paraId="45C08F3E" w14:textId="678DC5DD"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c>
          <w:tcPr>
            <w:tcW w:w="1275" w:type="dxa"/>
            <w:tcBorders>
              <w:top w:val="nil"/>
              <w:left w:val="nil"/>
              <w:bottom w:val="nil"/>
              <w:right w:val="single" w:sz="4" w:space="0" w:color="auto"/>
            </w:tcBorders>
          </w:tcPr>
          <w:p w14:paraId="7C05B75E" w14:textId="77777777" w:rsidR="00480618" w:rsidRPr="00E877C8" w:rsidRDefault="00480618" w:rsidP="004F23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r>
      <w:tr w:rsidR="00E877C8" w:rsidRPr="00926ECB" w14:paraId="76BF33C5" w14:textId="025885AB" w:rsidTr="008B26ED">
        <w:trPr>
          <w:trHeight w:val="70"/>
        </w:trPr>
        <w:tc>
          <w:tcPr>
            <w:tcW w:w="3448" w:type="dxa"/>
            <w:tcBorders>
              <w:top w:val="nil"/>
              <w:left w:val="single" w:sz="4" w:space="0" w:color="auto"/>
              <w:bottom w:val="single" w:sz="4" w:space="0" w:color="auto"/>
              <w:right w:val="nil"/>
            </w:tcBorders>
          </w:tcPr>
          <w:p w14:paraId="00C385B4" w14:textId="25D6D785" w:rsidR="00926ECB" w:rsidRPr="00E877C8" w:rsidRDefault="00926ECB" w:rsidP="00926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rPr>
            </w:pPr>
            <w:r w:rsidRPr="00E877C8">
              <w:rPr>
                <w:rFonts w:asciiTheme="minorHAnsi" w:hAnsiTheme="minorHAnsi"/>
                <w:sz w:val="22"/>
              </w:rPr>
              <w:t>Net debt at year end</w:t>
            </w:r>
          </w:p>
        </w:tc>
        <w:tc>
          <w:tcPr>
            <w:tcW w:w="2648" w:type="dxa"/>
            <w:gridSpan w:val="2"/>
            <w:tcBorders>
              <w:top w:val="nil"/>
              <w:left w:val="nil"/>
              <w:bottom w:val="single" w:sz="4" w:space="0" w:color="auto"/>
              <w:right w:val="nil"/>
            </w:tcBorders>
            <w:shd w:val="clear" w:color="auto" w:fill="auto"/>
          </w:tcPr>
          <w:p w14:paraId="67ECF193" w14:textId="6D8D7F3F" w:rsidR="00926ECB" w:rsidRPr="00E877C8" w:rsidRDefault="00E52894" w:rsidP="00926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r w:rsidRPr="00931041">
              <w:rPr>
                <w:rFonts w:asciiTheme="minorHAnsi" w:hAnsiTheme="minorHAnsi" w:cs="Times New Roman"/>
                <w:sz w:val="22"/>
                <w:szCs w:val="22"/>
                <w:lang w:eastAsia="en-IE"/>
              </w:rPr>
              <w:t>26</w:t>
            </w:r>
            <w:r>
              <w:rPr>
                <w:rFonts w:asciiTheme="minorHAnsi" w:hAnsiTheme="minorHAnsi" w:cs="Times New Roman"/>
                <w:sz w:val="22"/>
                <w:szCs w:val="22"/>
                <w:lang w:eastAsia="en-IE"/>
              </w:rPr>
              <w:t>5</w:t>
            </w:r>
          </w:p>
        </w:tc>
        <w:tc>
          <w:tcPr>
            <w:tcW w:w="1134" w:type="dxa"/>
            <w:tcBorders>
              <w:top w:val="nil"/>
              <w:left w:val="nil"/>
              <w:bottom w:val="single" w:sz="4" w:space="0" w:color="auto"/>
              <w:right w:val="nil"/>
            </w:tcBorders>
            <w:shd w:val="clear" w:color="auto" w:fill="auto"/>
          </w:tcPr>
          <w:p w14:paraId="07FC9489" w14:textId="1B93280B" w:rsidR="00926ECB" w:rsidRPr="00E877C8" w:rsidRDefault="00926ECB" w:rsidP="00926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r w:rsidRPr="00931041">
              <w:rPr>
                <w:rFonts w:asciiTheme="minorHAnsi" w:hAnsiTheme="minorHAnsi" w:cstheme="minorHAnsi"/>
                <w:sz w:val="22"/>
                <w:szCs w:val="22"/>
                <w:lang w:eastAsia="en-IE"/>
              </w:rPr>
              <w:t>162</w:t>
            </w:r>
          </w:p>
        </w:tc>
        <w:tc>
          <w:tcPr>
            <w:tcW w:w="1134" w:type="dxa"/>
            <w:tcBorders>
              <w:top w:val="nil"/>
              <w:left w:val="nil"/>
              <w:bottom w:val="single" w:sz="4" w:space="0" w:color="auto"/>
              <w:right w:val="nil"/>
            </w:tcBorders>
          </w:tcPr>
          <w:p w14:paraId="7FDAFB92" w14:textId="4E914896" w:rsidR="00926ECB" w:rsidRPr="00E877C8" w:rsidRDefault="00926ECB" w:rsidP="00926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22"/>
              </w:rPr>
            </w:pPr>
          </w:p>
        </w:tc>
        <w:tc>
          <w:tcPr>
            <w:tcW w:w="1275" w:type="dxa"/>
            <w:tcBorders>
              <w:top w:val="nil"/>
              <w:left w:val="nil"/>
              <w:bottom w:val="single" w:sz="4" w:space="0" w:color="auto"/>
              <w:right w:val="single" w:sz="4" w:space="0" w:color="auto"/>
            </w:tcBorders>
          </w:tcPr>
          <w:p w14:paraId="190C8F9F" w14:textId="77777777" w:rsidR="00926ECB" w:rsidRPr="00E877C8" w:rsidRDefault="00926ECB" w:rsidP="00926EC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r>
    </w:tbl>
    <w:p w14:paraId="2ACA1939" w14:textId="3891BCFA" w:rsidR="001113C0" w:rsidRDefault="001113C0" w:rsidP="004070FF">
      <w:pPr>
        <w:spacing w:after="40"/>
        <w:jc w:val="both"/>
        <w:rPr>
          <w:rFonts w:asciiTheme="minorHAnsi" w:hAnsiTheme="minorHAnsi"/>
          <w:b/>
          <w:sz w:val="22"/>
          <w:szCs w:val="22"/>
        </w:rPr>
      </w:pPr>
      <w:r>
        <w:rPr>
          <w:rFonts w:asciiTheme="minorHAnsi" w:hAnsiTheme="minorHAnsi"/>
          <w:i/>
          <w:sz w:val="16"/>
          <w:szCs w:val="16"/>
        </w:rPr>
        <w:t>Differences due to rounding</w:t>
      </w:r>
    </w:p>
    <w:p w14:paraId="60A25CA1" w14:textId="4AE0BD47" w:rsidR="000247DA" w:rsidRPr="004F4D91" w:rsidRDefault="000247DA" w:rsidP="000247DA">
      <w:pPr>
        <w:spacing w:before="120" w:after="40"/>
        <w:jc w:val="both"/>
        <w:rPr>
          <w:rFonts w:asciiTheme="minorHAnsi" w:hAnsiTheme="minorHAnsi"/>
          <w:b/>
          <w:sz w:val="22"/>
          <w:szCs w:val="22"/>
        </w:rPr>
      </w:pPr>
      <w:r w:rsidRPr="004F4D91">
        <w:rPr>
          <w:rFonts w:asciiTheme="minorHAnsi" w:hAnsiTheme="minorHAnsi"/>
          <w:b/>
          <w:sz w:val="22"/>
          <w:szCs w:val="22"/>
        </w:rPr>
        <w:t>Financial and operational highlights (in constant currency</w:t>
      </w:r>
      <w:r w:rsidRPr="004F4D91">
        <w:rPr>
          <w:rFonts w:asciiTheme="minorHAnsi" w:hAnsiTheme="minorHAnsi"/>
          <w:b/>
          <w:sz w:val="22"/>
          <w:szCs w:val="22"/>
          <w:vertAlign w:val="superscript"/>
        </w:rPr>
        <w:t>3</w:t>
      </w:r>
      <w:r w:rsidRPr="004F4D91">
        <w:rPr>
          <w:rFonts w:asciiTheme="minorHAnsi" w:hAnsiTheme="minorHAnsi"/>
          <w:b/>
          <w:sz w:val="22"/>
          <w:szCs w:val="22"/>
        </w:rPr>
        <w:t>):</w:t>
      </w:r>
    </w:p>
    <w:p w14:paraId="4FC882A7" w14:textId="658BD5F5" w:rsidR="000247DA" w:rsidRDefault="000247DA" w:rsidP="000247DA">
      <w:pPr>
        <w:widowControl/>
        <w:numPr>
          <w:ilvl w:val="0"/>
          <w:numId w:val="17"/>
        </w:numPr>
        <w:autoSpaceDE/>
        <w:autoSpaceDN/>
        <w:adjustRightInd/>
        <w:spacing w:after="80"/>
        <w:ind w:left="568" w:hanging="284"/>
        <w:jc w:val="both"/>
        <w:rPr>
          <w:rFonts w:asciiTheme="minorHAnsi" w:hAnsiTheme="minorHAnsi"/>
          <w:sz w:val="22"/>
          <w:szCs w:val="22"/>
        </w:rPr>
      </w:pPr>
      <w:r>
        <w:rPr>
          <w:rFonts w:asciiTheme="minorHAnsi" w:hAnsiTheme="minorHAnsi"/>
          <w:b/>
          <w:sz w:val="22"/>
          <w:szCs w:val="22"/>
        </w:rPr>
        <w:t xml:space="preserve">Group: </w:t>
      </w:r>
      <w:r w:rsidR="00772EB5">
        <w:rPr>
          <w:rFonts w:asciiTheme="minorHAnsi" w:hAnsiTheme="minorHAnsi"/>
          <w:sz w:val="22"/>
          <w:szCs w:val="22"/>
        </w:rPr>
        <w:t>Underlying</w:t>
      </w:r>
      <w:r w:rsidR="00772EB5" w:rsidRPr="00EE61FC">
        <w:rPr>
          <w:rFonts w:asciiTheme="minorHAnsi" w:hAnsiTheme="minorHAnsi"/>
          <w:sz w:val="22"/>
          <w:szCs w:val="22"/>
          <w:vertAlign w:val="superscript"/>
        </w:rPr>
        <w:t>1</w:t>
      </w:r>
      <w:r w:rsidR="00772EB5">
        <w:rPr>
          <w:rFonts w:asciiTheme="minorHAnsi" w:hAnsiTheme="minorHAnsi"/>
          <w:sz w:val="22"/>
          <w:szCs w:val="22"/>
        </w:rPr>
        <w:t xml:space="preserve"> </w:t>
      </w:r>
      <w:r w:rsidRPr="009A4842">
        <w:rPr>
          <w:rFonts w:asciiTheme="minorHAnsi" w:hAnsiTheme="minorHAnsi"/>
          <w:sz w:val="22"/>
          <w:szCs w:val="22"/>
        </w:rPr>
        <w:t>EBITDA</w:t>
      </w:r>
      <w:r w:rsidRPr="00EE61FC">
        <w:rPr>
          <w:rFonts w:asciiTheme="minorHAnsi" w:hAnsiTheme="minorHAnsi"/>
          <w:sz w:val="22"/>
          <w:szCs w:val="22"/>
          <w:vertAlign w:val="superscript"/>
        </w:rPr>
        <w:t>2</w:t>
      </w:r>
      <w:r w:rsidRPr="009A4842">
        <w:rPr>
          <w:rFonts w:asciiTheme="minorHAnsi" w:hAnsiTheme="minorHAnsi"/>
          <w:sz w:val="22"/>
          <w:szCs w:val="22"/>
        </w:rPr>
        <w:t xml:space="preserve"> </w:t>
      </w:r>
      <w:r w:rsidRPr="00AC69D1">
        <w:rPr>
          <w:rFonts w:asciiTheme="minorHAnsi" w:hAnsiTheme="minorHAnsi"/>
          <w:sz w:val="22"/>
          <w:szCs w:val="22"/>
        </w:rPr>
        <w:t>of £42</w:t>
      </w:r>
      <w:r w:rsidR="00860946">
        <w:rPr>
          <w:rFonts w:asciiTheme="minorHAnsi" w:hAnsiTheme="minorHAnsi"/>
          <w:sz w:val="22"/>
          <w:szCs w:val="22"/>
        </w:rPr>
        <w:t>6</w:t>
      </w:r>
      <w:r w:rsidRPr="00AC69D1">
        <w:rPr>
          <w:rFonts w:asciiTheme="minorHAnsi" w:hAnsiTheme="minorHAnsi"/>
          <w:sz w:val="22"/>
          <w:szCs w:val="22"/>
        </w:rPr>
        <w:t>m</w:t>
      </w:r>
      <w:r>
        <w:rPr>
          <w:rFonts w:asciiTheme="minorHAnsi" w:hAnsiTheme="minorHAnsi"/>
          <w:sz w:val="22"/>
          <w:szCs w:val="22"/>
        </w:rPr>
        <w:t xml:space="preserve"> </w:t>
      </w:r>
      <w:r w:rsidR="00117B54">
        <w:rPr>
          <w:rFonts w:asciiTheme="minorHAnsi" w:hAnsiTheme="minorHAnsi"/>
          <w:sz w:val="22"/>
          <w:szCs w:val="22"/>
        </w:rPr>
        <w:t>(</w:t>
      </w:r>
      <w:r>
        <w:rPr>
          <w:rFonts w:asciiTheme="minorHAnsi" w:hAnsiTheme="minorHAnsi"/>
          <w:sz w:val="22"/>
          <w:szCs w:val="22"/>
        </w:rPr>
        <w:t>ex</w:t>
      </w:r>
      <w:r w:rsidR="00117B54">
        <w:rPr>
          <w:rFonts w:asciiTheme="minorHAnsi" w:hAnsiTheme="minorHAnsi"/>
          <w:sz w:val="22"/>
          <w:szCs w:val="22"/>
        </w:rPr>
        <w:t xml:space="preserve">cluding US) </w:t>
      </w:r>
      <w:r>
        <w:rPr>
          <w:rFonts w:asciiTheme="minorHAnsi" w:hAnsiTheme="minorHAnsi"/>
          <w:sz w:val="22"/>
          <w:szCs w:val="22"/>
        </w:rPr>
        <w:t xml:space="preserve">and £40m loss </w:t>
      </w:r>
      <w:r w:rsidR="00A97D43">
        <w:rPr>
          <w:rFonts w:asciiTheme="minorHAnsi" w:hAnsiTheme="minorHAnsi"/>
          <w:sz w:val="22"/>
          <w:szCs w:val="22"/>
        </w:rPr>
        <w:t xml:space="preserve">in the </w:t>
      </w:r>
      <w:r>
        <w:rPr>
          <w:rFonts w:asciiTheme="minorHAnsi" w:hAnsiTheme="minorHAnsi"/>
          <w:sz w:val="22"/>
          <w:szCs w:val="22"/>
        </w:rPr>
        <w:t xml:space="preserve">US, </w:t>
      </w:r>
      <w:r w:rsidRPr="00AC69D1">
        <w:rPr>
          <w:rFonts w:asciiTheme="minorHAnsi" w:hAnsiTheme="minorHAnsi"/>
          <w:sz w:val="22"/>
          <w:szCs w:val="22"/>
        </w:rPr>
        <w:t>in line with guidance</w:t>
      </w:r>
    </w:p>
    <w:p w14:paraId="1A6F628C" w14:textId="77777777" w:rsidR="0098597E" w:rsidRPr="00002395" w:rsidRDefault="0098597E" w:rsidP="00CD1403">
      <w:pPr>
        <w:widowControl/>
        <w:numPr>
          <w:ilvl w:val="0"/>
          <w:numId w:val="19"/>
        </w:numPr>
        <w:autoSpaceDE/>
        <w:autoSpaceDN/>
        <w:adjustRightInd/>
        <w:spacing w:after="80"/>
        <w:jc w:val="both"/>
        <w:rPr>
          <w:rFonts w:asciiTheme="minorHAnsi" w:hAnsiTheme="minorHAnsi"/>
          <w:vanish/>
          <w:sz w:val="22"/>
          <w:szCs w:val="22"/>
          <w:specVanish/>
        </w:rPr>
      </w:pPr>
    </w:p>
    <w:p w14:paraId="1336C30D" w14:textId="77777777" w:rsidR="0098597E" w:rsidRPr="00002395" w:rsidRDefault="0098597E" w:rsidP="00CD1403">
      <w:pPr>
        <w:widowControl/>
        <w:numPr>
          <w:ilvl w:val="0"/>
          <w:numId w:val="19"/>
        </w:numPr>
        <w:autoSpaceDE/>
        <w:autoSpaceDN/>
        <w:adjustRightInd/>
        <w:spacing w:after="80"/>
        <w:jc w:val="both"/>
        <w:rPr>
          <w:rFonts w:asciiTheme="minorHAnsi" w:hAnsiTheme="minorHAnsi"/>
          <w:vanish/>
          <w:sz w:val="22"/>
          <w:szCs w:val="22"/>
          <w:specVanish/>
        </w:rPr>
      </w:pPr>
    </w:p>
    <w:p w14:paraId="1FE67DD6" w14:textId="77777777" w:rsidR="0098597E" w:rsidRPr="00002395" w:rsidRDefault="0098597E" w:rsidP="00CD1403">
      <w:pPr>
        <w:widowControl/>
        <w:numPr>
          <w:ilvl w:val="0"/>
          <w:numId w:val="19"/>
        </w:numPr>
        <w:autoSpaceDE/>
        <w:autoSpaceDN/>
        <w:adjustRightInd/>
        <w:spacing w:after="80"/>
        <w:jc w:val="both"/>
        <w:rPr>
          <w:rFonts w:asciiTheme="minorHAnsi" w:hAnsiTheme="minorHAnsi"/>
          <w:vanish/>
          <w:sz w:val="22"/>
          <w:szCs w:val="22"/>
          <w:specVanish/>
        </w:rPr>
      </w:pPr>
    </w:p>
    <w:p w14:paraId="5A4913B0" w14:textId="57B4867F" w:rsidR="000247DA" w:rsidRPr="00CD2806" w:rsidRDefault="000247DA" w:rsidP="00CC3D5E">
      <w:pPr>
        <w:widowControl/>
        <w:numPr>
          <w:ilvl w:val="0"/>
          <w:numId w:val="18"/>
        </w:numPr>
        <w:autoSpaceDE/>
        <w:autoSpaceDN/>
        <w:adjustRightInd/>
        <w:spacing w:after="120"/>
        <w:ind w:left="1003" w:hanging="357"/>
        <w:jc w:val="both"/>
        <w:rPr>
          <w:rFonts w:asciiTheme="minorHAnsi" w:hAnsiTheme="minorHAnsi"/>
          <w:sz w:val="22"/>
          <w:szCs w:val="22"/>
        </w:rPr>
      </w:pPr>
      <w:r w:rsidRPr="00CD2806">
        <w:rPr>
          <w:rFonts w:asciiTheme="minorHAnsi" w:hAnsiTheme="minorHAnsi"/>
          <w:b/>
          <w:sz w:val="22"/>
          <w:szCs w:val="22"/>
        </w:rPr>
        <w:t xml:space="preserve">PPB </w:t>
      </w:r>
      <w:r w:rsidR="005D3A8F">
        <w:rPr>
          <w:rFonts w:asciiTheme="minorHAnsi" w:hAnsiTheme="minorHAnsi"/>
          <w:b/>
          <w:sz w:val="22"/>
          <w:szCs w:val="22"/>
        </w:rPr>
        <w:t>O</w:t>
      </w:r>
      <w:r w:rsidR="005D3A8F" w:rsidRPr="00A524FE">
        <w:rPr>
          <w:rFonts w:asciiTheme="minorHAnsi" w:hAnsiTheme="minorHAnsi"/>
          <w:b/>
          <w:sz w:val="22"/>
          <w:szCs w:val="22"/>
        </w:rPr>
        <w:t>nline</w:t>
      </w:r>
      <w:r w:rsidRPr="00CC3D5E">
        <w:rPr>
          <w:rFonts w:asciiTheme="minorHAnsi" w:hAnsiTheme="minorHAnsi"/>
          <w:b/>
          <w:sz w:val="22"/>
          <w:szCs w:val="22"/>
        </w:rPr>
        <w:t>:</w:t>
      </w:r>
      <w:r w:rsidRPr="00CD2806">
        <w:rPr>
          <w:rFonts w:asciiTheme="minorHAnsi" w:hAnsiTheme="minorHAnsi"/>
          <w:sz w:val="22"/>
          <w:szCs w:val="22"/>
        </w:rPr>
        <w:t xml:space="preserve"> </w:t>
      </w:r>
      <w:r w:rsidR="00C9524A" w:rsidRPr="00CD2806">
        <w:rPr>
          <w:rFonts w:asciiTheme="minorHAnsi" w:hAnsiTheme="minorHAnsi"/>
          <w:sz w:val="22"/>
          <w:szCs w:val="22"/>
        </w:rPr>
        <w:t xml:space="preserve">6% </w:t>
      </w:r>
      <w:r w:rsidRPr="00A524FE">
        <w:rPr>
          <w:rFonts w:asciiTheme="minorHAnsi" w:hAnsiTheme="minorHAnsi"/>
          <w:sz w:val="22"/>
          <w:szCs w:val="22"/>
        </w:rPr>
        <w:t xml:space="preserve">revenue growth </w:t>
      </w:r>
      <w:r w:rsidR="008B26ED">
        <w:rPr>
          <w:rFonts w:asciiTheme="minorHAnsi" w:hAnsiTheme="minorHAnsi"/>
          <w:sz w:val="22"/>
          <w:szCs w:val="22"/>
        </w:rPr>
        <w:t xml:space="preserve">impacted by our </w:t>
      </w:r>
      <w:r w:rsidR="00F77741">
        <w:rPr>
          <w:rFonts w:asciiTheme="minorHAnsi" w:hAnsiTheme="minorHAnsi"/>
          <w:sz w:val="22"/>
          <w:szCs w:val="22"/>
        </w:rPr>
        <w:t>enhanced</w:t>
      </w:r>
      <w:r w:rsidR="00210FB5">
        <w:rPr>
          <w:rFonts w:asciiTheme="minorHAnsi" w:hAnsiTheme="minorHAnsi"/>
          <w:sz w:val="22"/>
          <w:szCs w:val="22"/>
        </w:rPr>
        <w:t xml:space="preserve"> responsible gambling initiatives</w:t>
      </w:r>
    </w:p>
    <w:p w14:paraId="082E5CB9" w14:textId="6F1C9133" w:rsidR="0098597E" w:rsidRPr="00AC69D1" w:rsidRDefault="0098597E" w:rsidP="00CC3D5E">
      <w:pPr>
        <w:widowControl/>
        <w:numPr>
          <w:ilvl w:val="0"/>
          <w:numId w:val="18"/>
        </w:numPr>
        <w:autoSpaceDE/>
        <w:autoSpaceDN/>
        <w:adjustRightInd/>
        <w:spacing w:after="120"/>
        <w:ind w:left="1003" w:hanging="357"/>
        <w:jc w:val="both"/>
        <w:rPr>
          <w:rFonts w:asciiTheme="minorHAnsi" w:hAnsiTheme="minorHAnsi"/>
          <w:sz w:val="22"/>
          <w:szCs w:val="22"/>
        </w:rPr>
      </w:pPr>
      <w:r w:rsidRPr="00A524FE">
        <w:rPr>
          <w:rFonts w:asciiTheme="minorHAnsi" w:hAnsiTheme="minorHAnsi"/>
          <w:b/>
          <w:sz w:val="22"/>
          <w:szCs w:val="22"/>
        </w:rPr>
        <w:t>Australia:</w:t>
      </w:r>
      <w:r>
        <w:rPr>
          <w:rFonts w:asciiTheme="minorHAnsi" w:hAnsiTheme="minorHAnsi"/>
          <w:sz w:val="22"/>
          <w:szCs w:val="22"/>
        </w:rPr>
        <w:t xml:space="preserve"> </w:t>
      </w:r>
      <w:r w:rsidR="002B1D61">
        <w:rPr>
          <w:rFonts w:asciiTheme="minorHAnsi" w:hAnsiTheme="minorHAnsi"/>
          <w:sz w:val="22"/>
          <w:szCs w:val="22"/>
        </w:rPr>
        <w:t>14</w:t>
      </w:r>
      <w:r w:rsidR="00A524FE">
        <w:rPr>
          <w:rFonts w:asciiTheme="minorHAnsi" w:hAnsiTheme="minorHAnsi"/>
          <w:sz w:val="22"/>
          <w:szCs w:val="22"/>
        </w:rPr>
        <w:t xml:space="preserve">% </w:t>
      </w:r>
      <w:r>
        <w:rPr>
          <w:rFonts w:asciiTheme="minorHAnsi" w:hAnsiTheme="minorHAnsi"/>
          <w:sz w:val="22"/>
          <w:szCs w:val="22"/>
        </w:rPr>
        <w:t xml:space="preserve">revenue growth </w:t>
      </w:r>
      <w:r w:rsidR="008B26ED">
        <w:rPr>
          <w:rFonts w:asciiTheme="minorHAnsi" w:hAnsiTheme="minorHAnsi"/>
          <w:sz w:val="22"/>
          <w:szCs w:val="22"/>
        </w:rPr>
        <w:t xml:space="preserve">offsetting </w:t>
      </w:r>
      <w:r w:rsidR="00E469AA">
        <w:rPr>
          <w:rFonts w:asciiTheme="minorHAnsi" w:hAnsiTheme="minorHAnsi"/>
          <w:sz w:val="22"/>
          <w:szCs w:val="22"/>
        </w:rPr>
        <w:t xml:space="preserve">much of the </w:t>
      </w:r>
      <w:r w:rsidR="008B26ED">
        <w:rPr>
          <w:rFonts w:asciiTheme="minorHAnsi" w:hAnsiTheme="minorHAnsi"/>
          <w:sz w:val="22"/>
          <w:szCs w:val="22"/>
        </w:rPr>
        <w:t>material tax increases</w:t>
      </w:r>
      <w:r w:rsidR="003123AB">
        <w:rPr>
          <w:rFonts w:asciiTheme="minorHAnsi" w:hAnsiTheme="minorHAnsi"/>
          <w:sz w:val="22"/>
          <w:szCs w:val="22"/>
        </w:rPr>
        <w:t xml:space="preserve"> </w:t>
      </w:r>
    </w:p>
    <w:p w14:paraId="24BE32F3" w14:textId="135098B0" w:rsidR="00A524FE" w:rsidRPr="004E5067" w:rsidRDefault="000247DA" w:rsidP="00CC3D5E">
      <w:pPr>
        <w:widowControl/>
        <w:numPr>
          <w:ilvl w:val="0"/>
          <w:numId w:val="18"/>
        </w:numPr>
        <w:autoSpaceDE/>
        <w:autoSpaceDN/>
        <w:adjustRightInd/>
        <w:spacing w:after="120"/>
        <w:ind w:left="1003" w:hanging="357"/>
        <w:jc w:val="both"/>
        <w:rPr>
          <w:rFonts w:asciiTheme="minorHAnsi" w:hAnsiTheme="minorHAnsi"/>
          <w:sz w:val="22"/>
          <w:szCs w:val="22"/>
        </w:rPr>
      </w:pPr>
      <w:r w:rsidRPr="00CD2806">
        <w:rPr>
          <w:rFonts w:asciiTheme="minorHAnsi" w:hAnsiTheme="minorHAnsi"/>
          <w:b/>
          <w:sz w:val="22"/>
          <w:szCs w:val="22"/>
        </w:rPr>
        <w:t>US:</w:t>
      </w:r>
      <w:r>
        <w:rPr>
          <w:rFonts w:asciiTheme="minorHAnsi" w:hAnsiTheme="minorHAnsi"/>
          <w:sz w:val="22"/>
          <w:szCs w:val="22"/>
        </w:rPr>
        <w:t xml:space="preserve"> </w:t>
      </w:r>
      <w:r w:rsidR="008B26ED">
        <w:rPr>
          <w:rFonts w:asciiTheme="minorHAnsi" w:hAnsiTheme="minorHAnsi"/>
          <w:sz w:val="22"/>
          <w:szCs w:val="22"/>
        </w:rPr>
        <w:t>#</w:t>
      </w:r>
      <w:r>
        <w:rPr>
          <w:rFonts w:asciiTheme="minorHAnsi" w:hAnsiTheme="minorHAnsi"/>
          <w:sz w:val="22"/>
          <w:szCs w:val="22"/>
        </w:rPr>
        <w:t xml:space="preserve">1 </w:t>
      </w:r>
      <w:r w:rsidR="00E62573">
        <w:rPr>
          <w:rFonts w:asciiTheme="minorHAnsi" w:hAnsiTheme="minorHAnsi"/>
          <w:sz w:val="22"/>
          <w:szCs w:val="22"/>
        </w:rPr>
        <w:t xml:space="preserve">online </w:t>
      </w:r>
      <w:r>
        <w:rPr>
          <w:rFonts w:asciiTheme="minorHAnsi" w:hAnsiTheme="minorHAnsi"/>
          <w:sz w:val="22"/>
          <w:szCs w:val="22"/>
        </w:rPr>
        <w:t>sportsbook</w:t>
      </w:r>
      <w:r w:rsidR="00566C83">
        <w:rPr>
          <w:rFonts w:asciiTheme="minorHAnsi" w:hAnsiTheme="minorHAnsi"/>
          <w:sz w:val="22"/>
          <w:szCs w:val="22"/>
        </w:rPr>
        <w:t xml:space="preserve"> </w:t>
      </w:r>
      <w:r w:rsidR="00E62573">
        <w:rPr>
          <w:rFonts w:asciiTheme="minorHAnsi" w:hAnsiTheme="minorHAnsi"/>
          <w:sz w:val="22"/>
          <w:szCs w:val="22"/>
        </w:rPr>
        <w:t xml:space="preserve">and </w:t>
      </w:r>
      <w:r w:rsidR="004070FF">
        <w:rPr>
          <w:rFonts w:asciiTheme="minorHAnsi" w:hAnsiTheme="minorHAnsi"/>
          <w:sz w:val="22"/>
          <w:szCs w:val="22"/>
        </w:rPr>
        <w:t xml:space="preserve">#1 online </w:t>
      </w:r>
      <w:r w:rsidR="00E62573">
        <w:rPr>
          <w:rFonts w:asciiTheme="minorHAnsi" w:hAnsiTheme="minorHAnsi"/>
          <w:sz w:val="22"/>
          <w:szCs w:val="22"/>
        </w:rPr>
        <w:t>casino</w:t>
      </w:r>
      <w:r>
        <w:rPr>
          <w:rFonts w:asciiTheme="minorHAnsi" w:hAnsiTheme="minorHAnsi"/>
          <w:sz w:val="22"/>
          <w:szCs w:val="22"/>
        </w:rPr>
        <w:t xml:space="preserve">; </w:t>
      </w:r>
      <w:r w:rsidR="00566C83">
        <w:rPr>
          <w:rFonts w:asciiTheme="minorHAnsi" w:hAnsiTheme="minorHAnsi"/>
          <w:sz w:val="22"/>
          <w:szCs w:val="22"/>
        </w:rPr>
        <w:t>44</w:t>
      </w:r>
      <w:r>
        <w:rPr>
          <w:rFonts w:asciiTheme="minorHAnsi" w:hAnsiTheme="minorHAnsi"/>
          <w:sz w:val="22"/>
          <w:szCs w:val="22"/>
        </w:rPr>
        <w:t xml:space="preserve">% </w:t>
      </w:r>
      <w:r w:rsidR="00566C83">
        <w:rPr>
          <w:rFonts w:asciiTheme="minorHAnsi" w:hAnsiTheme="minorHAnsi"/>
          <w:sz w:val="22"/>
          <w:szCs w:val="22"/>
        </w:rPr>
        <w:t xml:space="preserve">online </w:t>
      </w:r>
      <w:r w:rsidRPr="00AC69D1">
        <w:rPr>
          <w:rFonts w:asciiTheme="minorHAnsi" w:hAnsiTheme="minorHAnsi"/>
          <w:sz w:val="22"/>
          <w:szCs w:val="22"/>
        </w:rPr>
        <w:t xml:space="preserve">share in states </w:t>
      </w:r>
      <w:r w:rsidR="00B837EA">
        <w:rPr>
          <w:rFonts w:asciiTheme="minorHAnsi" w:hAnsiTheme="minorHAnsi"/>
          <w:sz w:val="22"/>
          <w:szCs w:val="22"/>
        </w:rPr>
        <w:t>where</w:t>
      </w:r>
      <w:r w:rsidRPr="00AC69D1">
        <w:rPr>
          <w:rFonts w:asciiTheme="minorHAnsi" w:hAnsiTheme="minorHAnsi"/>
          <w:sz w:val="22"/>
          <w:szCs w:val="22"/>
        </w:rPr>
        <w:t xml:space="preserve"> </w:t>
      </w:r>
      <w:r>
        <w:rPr>
          <w:rFonts w:asciiTheme="minorHAnsi" w:hAnsiTheme="minorHAnsi"/>
          <w:sz w:val="22"/>
          <w:szCs w:val="22"/>
        </w:rPr>
        <w:t>FanDuel</w:t>
      </w:r>
      <w:r w:rsidR="00A85F1B">
        <w:rPr>
          <w:rFonts w:asciiTheme="minorHAnsi" w:hAnsiTheme="minorHAnsi"/>
          <w:sz w:val="22"/>
          <w:szCs w:val="22"/>
        </w:rPr>
        <w:t xml:space="preserve"> </w:t>
      </w:r>
      <w:r w:rsidR="00F77741">
        <w:rPr>
          <w:rFonts w:asciiTheme="minorHAnsi" w:hAnsiTheme="minorHAnsi"/>
          <w:sz w:val="22"/>
          <w:szCs w:val="22"/>
        </w:rPr>
        <w:t xml:space="preserve">was </w:t>
      </w:r>
      <w:r w:rsidRPr="00AC69D1">
        <w:rPr>
          <w:rFonts w:asciiTheme="minorHAnsi" w:hAnsiTheme="minorHAnsi"/>
          <w:sz w:val="22"/>
          <w:szCs w:val="22"/>
        </w:rPr>
        <w:t>live</w:t>
      </w:r>
      <w:r w:rsidR="008B26ED">
        <w:rPr>
          <w:rFonts w:asciiTheme="minorHAnsi" w:hAnsiTheme="minorHAnsi"/>
          <w:sz w:val="22"/>
          <w:szCs w:val="22"/>
        </w:rPr>
        <w:t xml:space="preserve"> during 2019</w:t>
      </w:r>
    </w:p>
    <w:p w14:paraId="21ACD331" w14:textId="2526851F" w:rsidR="003123AB" w:rsidRPr="002008F7" w:rsidRDefault="00210FB5" w:rsidP="00210FB5">
      <w:pPr>
        <w:widowControl/>
        <w:numPr>
          <w:ilvl w:val="0"/>
          <w:numId w:val="18"/>
        </w:numPr>
        <w:autoSpaceDE/>
        <w:autoSpaceDN/>
        <w:adjustRightInd/>
        <w:spacing w:after="120"/>
        <w:ind w:left="1003" w:hanging="357"/>
        <w:jc w:val="both"/>
        <w:rPr>
          <w:rFonts w:asciiTheme="minorHAnsi" w:hAnsiTheme="minorHAnsi"/>
          <w:b/>
          <w:sz w:val="22"/>
          <w:szCs w:val="22"/>
        </w:rPr>
      </w:pPr>
      <w:r>
        <w:rPr>
          <w:rFonts w:asciiTheme="minorHAnsi" w:hAnsiTheme="minorHAnsi"/>
          <w:b/>
          <w:sz w:val="22"/>
          <w:szCs w:val="22"/>
        </w:rPr>
        <w:t>Group</w:t>
      </w:r>
      <w:r w:rsidR="00002395" w:rsidRPr="00CD2806">
        <w:rPr>
          <w:rFonts w:asciiTheme="minorHAnsi" w:hAnsiTheme="minorHAnsi"/>
          <w:b/>
          <w:sz w:val="22"/>
          <w:szCs w:val="22"/>
        </w:rPr>
        <w:t>:</w:t>
      </w:r>
      <w:r w:rsidR="00002395" w:rsidRPr="002008F7">
        <w:rPr>
          <w:rFonts w:asciiTheme="minorHAnsi" w:hAnsiTheme="minorHAnsi"/>
          <w:sz w:val="22"/>
        </w:rPr>
        <w:t xml:space="preserve"> </w:t>
      </w:r>
      <w:r w:rsidR="00AA7AF0">
        <w:rPr>
          <w:rFonts w:asciiTheme="minorHAnsi" w:hAnsiTheme="minorHAnsi"/>
          <w:sz w:val="22"/>
          <w:szCs w:val="22"/>
        </w:rPr>
        <w:t>O</w:t>
      </w:r>
      <w:r w:rsidR="00AA7AF0" w:rsidRPr="00210FB5">
        <w:rPr>
          <w:rFonts w:asciiTheme="minorHAnsi" w:hAnsiTheme="minorHAnsi"/>
          <w:sz w:val="22"/>
          <w:szCs w:val="22"/>
        </w:rPr>
        <w:t>nline</w:t>
      </w:r>
      <w:r w:rsidR="00AA7AF0" w:rsidRPr="002008F7">
        <w:rPr>
          <w:rFonts w:asciiTheme="minorHAnsi" w:hAnsiTheme="minorHAnsi"/>
          <w:sz w:val="22"/>
        </w:rPr>
        <w:t xml:space="preserve"> </w:t>
      </w:r>
      <w:r w:rsidR="00002395" w:rsidRPr="00210FB5">
        <w:rPr>
          <w:rFonts w:asciiTheme="minorHAnsi" w:hAnsiTheme="minorHAnsi"/>
          <w:sz w:val="22"/>
          <w:szCs w:val="22"/>
        </w:rPr>
        <w:t xml:space="preserve">revenue growth of 18% (2018: </w:t>
      </w:r>
      <w:r w:rsidR="00D01ED7">
        <w:rPr>
          <w:rFonts w:asciiTheme="minorHAnsi" w:hAnsiTheme="minorHAnsi"/>
          <w:sz w:val="22"/>
          <w:szCs w:val="22"/>
        </w:rPr>
        <w:t>11</w:t>
      </w:r>
      <w:r w:rsidR="00002395" w:rsidRPr="00A524FE">
        <w:rPr>
          <w:rFonts w:asciiTheme="minorHAnsi" w:hAnsiTheme="minorHAnsi"/>
          <w:sz w:val="22"/>
          <w:szCs w:val="22"/>
        </w:rPr>
        <w:t>%)</w:t>
      </w:r>
      <w:r w:rsidR="00A25B6C">
        <w:rPr>
          <w:rFonts w:asciiTheme="minorHAnsi" w:hAnsiTheme="minorHAnsi"/>
          <w:sz w:val="22"/>
          <w:szCs w:val="22"/>
        </w:rPr>
        <w:t>,</w:t>
      </w:r>
      <w:r w:rsidR="00002395" w:rsidRPr="00210FB5">
        <w:rPr>
          <w:rFonts w:asciiTheme="minorHAnsi" w:hAnsiTheme="minorHAnsi"/>
          <w:sz w:val="22"/>
          <w:szCs w:val="22"/>
        </w:rPr>
        <w:t xml:space="preserve"> materially offsetting year-on-year impact of £107m </w:t>
      </w:r>
      <w:r w:rsidR="00566C83">
        <w:rPr>
          <w:rFonts w:asciiTheme="minorHAnsi" w:hAnsiTheme="minorHAnsi"/>
          <w:sz w:val="22"/>
          <w:szCs w:val="22"/>
        </w:rPr>
        <w:t xml:space="preserve">in </w:t>
      </w:r>
      <w:r w:rsidR="00002395" w:rsidRPr="00210FB5">
        <w:rPr>
          <w:rFonts w:asciiTheme="minorHAnsi" w:hAnsiTheme="minorHAnsi"/>
          <w:sz w:val="22"/>
          <w:szCs w:val="22"/>
        </w:rPr>
        <w:t xml:space="preserve">incremental taxes and </w:t>
      </w:r>
      <w:r w:rsidR="00345AD3">
        <w:rPr>
          <w:rFonts w:asciiTheme="minorHAnsi" w:hAnsiTheme="minorHAnsi"/>
          <w:sz w:val="22"/>
        </w:rPr>
        <w:t>regulatory changes</w:t>
      </w:r>
    </w:p>
    <w:p w14:paraId="7B55CDAF" w14:textId="5607C58B" w:rsidR="000247DA" w:rsidRPr="002008F7" w:rsidRDefault="000247DA" w:rsidP="002008F7">
      <w:pPr>
        <w:widowControl/>
        <w:numPr>
          <w:ilvl w:val="0"/>
          <w:numId w:val="17"/>
        </w:numPr>
        <w:autoSpaceDE/>
        <w:autoSpaceDN/>
        <w:adjustRightInd/>
        <w:spacing w:after="120"/>
        <w:ind w:left="576" w:hanging="288"/>
        <w:jc w:val="both"/>
        <w:rPr>
          <w:rFonts w:asciiTheme="minorHAnsi" w:hAnsiTheme="minorHAnsi"/>
          <w:sz w:val="22"/>
          <w:szCs w:val="22"/>
        </w:rPr>
      </w:pPr>
      <w:r w:rsidRPr="00210FB5">
        <w:rPr>
          <w:rFonts w:asciiTheme="minorHAnsi" w:hAnsiTheme="minorHAnsi"/>
          <w:sz w:val="22"/>
          <w:szCs w:val="22"/>
        </w:rPr>
        <w:t xml:space="preserve">Proposed full year dividend </w:t>
      </w:r>
      <w:r w:rsidR="008B26ED">
        <w:rPr>
          <w:rFonts w:asciiTheme="minorHAnsi" w:hAnsiTheme="minorHAnsi"/>
          <w:sz w:val="22"/>
          <w:szCs w:val="22"/>
        </w:rPr>
        <w:t xml:space="preserve">maintained </w:t>
      </w:r>
      <w:r w:rsidR="008B26ED" w:rsidRPr="00E62573">
        <w:rPr>
          <w:rFonts w:asciiTheme="minorHAnsi" w:hAnsiTheme="minorHAnsi"/>
          <w:sz w:val="22"/>
          <w:szCs w:val="22"/>
        </w:rPr>
        <w:t xml:space="preserve">at </w:t>
      </w:r>
      <w:r w:rsidRPr="002A6B22">
        <w:rPr>
          <w:rFonts w:asciiTheme="minorHAnsi" w:hAnsiTheme="minorHAnsi"/>
          <w:sz w:val="22"/>
        </w:rPr>
        <w:t>200p</w:t>
      </w:r>
    </w:p>
    <w:p w14:paraId="6C832EDE" w14:textId="3AADB0BA" w:rsidR="000247DA" w:rsidRPr="00421DD0" w:rsidRDefault="000247DA" w:rsidP="004B0047">
      <w:pPr>
        <w:widowControl/>
        <w:numPr>
          <w:ilvl w:val="0"/>
          <w:numId w:val="17"/>
        </w:numPr>
        <w:autoSpaceDE/>
        <w:autoSpaceDN/>
        <w:adjustRightInd/>
        <w:spacing w:after="120"/>
        <w:ind w:left="576" w:hanging="288"/>
        <w:jc w:val="both"/>
        <w:rPr>
          <w:rFonts w:asciiTheme="minorHAnsi" w:hAnsiTheme="minorHAnsi"/>
          <w:sz w:val="22"/>
          <w:szCs w:val="22"/>
        </w:rPr>
      </w:pPr>
      <w:r>
        <w:rPr>
          <w:rFonts w:asciiTheme="minorHAnsi" w:hAnsiTheme="minorHAnsi"/>
          <w:sz w:val="22"/>
          <w:szCs w:val="22"/>
        </w:rPr>
        <w:t xml:space="preserve">Strong balance sheet with </w:t>
      </w:r>
      <w:r w:rsidRPr="00421DD0">
        <w:rPr>
          <w:rFonts w:asciiTheme="minorHAnsi" w:hAnsiTheme="minorHAnsi"/>
          <w:sz w:val="22"/>
          <w:szCs w:val="22"/>
        </w:rPr>
        <w:t xml:space="preserve">a </w:t>
      </w:r>
      <w:r w:rsidR="00CD03A0" w:rsidRPr="00421DD0">
        <w:rPr>
          <w:rFonts w:asciiTheme="minorHAnsi" w:hAnsiTheme="minorHAnsi"/>
          <w:sz w:val="22"/>
          <w:szCs w:val="22"/>
        </w:rPr>
        <w:t>leverage</w:t>
      </w:r>
      <w:r w:rsidRPr="00421DD0">
        <w:rPr>
          <w:rFonts w:asciiTheme="minorHAnsi" w:hAnsiTheme="minorHAnsi"/>
          <w:sz w:val="22"/>
          <w:szCs w:val="22"/>
        </w:rPr>
        <w:t xml:space="preserve"> ratio of 0.</w:t>
      </w:r>
      <w:r w:rsidR="00A524FE" w:rsidRPr="00421DD0">
        <w:rPr>
          <w:rFonts w:asciiTheme="minorHAnsi" w:hAnsiTheme="minorHAnsi"/>
          <w:sz w:val="22"/>
          <w:szCs w:val="22"/>
        </w:rPr>
        <w:t>7</w:t>
      </w:r>
      <w:r w:rsidRPr="00421DD0">
        <w:rPr>
          <w:rFonts w:asciiTheme="minorHAnsi" w:hAnsiTheme="minorHAnsi"/>
          <w:sz w:val="22"/>
          <w:szCs w:val="22"/>
        </w:rPr>
        <w:t xml:space="preserve"> </w:t>
      </w:r>
      <w:r w:rsidR="00421DD0">
        <w:rPr>
          <w:rFonts w:asciiTheme="minorHAnsi" w:hAnsiTheme="minorHAnsi"/>
          <w:sz w:val="22"/>
          <w:szCs w:val="22"/>
        </w:rPr>
        <w:t xml:space="preserve">times </w:t>
      </w:r>
      <w:r w:rsidRPr="00421DD0">
        <w:rPr>
          <w:rFonts w:asciiTheme="minorHAnsi" w:hAnsiTheme="minorHAnsi"/>
          <w:sz w:val="22"/>
          <w:szCs w:val="22"/>
        </w:rPr>
        <w:t>(</w:t>
      </w:r>
      <w:r w:rsidR="00CD03A0" w:rsidRPr="00421DD0">
        <w:rPr>
          <w:rFonts w:asciiTheme="minorHAnsi" w:hAnsiTheme="minorHAnsi"/>
          <w:sz w:val="22"/>
          <w:szCs w:val="22"/>
        </w:rPr>
        <w:t xml:space="preserve">31 December </w:t>
      </w:r>
      <w:r w:rsidRPr="00421DD0">
        <w:rPr>
          <w:rFonts w:asciiTheme="minorHAnsi" w:hAnsiTheme="minorHAnsi"/>
          <w:sz w:val="22"/>
          <w:szCs w:val="22"/>
        </w:rPr>
        <w:t>2018: 0.</w:t>
      </w:r>
      <w:r w:rsidR="005E48A5" w:rsidRPr="00421DD0">
        <w:rPr>
          <w:rFonts w:asciiTheme="minorHAnsi" w:hAnsiTheme="minorHAnsi"/>
          <w:sz w:val="22"/>
          <w:szCs w:val="22"/>
        </w:rPr>
        <w:t>4</w:t>
      </w:r>
      <w:r w:rsidRPr="00421DD0">
        <w:rPr>
          <w:rFonts w:asciiTheme="minorHAnsi" w:hAnsiTheme="minorHAnsi"/>
          <w:sz w:val="22"/>
          <w:szCs w:val="22"/>
        </w:rPr>
        <w:t>)</w:t>
      </w:r>
    </w:p>
    <w:p w14:paraId="042A49D8" w14:textId="52F067F6" w:rsidR="00326494" w:rsidRPr="004070FF" w:rsidRDefault="006A0FED" w:rsidP="002A6B22">
      <w:pPr>
        <w:widowControl/>
        <w:numPr>
          <w:ilvl w:val="0"/>
          <w:numId w:val="17"/>
        </w:numPr>
        <w:autoSpaceDE/>
        <w:autoSpaceDN/>
        <w:adjustRightInd/>
        <w:spacing w:after="120"/>
        <w:ind w:left="568" w:hanging="284"/>
        <w:jc w:val="both"/>
        <w:rPr>
          <w:rFonts w:asciiTheme="minorHAnsi" w:hAnsiTheme="minorHAnsi"/>
          <w:sz w:val="22"/>
          <w:szCs w:val="22"/>
        </w:rPr>
      </w:pPr>
      <w:r w:rsidRPr="004070FF">
        <w:rPr>
          <w:rFonts w:asciiTheme="minorHAnsi" w:hAnsiTheme="minorHAnsi"/>
          <w:sz w:val="22"/>
          <w:szCs w:val="22"/>
        </w:rPr>
        <w:t>E</w:t>
      </w:r>
      <w:r w:rsidR="00326494" w:rsidRPr="004070FF">
        <w:rPr>
          <w:rFonts w:asciiTheme="minorHAnsi" w:hAnsiTheme="minorHAnsi"/>
          <w:sz w:val="22"/>
          <w:szCs w:val="22"/>
        </w:rPr>
        <w:t>nhancement of our in-house responsible gambling</w:t>
      </w:r>
      <w:r w:rsidR="00421DD0" w:rsidRPr="004070FF">
        <w:rPr>
          <w:rFonts w:asciiTheme="minorHAnsi" w:hAnsiTheme="minorHAnsi"/>
          <w:sz w:val="22"/>
          <w:szCs w:val="22"/>
        </w:rPr>
        <w:t xml:space="preserve"> capabilities</w:t>
      </w:r>
      <w:r w:rsidR="004070FF" w:rsidRPr="004070FF">
        <w:rPr>
          <w:rFonts w:asciiTheme="minorHAnsi" w:hAnsiTheme="minorHAnsi"/>
          <w:sz w:val="22"/>
          <w:szCs w:val="22"/>
        </w:rPr>
        <w:t xml:space="preserve"> and interventions</w:t>
      </w:r>
    </w:p>
    <w:p w14:paraId="2167B9FB" w14:textId="77777777" w:rsidR="00326494" w:rsidRPr="00C35C87" w:rsidRDefault="00326494" w:rsidP="00326494">
      <w:pPr>
        <w:spacing w:after="40"/>
        <w:jc w:val="both"/>
        <w:rPr>
          <w:rFonts w:asciiTheme="minorHAnsi" w:hAnsiTheme="minorHAnsi"/>
          <w:b/>
          <w:sz w:val="22"/>
          <w:szCs w:val="22"/>
        </w:rPr>
      </w:pPr>
      <w:r>
        <w:rPr>
          <w:rFonts w:asciiTheme="minorHAnsi" w:hAnsiTheme="minorHAnsi"/>
          <w:b/>
          <w:sz w:val="22"/>
          <w:szCs w:val="22"/>
        </w:rPr>
        <w:t>Outlook and strategic update</w:t>
      </w:r>
      <w:r w:rsidRPr="00C35C87">
        <w:rPr>
          <w:rFonts w:asciiTheme="minorHAnsi" w:hAnsiTheme="minorHAnsi"/>
          <w:b/>
          <w:sz w:val="22"/>
          <w:szCs w:val="22"/>
        </w:rPr>
        <w:t xml:space="preserve">: </w:t>
      </w:r>
    </w:p>
    <w:p w14:paraId="2356A13C" w14:textId="462C2D82" w:rsidR="00326494" w:rsidRPr="000247DA" w:rsidRDefault="00326494" w:rsidP="00326494">
      <w:pPr>
        <w:widowControl/>
        <w:numPr>
          <w:ilvl w:val="0"/>
          <w:numId w:val="17"/>
        </w:numPr>
        <w:autoSpaceDE/>
        <w:autoSpaceDN/>
        <w:adjustRightInd/>
        <w:spacing w:after="40"/>
        <w:ind w:left="568" w:hanging="284"/>
        <w:jc w:val="both"/>
        <w:rPr>
          <w:rFonts w:asciiTheme="minorHAnsi" w:hAnsiTheme="minorHAnsi"/>
          <w:sz w:val="22"/>
          <w:szCs w:val="22"/>
        </w:rPr>
      </w:pPr>
      <w:r w:rsidRPr="00C35C87">
        <w:rPr>
          <w:rFonts w:asciiTheme="minorHAnsi" w:hAnsiTheme="minorHAnsi"/>
          <w:sz w:val="22"/>
          <w:szCs w:val="22"/>
        </w:rPr>
        <w:t xml:space="preserve">2020 </w:t>
      </w:r>
      <w:r>
        <w:rPr>
          <w:rFonts w:asciiTheme="minorHAnsi" w:hAnsiTheme="minorHAnsi"/>
          <w:sz w:val="22"/>
          <w:szCs w:val="22"/>
        </w:rPr>
        <w:t>has begun</w:t>
      </w:r>
      <w:r w:rsidRPr="00C35C87">
        <w:rPr>
          <w:rFonts w:asciiTheme="minorHAnsi" w:hAnsiTheme="minorHAnsi"/>
          <w:sz w:val="22"/>
          <w:szCs w:val="22"/>
        </w:rPr>
        <w:t xml:space="preserve"> </w:t>
      </w:r>
      <w:r w:rsidR="008B26ED">
        <w:rPr>
          <w:rFonts w:asciiTheme="minorHAnsi" w:hAnsiTheme="minorHAnsi"/>
          <w:sz w:val="22"/>
          <w:szCs w:val="22"/>
        </w:rPr>
        <w:t>strongly</w:t>
      </w:r>
      <w:r w:rsidRPr="00C35C87">
        <w:rPr>
          <w:rFonts w:asciiTheme="minorHAnsi" w:hAnsiTheme="minorHAnsi"/>
          <w:sz w:val="22"/>
          <w:szCs w:val="22"/>
        </w:rPr>
        <w:t xml:space="preserve">, with good </w:t>
      </w:r>
      <w:r w:rsidR="00B32C21">
        <w:rPr>
          <w:rFonts w:asciiTheme="minorHAnsi" w:hAnsiTheme="minorHAnsi"/>
          <w:sz w:val="22"/>
          <w:szCs w:val="22"/>
        </w:rPr>
        <w:t xml:space="preserve">customer and revenue </w:t>
      </w:r>
      <w:r w:rsidRPr="00C35C87">
        <w:rPr>
          <w:rFonts w:asciiTheme="minorHAnsi" w:hAnsiTheme="minorHAnsi"/>
          <w:sz w:val="22"/>
          <w:szCs w:val="22"/>
        </w:rPr>
        <w:t xml:space="preserve">momentum across </w:t>
      </w:r>
      <w:r>
        <w:rPr>
          <w:rFonts w:asciiTheme="minorHAnsi" w:hAnsiTheme="minorHAnsi"/>
          <w:sz w:val="22"/>
          <w:szCs w:val="22"/>
        </w:rPr>
        <w:t>all</w:t>
      </w:r>
      <w:r w:rsidRPr="00C35C87">
        <w:rPr>
          <w:rFonts w:asciiTheme="minorHAnsi" w:hAnsiTheme="minorHAnsi"/>
          <w:sz w:val="22"/>
          <w:szCs w:val="22"/>
        </w:rPr>
        <w:t xml:space="preserve"> divisions </w:t>
      </w:r>
    </w:p>
    <w:p w14:paraId="2C395AF8" w14:textId="2AE5D046" w:rsidR="00C001FC" w:rsidRPr="004070FF" w:rsidRDefault="004070FF" w:rsidP="00326494">
      <w:pPr>
        <w:widowControl/>
        <w:numPr>
          <w:ilvl w:val="0"/>
          <w:numId w:val="17"/>
        </w:numPr>
        <w:autoSpaceDE/>
        <w:autoSpaceDN/>
        <w:adjustRightInd/>
        <w:spacing w:after="40"/>
        <w:ind w:left="568" w:hanging="284"/>
        <w:jc w:val="both"/>
        <w:rPr>
          <w:rFonts w:asciiTheme="minorHAnsi" w:hAnsiTheme="minorHAnsi"/>
          <w:sz w:val="22"/>
          <w:szCs w:val="22"/>
        </w:rPr>
      </w:pPr>
      <w:r w:rsidRPr="004070FF">
        <w:rPr>
          <w:rFonts w:asciiTheme="minorHAnsi" w:hAnsiTheme="minorHAnsi"/>
          <w:sz w:val="22"/>
          <w:szCs w:val="22"/>
        </w:rPr>
        <w:t>N</w:t>
      </w:r>
      <w:r w:rsidR="00FB717B" w:rsidRPr="004070FF">
        <w:rPr>
          <w:rFonts w:asciiTheme="minorHAnsi" w:hAnsiTheme="minorHAnsi"/>
          <w:sz w:val="22"/>
          <w:szCs w:val="22"/>
        </w:rPr>
        <w:t>ew UK</w:t>
      </w:r>
      <w:r w:rsidR="00C001FC" w:rsidRPr="004070FF">
        <w:rPr>
          <w:rFonts w:asciiTheme="minorHAnsi" w:hAnsiTheme="minorHAnsi"/>
          <w:sz w:val="22"/>
          <w:szCs w:val="22"/>
        </w:rPr>
        <w:t xml:space="preserve"> credit card </w:t>
      </w:r>
      <w:r w:rsidR="00FB717B" w:rsidRPr="004070FF">
        <w:rPr>
          <w:rFonts w:asciiTheme="minorHAnsi" w:hAnsiTheme="minorHAnsi"/>
          <w:sz w:val="22"/>
          <w:szCs w:val="22"/>
        </w:rPr>
        <w:t xml:space="preserve">restrictions </w:t>
      </w:r>
      <w:r w:rsidRPr="004070FF">
        <w:rPr>
          <w:rFonts w:asciiTheme="minorHAnsi" w:hAnsiTheme="minorHAnsi"/>
          <w:sz w:val="22"/>
          <w:szCs w:val="22"/>
        </w:rPr>
        <w:t>from April and further responsible gambling/compliance improvements</w:t>
      </w:r>
    </w:p>
    <w:p w14:paraId="00C07B55" w14:textId="1FCFC849" w:rsidR="00326494" w:rsidRDefault="00326494" w:rsidP="00326494">
      <w:pPr>
        <w:widowControl/>
        <w:numPr>
          <w:ilvl w:val="0"/>
          <w:numId w:val="17"/>
        </w:numPr>
        <w:autoSpaceDE/>
        <w:autoSpaceDN/>
        <w:adjustRightInd/>
        <w:spacing w:after="40"/>
        <w:ind w:left="568" w:hanging="284"/>
        <w:jc w:val="both"/>
        <w:rPr>
          <w:rFonts w:asciiTheme="minorHAnsi" w:hAnsiTheme="minorHAnsi"/>
          <w:sz w:val="22"/>
          <w:szCs w:val="22"/>
        </w:rPr>
      </w:pPr>
      <w:r>
        <w:rPr>
          <w:rFonts w:asciiTheme="minorHAnsi" w:hAnsiTheme="minorHAnsi"/>
          <w:sz w:val="22"/>
          <w:szCs w:val="22"/>
        </w:rPr>
        <w:t xml:space="preserve">Integration planning progressing well for our proposed combination with The Stars Group </w:t>
      </w:r>
    </w:p>
    <w:p w14:paraId="73482A84" w14:textId="77777777" w:rsidR="00326494" w:rsidRDefault="00326494" w:rsidP="00781634">
      <w:pPr>
        <w:widowControl/>
        <w:numPr>
          <w:ilvl w:val="0"/>
          <w:numId w:val="24"/>
        </w:numPr>
        <w:autoSpaceDE/>
        <w:autoSpaceDN/>
        <w:adjustRightInd/>
        <w:spacing w:after="40"/>
        <w:jc w:val="both"/>
        <w:rPr>
          <w:rFonts w:asciiTheme="minorHAnsi" w:hAnsiTheme="minorHAnsi"/>
          <w:sz w:val="22"/>
          <w:szCs w:val="22"/>
        </w:rPr>
      </w:pPr>
      <w:r>
        <w:rPr>
          <w:rFonts w:asciiTheme="minorHAnsi" w:hAnsiTheme="minorHAnsi"/>
          <w:sz w:val="22"/>
          <w:szCs w:val="22"/>
        </w:rPr>
        <w:t xml:space="preserve">Working closely with relevant competition authorities globally to obtain the necessary clearances </w:t>
      </w:r>
    </w:p>
    <w:p w14:paraId="1D818009" w14:textId="0177476D" w:rsidR="00F930C0" w:rsidRDefault="00326494" w:rsidP="00781634">
      <w:pPr>
        <w:widowControl/>
        <w:numPr>
          <w:ilvl w:val="0"/>
          <w:numId w:val="24"/>
        </w:numPr>
        <w:autoSpaceDE/>
        <w:autoSpaceDN/>
        <w:adjustRightInd/>
        <w:spacing w:after="40"/>
        <w:jc w:val="both"/>
        <w:rPr>
          <w:rFonts w:asciiTheme="minorHAnsi" w:hAnsiTheme="minorHAnsi"/>
          <w:sz w:val="22"/>
          <w:szCs w:val="22"/>
        </w:rPr>
      </w:pPr>
      <w:r>
        <w:rPr>
          <w:rFonts w:asciiTheme="minorHAnsi" w:hAnsiTheme="minorHAnsi"/>
          <w:sz w:val="22"/>
          <w:szCs w:val="22"/>
        </w:rPr>
        <w:t>Continue to expect transaction to close in Q2</w:t>
      </w:r>
      <w:r w:rsidR="008B26ED">
        <w:rPr>
          <w:rFonts w:asciiTheme="minorHAnsi" w:hAnsiTheme="minorHAnsi"/>
          <w:sz w:val="22"/>
          <w:szCs w:val="22"/>
        </w:rPr>
        <w:t xml:space="preserve"> or </w:t>
      </w:r>
      <w:r>
        <w:rPr>
          <w:rFonts w:asciiTheme="minorHAnsi" w:hAnsiTheme="minorHAnsi"/>
          <w:sz w:val="22"/>
          <w:szCs w:val="22"/>
        </w:rPr>
        <w:t xml:space="preserve">Q3 2020  </w:t>
      </w:r>
    </w:p>
    <w:p w14:paraId="57FBC862" w14:textId="29A8C107" w:rsidR="00B70EB6" w:rsidRDefault="00B70EB6" w:rsidP="00B70EB6">
      <w:pPr>
        <w:widowControl/>
        <w:autoSpaceDE/>
        <w:autoSpaceDN/>
        <w:adjustRightInd/>
        <w:spacing w:after="40"/>
        <w:ind w:left="768"/>
        <w:jc w:val="both"/>
        <w:rPr>
          <w:rFonts w:asciiTheme="minorHAnsi" w:hAnsiTheme="minorHAnsi"/>
          <w:sz w:val="22"/>
          <w:szCs w:val="22"/>
        </w:rPr>
      </w:pPr>
    </w:p>
    <w:p w14:paraId="4A01E14A" w14:textId="452CB31E" w:rsidR="004070FF" w:rsidRDefault="004070FF" w:rsidP="00B70EB6">
      <w:pPr>
        <w:widowControl/>
        <w:autoSpaceDE/>
        <w:autoSpaceDN/>
        <w:adjustRightInd/>
        <w:spacing w:after="40"/>
        <w:ind w:left="768"/>
        <w:jc w:val="both"/>
        <w:rPr>
          <w:rFonts w:asciiTheme="minorHAnsi" w:hAnsiTheme="minorHAnsi"/>
          <w:sz w:val="22"/>
          <w:szCs w:val="22"/>
        </w:rPr>
      </w:pPr>
    </w:p>
    <w:p w14:paraId="5EE05A91" w14:textId="77777777" w:rsidR="004070FF" w:rsidRPr="00A049E9" w:rsidRDefault="004070FF" w:rsidP="00B70EB6">
      <w:pPr>
        <w:widowControl/>
        <w:autoSpaceDE/>
        <w:autoSpaceDN/>
        <w:adjustRightInd/>
        <w:spacing w:after="40"/>
        <w:ind w:left="768"/>
        <w:jc w:val="both"/>
        <w:rPr>
          <w:rFonts w:asciiTheme="minorHAnsi" w:hAnsiTheme="minorHAnsi"/>
          <w:sz w:val="22"/>
          <w:szCs w:val="22"/>
        </w:rPr>
      </w:pPr>
    </w:p>
    <w:p w14:paraId="4907AA1F" w14:textId="5218A57B" w:rsidR="005E7128" w:rsidRPr="001D045D" w:rsidRDefault="00324B39" w:rsidP="00324B39">
      <w:pPr>
        <w:jc w:val="both"/>
        <w:rPr>
          <w:rFonts w:asciiTheme="minorHAnsi" w:hAnsiTheme="minorHAnsi"/>
          <w:b/>
          <w:sz w:val="22"/>
          <w:szCs w:val="22"/>
        </w:rPr>
      </w:pPr>
      <w:r w:rsidRPr="006F3B8A">
        <w:rPr>
          <w:rFonts w:asciiTheme="minorHAnsi" w:hAnsiTheme="minorHAnsi"/>
          <w:b/>
          <w:sz w:val="22"/>
          <w:szCs w:val="22"/>
        </w:rPr>
        <w:lastRenderedPageBreak/>
        <w:t xml:space="preserve">Peter Jackson, Chief Executive, commented: </w:t>
      </w:r>
    </w:p>
    <w:p w14:paraId="7FE10C9B" w14:textId="77777777" w:rsidR="001D045D" w:rsidRDefault="001D045D" w:rsidP="001D045D">
      <w:pPr>
        <w:jc w:val="both"/>
        <w:rPr>
          <w:rFonts w:ascii="Calibri" w:hAnsi="Calibri" w:cs="Calibri"/>
          <w:i/>
          <w:sz w:val="22"/>
          <w:szCs w:val="22"/>
        </w:rPr>
      </w:pPr>
    </w:p>
    <w:p w14:paraId="293FCCC8" w14:textId="06CF7015" w:rsidR="00326494" w:rsidRDefault="00326494" w:rsidP="001D045D">
      <w:pPr>
        <w:spacing w:after="160"/>
        <w:jc w:val="both"/>
        <w:rPr>
          <w:rFonts w:ascii="Calibri" w:hAnsi="Calibri" w:cs="Calibri"/>
          <w:i/>
          <w:sz w:val="22"/>
          <w:szCs w:val="22"/>
        </w:rPr>
      </w:pPr>
      <w:r>
        <w:rPr>
          <w:rFonts w:ascii="Calibri" w:hAnsi="Calibri" w:cs="Calibri"/>
          <w:i/>
          <w:sz w:val="22"/>
          <w:szCs w:val="22"/>
        </w:rPr>
        <w:t xml:space="preserve">“2019 was a very significant year </w:t>
      </w:r>
      <w:r w:rsidRPr="006F3B8A">
        <w:rPr>
          <w:rFonts w:ascii="Calibri" w:hAnsi="Calibri" w:cs="Calibri"/>
          <w:i/>
          <w:sz w:val="22"/>
          <w:szCs w:val="22"/>
        </w:rPr>
        <w:t xml:space="preserve">for </w:t>
      </w:r>
      <w:r w:rsidR="00373010">
        <w:rPr>
          <w:rFonts w:ascii="Calibri" w:hAnsi="Calibri" w:cs="Calibri"/>
          <w:i/>
          <w:sz w:val="22"/>
          <w:szCs w:val="22"/>
        </w:rPr>
        <w:t>Flutter</w:t>
      </w:r>
      <w:r>
        <w:rPr>
          <w:rFonts w:ascii="Calibri" w:hAnsi="Calibri" w:cs="Calibri"/>
          <w:i/>
          <w:sz w:val="22"/>
          <w:szCs w:val="22"/>
        </w:rPr>
        <w:t xml:space="preserve">, with further successful expansion in the United States, enhancement of responsible gambling initiatives </w:t>
      </w:r>
      <w:r w:rsidR="006A0FED">
        <w:rPr>
          <w:rFonts w:ascii="Calibri" w:hAnsi="Calibri" w:cs="Calibri"/>
          <w:i/>
          <w:sz w:val="22"/>
          <w:szCs w:val="22"/>
        </w:rPr>
        <w:t xml:space="preserve">within </w:t>
      </w:r>
      <w:r>
        <w:rPr>
          <w:rFonts w:ascii="Calibri" w:hAnsi="Calibri" w:cs="Calibri"/>
          <w:i/>
          <w:sz w:val="22"/>
          <w:szCs w:val="22"/>
        </w:rPr>
        <w:t>our business and the announcement in October of our proposed merger with The Stars Group.</w:t>
      </w:r>
      <w:r w:rsidRPr="006F3B8A">
        <w:rPr>
          <w:rFonts w:ascii="Calibri" w:hAnsi="Calibri" w:cs="Calibri"/>
          <w:i/>
          <w:sz w:val="22"/>
          <w:szCs w:val="22"/>
        </w:rPr>
        <w:t xml:space="preserve"> I am </w:t>
      </w:r>
      <w:r>
        <w:rPr>
          <w:rFonts w:ascii="Calibri" w:hAnsi="Calibri" w:cs="Calibri"/>
          <w:i/>
          <w:sz w:val="22"/>
          <w:szCs w:val="22"/>
        </w:rPr>
        <w:t xml:space="preserve">immensely </w:t>
      </w:r>
      <w:r w:rsidRPr="006F3B8A">
        <w:rPr>
          <w:rFonts w:ascii="Calibri" w:hAnsi="Calibri" w:cs="Calibri"/>
          <w:i/>
          <w:sz w:val="22"/>
          <w:szCs w:val="22"/>
        </w:rPr>
        <w:t xml:space="preserve">proud of </w:t>
      </w:r>
      <w:r>
        <w:rPr>
          <w:rFonts w:ascii="Calibri" w:hAnsi="Calibri" w:cs="Calibri"/>
          <w:i/>
          <w:sz w:val="22"/>
          <w:szCs w:val="22"/>
        </w:rPr>
        <w:t xml:space="preserve">the Group’s performance given the </w:t>
      </w:r>
      <w:r w:rsidR="006A0FED">
        <w:rPr>
          <w:rFonts w:ascii="Calibri" w:hAnsi="Calibri" w:cs="Calibri"/>
          <w:i/>
          <w:sz w:val="22"/>
          <w:szCs w:val="22"/>
        </w:rPr>
        <w:t>complex</w:t>
      </w:r>
      <w:r w:rsidR="008B26ED">
        <w:rPr>
          <w:rFonts w:ascii="Calibri" w:hAnsi="Calibri" w:cs="Calibri"/>
          <w:i/>
          <w:sz w:val="22"/>
          <w:szCs w:val="22"/>
        </w:rPr>
        <w:t xml:space="preserve"> regulatory environment</w:t>
      </w:r>
      <w:r>
        <w:rPr>
          <w:rFonts w:ascii="Calibri" w:hAnsi="Calibri" w:cs="Calibri"/>
          <w:i/>
          <w:sz w:val="22"/>
          <w:szCs w:val="22"/>
        </w:rPr>
        <w:t xml:space="preserve">. The entrepreneurial culture of our business and the quality of our people are continuing to drive our global expansion while providing our teams with the opportunities they seek to develop their careers and gain new experiences. </w:t>
      </w:r>
    </w:p>
    <w:p w14:paraId="032ECB1A" w14:textId="73BF02B0" w:rsidR="00326494" w:rsidRPr="00AD6294" w:rsidRDefault="008B26ED" w:rsidP="00326494">
      <w:pPr>
        <w:spacing w:after="160" w:line="259" w:lineRule="auto"/>
        <w:jc w:val="both"/>
        <w:rPr>
          <w:rFonts w:ascii="Calibri" w:hAnsi="Calibri"/>
          <w:i/>
          <w:sz w:val="22"/>
        </w:rPr>
      </w:pPr>
      <w:r>
        <w:rPr>
          <w:rFonts w:ascii="Calibri" w:hAnsi="Calibri" w:cs="Calibri"/>
          <w:i/>
          <w:sz w:val="22"/>
          <w:szCs w:val="22"/>
        </w:rPr>
        <w:t xml:space="preserve">Responsible gambling is a critical component of our strategy. This is why we continue to </w:t>
      </w:r>
      <w:r w:rsidR="00326494">
        <w:rPr>
          <w:rFonts w:ascii="Calibri" w:hAnsi="Calibri" w:cs="Calibri"/>
          <w:i/>
          <w:sz w:val="22"/>
          <w:szCs w:val="22"/>
        </w:rPr>
        <w:t xml:space="preserve">raise our standards as a socially progressive operator and </w:t>
      </w:r>
      <w:r w:rsidR="005F3D1B">
        <w:rPr>
          <w:rFonts w:ascii="Calibri" w:hAnsi="Calibri" w:cs="Calibri"/>
          <w:i/>
          <w:sz w:val="22"/>
          <w:szCs w:val="22"/>
        </w:rPr>
        <w:t xml:space="preserve">to </w:t>
      </w:r>
      <w:r w:rsidR="00326494">
        <w:rPr>
          <w:rFonts w:ascii="Calibri" w:hAnsi="Calibri" w:cs="Calibri"/>
          <w:i/>
          <w:sz w:val="22"/>
          <w:szCs w:val="22"/>
        </w:rPr>
        <w:t>help to lead</w:t>
      </w:r>
      <w:r w:rsidR="00326494" w:rsidRPr="00AD6294">
        <w:rPr>
          <w:rFonts w:ascii="Calibri" w:hAnsi="Calibri"/>
          <w:i/>
          <w:sz w:val="22"/>
        </w:rPr>
        <w:t xml:space="preserve"> the industry </w:t>
      </w:r>
      <w:r w:rsidR="00326494">
        <w:rPr>
          <w:rFonts w:ascii="Calibri" w:hAnsi="Calibri" w:cs="Calibri"/>
          <w:i/>
          <w:sz w:val="22"/>
          <w:szCs w:val="22"/>
        </w:rPr>
        <w:t>in a race to the top when it comes to responsible gambling practices.</w:t>
      </w:r>
      <w:r w:rsidR="00326494" w:rsidRPr="00AD6294">
        <w:rPr>
          <w:rFonts w:ascii="Calibri" w:hAnsi="Calibri"/>
          <w:i/>
          <w:sz w:val="22"/>
        </w:rPr>
        <w:t xml:space="preserve"> While these changes </w:t>
      </w:r>
      <w:r w:rsidR="00326494">
        <w:rPr>
          <w:rFonts w:ascii="Calibri" w:hAnsi="Calibri" w:cs="Calibri"/>
          <w:i/>
          <w:sz w:val="22"/>
          <w:szCs w:val="22"/>
        </w:rPr>
        <w:t xml:space="preserve">are </w:t>
      </w:r>
      <w:r w:rsidR="00326494" w:rsidRPr="006F3B8A">
        <w:rPr>
          <w:rFonts w:ascii="Calibri" w:hAnsi="Calibri" w:cs="Calibri"/>
          <w:i/>
          <w:sz w:val="22"/>
          <w:szCs w:val="22"/>
        </w:rPr>
        <w:t>reduc</w:t>
      </w:r>
      <w:r w:rsidR="00326494">
        <w:rPr>
          <w:rFonts w:ascii="Calibri" w:hAnsi="Calibri" w:cs="Calibri"/>
          <w:i/>
          <w:sz w:val="22"/>
          <w:szCs w:val="22"/>
        </w:rPr>
        <w:t>ing</w:t>
      </w:r>
      <w:r w:rsidR="00326494" w:rsidRPr="00AD6294">
        <w:rPr>
          <w:rFonts w:ascii="Calibri" w:hAnsi="Calibri"/>
          <w:i/>
          <w:sz w:val="22"/>
        </w:rPr>
        <w:t xml:space="preserve"> our growth in the short-</w:t>
      </w:r>
      <w:r w:rsidR="00326494">
        <w:rPr>
          <w:rFonts w:ascii="Calibri" w:hAnsi="Calibri" w:cs="Calibri"/>
          <w:i/>
          <w:sz w:val="22"/>
          <w:szCs w:val="22"/>
        </w:rPr>
        <w:t>run</w:t>
      </w:r>
      <w:r w:rsidR="00326494" w:rsidRPr="00AD6294">
        <w:rPr>
          <w:rFonts w:ascii="Calibri" w:hAnsi="Calibri"/>
          <w:i/>
          <w:sz w:val="22"/>
        </w:rPr>
        <w:t xml:space="preserve">, we know that they are the right thing to do for our customers and for the sustainability of our business </w:t>
      </w:r>
      <w:r w:rsidR="00373010">
        <w:rPr>
          <w:rFonts w:ascii="Calibri" w:hAnsi="Calibri"/>
          <w:i/>
          <w:sz w:val="22"/>
        </w:rPr>
        <w:t xml:space="preserve">and the industry </w:t>
      </w:r>
      <w:r w:rsidR="00326494" w:rsidRPr="00AD6294">
        <w:rPr>
          <w:rFonts w:ascii="Calibri" w:hAnsi="Calibri"/>
          <w:i/>
          <w:sz w:val="22"/>
        </w:rPr>
        <w:t xml:space="preserve">in the long-run. </w:t>
      </w:r>
    </w:p>
    <w:p w14:paraId="6AD55070" w14:textId="356FF19C" w:rsidR="00B0159A" w:rsidRPr="006F3B8A" w:rsidRDefault="00B0159A" w:rsidP="00B0159A">
      <w:pPr>
        <w:spacing w:after="160" w:line="259" w:lineRule="auto"/>
        <w:jc w:val="both"/>
        <w:rPr>
          <w:rFonts w:ascii="Calibri" w:hAnsi="Calibri" w:cs="Calibri"/>
          <w:i/>
          <w:sz w:val="22"/>
          <w:szCs w:val="22"/>
        </w:rPr>
      </w:pPr>
      <w:r>
        <w:rPr>
          <w:rFonts w:ascii="Calibri" w:hAnsi="Calibri" w:cs="Calibri"/>
          <w:i/>
          <w:sz w:val="22"/>
          <w:szCs w:val="22"/>
        </w:rPr>
        <w:t xml:space="preserve">In the US, </w:t>
      </w:r>
      <w:r w:rsidRPr="006F3B8A">
        <w:rPr>
          <w:rFonts w:ascii="Calibri" w:hAnsi="Calibri" w:cs="Calibri"/>
          <w:i/>
          <w:sz w:val="22"/>
          <w:szCs w:val="22"/>
        </w:rPr>
        <w:t xml:space="preserve">FanDuel </w:t>
      </w:r>
      <w:r>
        <w:rPr>
          <w:rFonts w:ascii="Calibri" w:hAnsi="Calibri" w:cs="Calibri"/>
          <w:i/>
          <w:sz w:val="22"/>
          <w:szCs w:val="22"/>
        </w:rPr>
        <w:t xml:space="preserve">finished 2019 as the largest </w:t>
      </w:r>
      <w:r w:rsidR="00E62573">
        <w:rPr>
          <w:rFonts w:ascii="Calibri" w:hAnsi="Calibri" w:cs="Calibri"/>
          <w:i/>
          <w:sz w:val="22"/>
          <w:szCs w:val="22"/>
        </w:rPr>
        <w:t xml:space="preserve">online </w:t>
      </w:r>
      <w:r>
        <w:rPr>
          <w:rFonts w:ascii="Calibri" w:hAnsi="Calibri" w:cs="Calibri"/>
          <w:i/>
          <w:sz w:val="22"/>
          <w:szCs w:val="22"/>
        </w:rPr>
        <w:t xml:space="preserve">sportsbook </w:t>
      </w:r>
      <w:r w:rsidR="00E62573">
        <w:rPr>
          <w:rFonts w:ascii="Calibri" w:hAnsi="Calibri" w:cs="Calibri"/>
          <w:i/>
          <w:sz w:val="22"/>
          <w:szCs w:val="22"/>
        </w:rPr>
        <w:t>and casino</w:t>
      </w:r>
      <w:r>
        <w:rPr>
          <w:rFonts w:ascii="Calibri" w:hAnsi="Calibri" w:cs="Calibri"/>
          <w:i/>
          <w:sz w:val="22"/>
          <w:szCs w:val="22"/>
        </w:rPr>
        <w:t xml:space="preserve">, less than 18 months after the launch of our sports betting operations. Our online market share during 2019 of 44% in the states where we have gone live is testament to the quality of our products, brand and team. We remain as confident as ever in the size of the prize in the US and in our strategic approach which positions us well for the future. </w:t>
      </w:r>
    </w:p>
    <w:p w14:paraId="35324AA9" w14:textId="5B26E5D2" w:rsidR="00326494" w:rsidRPr="00AD6294" w:rsidRDefault="00326494" w:rsidP="00326494">
      <w:pPr>
        <w:spacing w:after="160" w:line="259" w:lineRule="auto"/>
        <w:jc w:val="both"/>
        <w:rPr>
          <w:rFonts w:ascii="Calibri" w:hAnsi="Calibri"/>
          <w:i/>
          <w:sz w:val="22"/>
        </w:rPr>
      </w:pPr>
      <w:r w:rsidRPr="00AD6294">
        <w:rPr>
          <w:rFonts w:ascii="Calibri" w:hAnsi="Calibri"/>
          <w:i/>
          <w:sz w:val="22"/>
        </w:rPr>
        <w:t xml:space="preserve">The new financial year </w:t>
      </w:r>
      <w:r w:rsidR="00DB58B1" w:rsidRPr="005947DC">
        <w:rPr>
          <w:rFonts w:ascii="Calibri" w:hAnsi="Calibri"/>
          <w:i/>
          <w:sz w:val="22"/>
        </w:rPr>
        <w:t>is off to</w:t>
      </w:r>
      <w:r w:rsidR="00CB567A" w:rsidRPr="005947DC">
        <w:rPr>
          <w:rFonts w:ascii="Calibri" w:hAnsi="Calibri" w:cs="Calibri"/>
          <w:i/>
          <w:sz w:val="22"/>
          <w:szCs w:val="22"/>
        </w:rPr>
        <w:t xml:space="preserve"> a strong start</w:t>
      </w:r>
      <w:r w:rsidRPr="00AD6294">
        <w:rPr>
          <w:rFonts w:ascii="Calibri" w:hAnsi="Calibri"/>
          <w:i/>
          <w:sz w:val="22"/>
        </w:rPr>
        <w:t xml:space="preserve"> with good momentum across </w:t>
      </w:r>
      <w:r w:rsidR="00373010">
        <w:rPr>
          <w:rFonts w:ascii="Calibri" w:hAnsi="Calibri"/>
          <w:i/>
          <w:sz w:val="22"/>
        </w:rPr>
        <w:t>all our</w:t>
      </w:r>
      <w:r w:rsidR="00373010" w:rsidRPr="00AD6294">
        <w:rPr>
          <w:rFonts w:ascii="Calibri" w:hAnsi="Calibri"/>
          <w:i/>
          <w:sz w:val="22"/>
        </w:rPr>
        <w:t xml:space="preserve"> </w:t>
      </w:r>
      <w:r w:rsidRPr="00AD6294">
        <w:rPr>
          <w:rFonts w:ascii="Calibri" w:hAnsi="Calibri"/>
          <w:i/>
          <w:sz w:val="22"/>
        </w:rPr>
        <w:t>brands. We are</w:t>
      </w:r>
      <w:r w:rsidRPr="006F3B8A">
        <w:rPr>
          <w:rFonts w:ascii="Calibri" w:hAnsi="Calibri" w:cs="Calibri"/>
          <w:i/>
          <w:sz w:val="22"/>
          <w:szCs w:val="22"/>
        </w:rPr>
        <w:t xml:space="preserve"> </w:t>
      </w:r>
      <w:r>
        <w:rPr>
          <w:rFonts w:ascii="Calibri" w:hAnsi="Calibri" w:cs="Calibri"/>
          <w:i/>
          <w:sz w:val="22"/>
          <w:szCs w:val="22"/>
        </w:rPr>
        <w:t>very</w:t>
      </w:r>
      <w:r w:rsidRPr="00AD6294">
        <w:rPr>
          <w:rFonts w:ascii="Calibri" w:hAnsi="Calibri"/>
          <w:i/>
          <w:sz w:val="22"/>
        </w:rPr>
        <w:t xml:space="preserve"> excited about the</w:t>
      </w:r>
      <w:r w:rsidR="00373010">
        <w:rPr>
          <w:rFonts w:ascii="Calibri" w:hAnsi="Calibri"/>
          <w:i/>
          <w:sz w:val="22"/>
        </w:rPr>
        <w:t xml:space="preserve"> Group’s</w:t>
      </w:r>
      <w:r w:rsidRPr="00AD6294">
        <w:rPr>
          <w:rFonts w:ascii="Calibri" w:hAnsi="Calibri"/>
          <w:i/>
          <w:sz w:val="22"/>
        </w:rPr>
        <w:t xml:space="preserve"> prospects and</w:t>
      </w:r>
      <w:r w:rsidR="00373010">
        <w:rPr>
          <w:rFonts w:ascii="Calibri" w:hAnsi="Calibri"/>
          <w:i/>
          <w:sz w:val="22"/>
        </w:rPr>
        <w:t xml:space="preserve"> </w:t>
      </w:r>
      <w:r w:rsidR="005F3D1B">
        <w:rPr>
          <w:rFonts w:ascii="Calibri" w:hAnsi="Calibri"/>
          <w:i/>
          <w:sz w:val="22"/>
        </w:rPr>
        <w:t xml:space="preserve">in </w:t>
      </w:r>
      <w:r w:rsidR="00373010">
        <w:rPr>
          <w:rFonts w:ascii="Calibri" w:hAnsi="Calibri"/>
          <w:i/>
          <w:sz w:val="22"/>
        </w:rPr>
        <w:t>particular</w:t>
      </w:r>
      <w:r w:rsidRPr="00AD6294">
        <w:rPr>
          <w:rFonts w:ascii="Calibri" w:hAnsi="Calibri"/>
          <w:i/>
          <w:sz w:val="22"/>
        </w:rPr>
        <w:t xml:space="preserve"> our proposed combination with The Stars Group</w:t>
      </w:r>
      <w:r>
        <w:rPr>
          <w:rFonts w:ascii="Calibri" w:hAnsi="Calibri" w:cs="Calibri"/>
          <w:i/>
          <w:sz w:val="22"/>
          <w:szCs w:val="22"/>
        </w:rPr>
        <w:t>,</w:t>
      </w:r>
      <w:r w:rsidRPr="006F3B8A">
        <w:rPr>
          <w:rFonts w:ascii="Calibri" w:hAnsi="Calibri" w:cs="Calibri"/>
          <w:i/>
          <w:sz w:val="22"/>
          <w:szCs w:val="22"/>
        </w:rPr>
        <w:t xml:space="preserve"> </w:t>
      </w:r>
      <w:r>
        <w:rPr>
          <w:rFonts w:ascii="Calibri" w:hAnsi="Calibri" w:cs="Calibri"/>
          <w:i/>
          <w:sz w:val="22"/>
          <w:szCs w:val="22"/>
        </w:rPr>
        <w:t>which will help us</w:t>
      </w:r>
      <w:r w:rsidRPr="00AD6294">
        <w:rPr>
          <w:rFonts w:ascii="Calibri" w:hAnsi="Calibri"/>
          <w:i/>
          <w:sz w:val="22"/>
        </w:rPr>
        <w:t xml:space="preserve"> to </w:t>
      </w:r>
      <w:r w:rsidRPr="006F3B8A">
        <w:rPr>
          <w:rFonts w:ascii="Calibri" w:hAnsi="Calibri" w:cs="Calibri"/>
          <w:i/>
          <w:sz w:val="22"/>
          <w:szCs w:val="22"/>
        </w:rPr>
        <w:t>build</w:t>
      </w:r>
      <w:r w:rsidRPr="00AD6294">
        <w:rPr>
          <w:rFonts w:ascii="Calibri" w:hAnsi="Calibri"/>
          <w:i/>
          <w:sz w:val="22"/>
        </w:rPr>
        <w:t xml:space="preserve"> a </w:t>
      </w:r>
      <w:r>
        <w:rPr>
          <w:rFonts w:ascii="Calibri" w:hAnsi="Calibri" w:cs="Calibri"/>
          <w:i/>
          <w:sz w:val="22"/>
          <w:szCs w:val="22"/>
        </w:rPr>
        <w:t xml:space="preserve">more </w:t>
      </w:r>
      <w:r w:rsidRPr="00AD6294">
        <w:rPr>
          <w:rFonts w:ascii="Calibri" w:hAnsi="Calibri"/>
          <w:i/>
          <w:sz w:val="22"/>
        </w:rPr>
        <w:t xml:space="preserve">diversified </w:t>
      </w:r>
      <w:r>
        <w:rPr>
          <w:rFonts w:ascii="Calibri" w:hAnsi="Calibri" w:cs="Calibri"/>
          <w:i/>
          <w:sz w:val="22"/>
          <w:szCs w:val="22"/>
        </w:rPr>
        <w:t>global</w:t>
      </w:r>
      <w:r w:rsidRPr="00AD6294">
        <w:rPr>
          <w:rFonts w:ascii="Calibri" w:hAnsi="Calibri"/>
          <w:i/>
          <w:sz w:val="22"/>
        </w:rPr>
        <w:t xml:space="preserve"> business</w:t>
      </w:r>
      <w:r w:rsidRPr="006F3B8A">
        <w:rPr>
          <w:rFonts w:ascii="Calibri" w:hAnsi="Calibri" w:cs="Calibri"/>
          <w:i/>
          <w:sz w:val="22"/>
          <w:szCs w:val="22"/>
        </w:rPr>
        <w:t>.</w:t>
      </w:r>
      <w:r>
        <w:rPr>
          <w:rFonts w:ascii="Calibri" w:hAnsi="Calibri" w:cs="Calibri"/>
          <w:i/>
          <w:sz w:val="22"/>
          <w:szCs w:val="22"/>
        </w:rPr>
        <w:t>”</w:t>
      </w:r>
    </w:p>
    <w:p w14:paraId="7C9FC8F9" w14:textId="44460662" w:rsidR="00324B39" w:rsidRPr="0026713E" w:rsidRDefault="00324B39" w:rsidP="00324B39">
      <w:pPr>
        <w:jc w:val="both"/>
        <w:rPr>
          <w:rFonts w:asciiTheme="minorHAnsi" w:hAnsiTheme="minorHAnsi"/>
          <w:i/>
          <w:sz w:val="18"/>
          <w:szCs w:val="18"/>
        </w:rPr>
      </w:pPr>
      <w:r w:rsidRPr="0026713E">
        <w:rPr>
          <w:rFonts w:asciiTheme="minorHAnsi" w:hAnsiTheme="minorHAnsi"/>
          <w:i/>
          <w:sz w:val="18"/>
          <w:szCs w:val="18"/>
        </w:rPr>
        <w:t>Notes:</w:t>
      </w:r>
    </w:p>
    <w:p w14:paraId="18EDF105" w14:textId="4D7C3AB8" w:rsidR="00324B39" w:rsidRPr="0026713E" w:rsidRDefault="00324B39" w:rsidP="00324B39">
      <w:pPr>
        <w:spacing w:after="60"/>
        <w:rPr>
          <w:rFonts w:asciiTheme="minorHAnsi" w:hAnsiTheme="minorHAnsi"/>
          <w:i/>
          <w:sz w:val="18"/>
          <w:szCs w:val="18"/>
        </w:rPr>
      </w:pPr>
      <w:r w:rsidRPr="0026713E">
        <w:rPr>
          <w:rFonts w:asciiTheme="minorHAnsi" w:hAnsiTheme="minorHAnsi"/>
          <w:i/>
          <w:sz w:val="18"/>
          <w:szCs w:val="18"/>
          <w:vertAlign w:val="superscript"/>
        </w:rPr>
        <w:t>1</w:t>
      </w:r>
      <w:r w:rsidRPr="0026713E">
        <w:rPr>
          <w:rFonts w:asciiTheme="minorHAnsi" w:hAnsiTheme="minorHAnsi"/>
          <w:i/>
          <w:sz w:val="18"/>
          <w:szCs w:val="18"/>
        </w:rPr>
        <w:t xml:space="preserve"> The “underlying” measures exclude separately disclosed items, that are not part of the usual business activity of the Group</w:t>
      </w:r>
      <w:r w:rsidR="00FD4D05" w:rsidRPr="0026713E">
        <w:rPr>
          <w:rFonts w:asciiTheme="minorHAnsi" w:hAnsiTheme="minorHAnsi"/>
          <w:i/>
          <w:sz w:val="18"/>
          <w:szCs w:val="18"/>
        </w:rPr>
        <w:t xml:space="preserve"> and </w:t>
      </w:r>
      <w:r w:rsidRPr="0026713E">
        <w:rPr>
          <w:rFonts w:asciiTheme="minorHAnsi" w:hAnsiTheme="minorHAnsi"/>
          <w:i/>
          <w:sz w:val="18"/>
          <w:szCs w:val="18"/>
        </w:rPr>
        <w:t xml:space="preserve">have therefore </w:t>
      </w:r>
      <w:r w:rsidR="00FD4D05" w:rsidRPr="0026713E">
        <w:rPr>
          <w:rFonts w:asciiTheme="minorHAnsi" w:hAnsiTheme="minorHAnsi"/>
          <w:i/>
          <w:sz w:val="18"/>
          <w:szCs w:val="18"/>
        </w:rPr>
        <w:t xml:space="preserve">been </w:t>
      </w:r>
      <w:r w:rsidRPr="0026713E">
        <w:rPr>
          <w:rFonts w:asciiTheme="minorHAnsi" w:hAnsiTheme="minorHAnsi"/>
          <w:i/>
          <w:sz w:val="18"/>
          <w:szCs w:val="18"/>
        </w:rPr>
        <w:t xml:space="preserve">reported as “separately disclosed items” (see note </w:t>
      </w:r>
      <w:r w:rsidR="00DD65E6" w:rsidRPr="0026713E">
        <w:rPr>
          <w:rFonts w:asciiTheme="minorHAnsi" w:hAnsiTheme="minorHAnsi"/>
          <w:i/>
          <w:sz w:val="18"/>
          <w:szCs w:val="18"/>
        </w:rPr>
        <w:t>4</w:t>
      </w:r>
      <w:r w:rsidRPr="0026713E">
        <w:rPr>
          <w:rFonts w:asciiTheme="minorHAnsi" w:hAnsiTheme="minorHAnsi"/>
          <w:i/>
          <w:sz w:val="18"/>
          <w:szCs w:val="18"/>
        </w:rPr>
        <w:t xml:space="preserve"> and page </w:t>
      </w:r>
      <w:r w:rsidR="00DD65E6" w:rsidRPr="0026713E">
        <w:rPr>
          <w:rFonts w:asciiTheme="minorHAnsi" w:hAnsiTheme="minorHAnsi"/>
          <w:i/>
          <w:sz w:val="18"/>
          <w:szCs w:val="18"/>
        </w:rPr>
        <w:t>37</w:t>
      </w:r>
      <w:r w:rsidR="00F40DB0" w:rsidRPr="0026713E">
        <w:rPr>
          <w:rFonts w:asciiTheme="minorHAnsi" w:hAnsiTheme="minorHAnsi"/>
          <w:i/>
          <w:sz w:val="18"/>
          <w:szCs w:val="18"/>
        </w:rPr>
        <w:t xml:space="preserve"> </w:t>
      </w:r>
      <w:r w:rsidRPr="0026713E">
        <w:rPr>
          <w:rFonts w:asciiTheme="minorHAnsi" w:hAnsiTheme="minorHAnsi"/>
          <w:i/>
          <w:sz w:val="18"/>
          <w:szCs w:val="18"/>
        </w:rPr>
        <w:t>to the financial statements</w:t>
      </w:r>
      <w:r w:rsidR="00695E69">
        <w:rPr>
          <w:rFonts w:asciiTheme="minorHAnsi" w:hAnsiTheme="minorHAnsi"/>
          <w:i/>
          <w:sz w:val="18"/>
          <w:szCs w:val="18"/>
        </w:rPr>
        <w:t>).</w:t>
      </w:r>
    </w:p>
    <w:p w14:paraId="552C1383" w14:textId="20E09D73" w:rsidR="00FD4D05" w:rsidRPr="0026713E" w:rsidRDefault="00324B39" w:rsidP="00FD4D05">
      <w:pPr>
        <w:spacing w:after="60"/>
        <w:rPr>
          <w:rFonts w:asciiTheme="minorHAnsi" w:hAnsiTheme="minorHAnsi"/>
          <w:i/>
          <w:sz w:val="18"/>
          <w:szCs w:val="18"/>
        </w:rPr>
      </w:pPr>
      <w:r w:rsidRPr="0026713E">
        <w:rPr>
          <w:rFonts w:asciiTheme="minorHAnsi" w:hAnsiTheme="minorHAnsi"/>
          <w:i/>
          <w:sz w:val="18"/>
          <w:szCs w:val="18"/>
          <w:vertAlign w:val="superscript"/>
        </w:rPr>
        <w:t xml:space="preserve">2 </w:t>
      </w:r>
      <w:r w:rsidR="00FD4D05" w:rsidRPr="0026713E">
        <w:rPr>
          <w:rFonts w:asciiTheme="minorHAnsi" w:hAnsiTheme="minorHAnsi"/>
          <w:i/>
          <w:sz w:val="18"/>
          <w:szCs w:val="18"/>
        </w:rPr>
        <w:t>EBITDA is profit before interest, tax, depreciation and amortisation expenses and is a non-GAAP measure. EBITDA throughout this Operating and Financial Review excludes the impact of IFRS 16. See Appendix 5 for a reconciliation to IFRS 16 compliant numbers.</w:t>
      </w:r>
    </w:p>
    <w:p w14:paraId="7C4D3D96" w14:textId="5AB909CB" w:rsidR="00324B39" w:rsidRPr="0026713E" w:rsidRDefault="00324B39" w:rsidP="00324B39">
      <w:pPr>
        <w:spacing w:after="60"/>
        <w:jc w:val="both"/>
        <w:rPr>
          <w:rFonts w:asciiTheme="minorHAnsi" w:hAnsiTheme="minorHAnsi"/>
          <w:i/>
          <w:sz w:val="18"/>
          <w:szCs w:val="18"/>
        </w:rPr>
      </w:pPr>
      <w:bookmarkStart w:id="1" w:name="_Hlk536105130"/>
      <w:r w:rsidRPr="0026713E">
        <w:rPr>
          <w:rFonts w:asciiTheme="minorHAnsi" w:hAnsiTheme="minorHAnsi"/>
          <w:i/>
          <w:sz w:val="18"/>
          <w:szCs w:val="18"/>
          <w:vertAlign w:val="superscript"/>
        </w:rPr>
        <w:t xml:space="preserve">3 </w:t>
      </w:r>
      <w:r w:rsidRPr="0026713E">
        <w:rPr>
          <w:rFonts w:asciiTheme="minorHAnsi" w:hAnsiTheme="minorHAnsi"/>
          <w:i/>
          <w:sz w:val="18"/>
          <w:szCs w:val="18"/>
        </w:rPr>
        <w:t>Constant currency (“cc”) growth throughout the Operating &amp; Financial Review is calculated by retranslating non-sterling denominated component of 201</w:t>
      </w:r>
      <w:r w:rsidR="00FD4D05" w:rsidRPr="0026713E">
        <w:rPr>
          <w:rFonts w:asciiTheme="minorHAnsi" w:hAnsiTheme="minorHAnsi"/>
          <w:i/>
          <w:sz w:val="18"/>
          <w:szCs w:val="18"/>
        </w:rPr>
        <w:t>8</w:t>
      </w:r>
      <w:r w:rsidRPr="0026713E">
        <w:rPr>
          <w:rFonts w:asciiTheme="minorHAnsi" w:hAnsiTheme="minorHAnsi"/>
          <w:i/>
          <w:sz w:val="18"/>
          <w:szCs w:val="18"/>
        </w:rPr>
        <w:t xml:space="preserve"> at 201</w:t>
      </w:r>
      <w:r w:rsidR="00FD4D05" w:rsidRPr="0026713E">
        <w:rPr>
          <w:rFonts w:asciiTheme="minorHAnsi" w:hAnsiTheme="minorHAnsi"/>
          <w:i/>
          <w:sz w:val="18"/>
          <w:szCs w:val="18"/>
        </w:rPr>
        <w:t>9</w:t>
      </w:r>
      <w:r w:rsidRPr="0026713E">
        <w:rPr>
          <w:rFonts w:asciiTheme="minorHAnsi" w:hAnsiTheme="minorHAnsi"/>
          <w:i/>
          <w:sz w:val="18"/>
          <w:szCs w:val="18"/>
        </w:rPr>
        <w:t xml:space="preserve"> exchange rates (see Appendix 4).</w:t>
      </w:r>
    </w:p>
    <w:bookmarkEnd w:id="1"/>
    <w:p w14:paraId="4A6BE045" w14:textId="483C8D39" w:rsidR="00FD4D05" w:rsidRDefault="00FD4D05" w:rsidP="00FD4D05">
      <w:pPr>
        <w:spacing w:after="60"/>
        <w:jc w:val="both"/>
        <w:rPr>
          <w:rFonts w:asciiTheme="minorHAnsi" w:hAnsiTheme="minorHAnsi"/>
          <w:i/>
          <w:sz w:val="18"/>
          <w:szCs w:val="18"/>
        </w:rPr>
      </w:pPr>
      <w:r w:rsidRPr="0026713E">
        <w:rPr>
          <w:rFonts w:asciiTheme="minorHAnsi" w:hAnsiTheme="minorHAnsi"/>
          <w:i/>
          <w:sz w:val="18"/>
          <w:szCs w:val="18"/>
          <w:vertAlign w:val="superscript"/>
        </w:rPr>
        <w:t xml:space="preserve">4 </w:t>
      </w:r>
      <w:r w:rsidRPr="0026713E">
        <w:rPr>
          <w:rFonts w:asciiTheme="minorHAnsi" w:hAnsiTheme="minorHAnsi"/>
          <w:i/>
          <w:sz w:val="18"/>
          <w:szCs w:val="18"/>
        </w:rPr>
        <w:t xml:space="preserve">The impact of tax and regulatory change is calculated by adjusting the prior year comparative to reflect the same regulatory and tax rules that exist in the current period. This includes the impact of changes to Australian point of consumption taxes and product fees, UK machine staking limits, UK online remote gaming duty and Irish betting duty. </w:t>
      </w:r>
    </w:p>
    <w:p w14:paraId="560297C7" w14:textId="7704FF4E" w:rsidR="005B67BA" w:rsidRPr="0026713E" w:rsidRDefault="005B67BA" w:rsidP="00FD4D05">
      <w:pPr>
        <w:spacing w:after="60"/>
        <w:jc w:val="both"/>
        <w:rPr>
          <w:rFonts w:asciiTheme="minorHAnsi" w:hAnsiTheme="minorHAnsi"/>
          <w:i/>
          <w:sz w:val="18"/>
          <w:szCs w:val="18"/>
        </w:rPr>
      </w:pPr>
      <w:r w:rsidRPr="00C420C4">
        <w:rPr>
          <w:rFonts w:asciiTheme="minorHAnsi" w:hAnsiTheme="minorHAnsi"/>
          <w:b/>
          <w:noProof/>
          <w:sz w:val="22"/>
          <w:szCs w:val="22"/>
          <w:highlight w:val="yellow"/>
          <w:lang w:val="en-IE" w:eastAsia="en-IE"/>
        </w:rPr>
        <mc:AlternateContent>
          <mc:Choice Requires="wps">
            <w:drawing>
              <wp:anchor distT="0" distB="0" distL="114300" distR="114300" simplePos="0" relativeHeight="251659264" behindDoc="0" locked="0" layoutInCell="1" allowOverlap="1" wp14:anchorId="6B5172B7" wp14:editId="773A7C25">
                <wp:simplePos x="0" y="0"/>
                <wp:positionH relativeFrom="margin">
                  <wp:posOffset>-43700</wp:posOffset>
                </wp:positionH>
                <wp:positionV relativeFrom="paragraph">
                  <wp:posOffset>142347</wp:posOffset>
                </wp:positionV>
                <wp:extent cx="6248400" cy="1530598"/>
                <wp:effectExtent l="0" t="0" r="19050" b="12700"/>
                <wp:wrapNone/>
                <wp:docPr id="1" name="Rectangle 1"/>
                <wp:cNvGraphicFramePr/>
                <a:graphic xmlns:a="http://schemas.openxmlformats.org/drawingml/2006/main">
                  <a:graphicData uri="http://schemas.microsoft.com/office/word/2010/wordprocessingShape">
                    <wps:wsp>
                      <wps:cNvSpPr/>
                      <wps:spPr>
                        <a:xfrm>
                          <a:off x="0" y="0"/>
                          <a:ext cx="6248400" cy="153059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35AC8A" id="Rectangle 1" o:spid="_x0000_s1026" style="position:absolute;margin-left:-3.45pt;margin-top:11.2pt;width:492pt;height:120.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" filled="f" strokecolor="black [3213]">
                <w10:wrap anchorx="margin"/>
              </v:rect>
            </w:pict>
          </mc:Fallback>
        </mc:AlternateContent>
      </w:r>
    </w:p>
    <w:p w14:paraId="4E0A543E" w14:textId="7F82DCCF" w:rsidR="00324B39" w:rsidRPr="00A028FD" w:rsidRDefault="00324B39" w:rsidP="00A028FD">
      <w:pPr>
        <w:spacing w:after="120"/>
        <w:jc w:val="both"/>
        <w:rPr>
          <w:rFonts w:asciiTheme="minorHAnsi" w:hAnsiTheme="minorHAnsi"/>
          <w:sz w:val="22"/>
        </w:rPr>
      </w:pPr>
      <w:r w:rsidRPr="00A028FD">
        <w:rPr>
          <w:rFonts w:asciiTheme="minorHAnsi" w:hAnsiTheme="minorHAnsi"/>
          <w:b/>
          <w:sz w:val="22"/>
        </w:rPr>
        <w:t>Analyst briefing:</w:t>
      </w:r>
      <w:r w:rsidRPr="00A028FD">
        <w:rPr>
          <w:rFonts w:asciiTheme="minorHAnsi" w:hAnsiTheme="minorHAnsi"/>
          <w:sz w:val="22"/>
        </w:rPr>
        <w:t> </w:t>
      </w:r>
    </w:p>
    <w:p w14:paraId="18F8024F" w14:textId="760B7EA1" w:rsidR="00E479C3" w:rsidRPr="00A028FD" w:rsidRDefault="00324B39" w:rsidP="00A028FD">
      <w:pPr>
        <w:spacing w:after="120"/>
        <w:jc w:val="both"/>
        <w:rPr>
          <w:rFonts w:asciiTheme="minorHAnsi" w:hAnsiTheme="minorHAnsi"/>
          <w:sz w:val="22"/>
        </w:rPr>
      </w:pPr>
      <w:r w:rsidRPr="00A028FD">
        <w:rPr>
          <w:rFonts w:asciiTheme="minorHAnsi" w:hAnsiTheme="minorHAnsi"/>
          <w:sz w:val="22"/>
        </w:rPr>
        <w:t>The Group will host a presentation for institutional investors and analysts this morning at 9:00am (GMT). The presentation will be webcast live on the Group’s corporate website (www.</w:t>
      </w:r>
      <w:r w:rsidR="00566C83" w:rsidRPr="00A028FD">
        <w:rPr>
          <w:rFonts w:asciiTheme="minorHAnsi" w:hAnsiTheme="minorHAnsi"/>
          <w:sz w:val="22"/>
        </w:rPr>
        <w:t>flutter</w:t>
      </w:r>
      <w:r w:rsidRPr="00A028FD">
        <w:rPr>
          <w:rFonts w:asciiTheme="minorHAnsi" w:hAnsiTheme="minorHAnsi"/>
          <w:sz w:val="22"/>
        </w:rPr>
        <w:t xml:space="preserve">.com) and a conference call facility will also be available. To dial into the conference call, participants should dial </w:t>
      </w:r>
      <w:r w:rsidR="006F2ECF" w:rsidRPr="006F2ECF">
        <w:rPr>
          <w:rFonts w:asciiTheme="minorHAnsi" w:hAnsiTheme="minorHAnsi"/>
          <w:sz w:val="22"/>
          <w:szCs w:val="22"/>
        </w:rPr>
        <w:t>0800 783 0906</w:t>
      </w:r>
      <w:r w:rsidR="00566C83" w:rsidRPr="00A028FD">
        <w:rPr>
          <w:rFonts w:asciiTheme="minorHAnsi" w:hAnsiTheme="minorHAnsi"/>
          <w:sz w:val="22"/>
        </w:rPr>
        <w:t xml:space="preserve"> </w:t>
      </w:r>
      <w:r w:rsidRPr="00A028FD">
        <w:rPr>
          <w:rFonts w:asciiTheme="minorHAnsi" w:hAnsiTheme="minorHAnsi"/>
          <w:sz w:val="22"/>
        </w:rPr>
        <w:t xml:space="preserve">or </w:t>
      </w:r>
      <w:r w:rsidR="006F2ECF" w:rsidRPr="006F2ECF">
        <w:rPr>
          <w:rFonts w:asciiTheme="minorHAnsi" w:hAnsiTheme="minorHAnsi"/>
          <w:sz w:val="22"/>
          <w:szCs w:val="22"/>
        </w:rPr>
        <w:t>01296 480 100</w:t>
      </w:r>
      <w:r w:rsidR="00566C83" w:rsidRPr="00A028FD">
        <w:rPr>
          <w:rFonts w:asciiTheme="minorHAnsi" w:hAnsiTheme="minorHAnsi"/>
          <w:sz w:val="22"/>
        </w:rPr>
        <w:t xml:space="preserve"> </w:t>
      </w:r>
      <w:r w:rsidRPr="00A028FD">
        <w:rPr>
          <w:rFonts w:asciiTheme="minorHAnsi" w:hAnsiTheme="minorHAnsi"/>
          <w:sz w:val="22"/>
        </w:rPr>
        <w:t xml:space="preserve">from the UK, </w:t>
      </w:r>
      <w:r w:rsidR="006F2ECF">
        <w:rPr>
          <w:rFonts w:asciiTheme="minorHAnsi" w:hAnsiTheme="minorHAnsi"/>
          <w:sz w:val="22"/>
          <w:szCs w:val="22"/>
        </w:rPr>
        <w:t>(</w:t>
      </w:r>
      <w:r w:rsidR="006F2ECF" w:rsidRPr="005B67BA">
        <w:rPr>
          <w:rFonts w:asciiTheme="minorHAnsi" w:hAnsiTheme="minorHAnsi"/>
          <w:sz w:val="22"/>
          <w:szCs w:val="22"/>
        </w:rPr>
        <w:t>01</w:t>
      </w:r>
      <w:r w:rsidR="006F2ECF">
        <w:rPr>
          <w:rFonts w:asciiTheme="minorHAnsi" w:hAnsiTheme="minorHAnsi"/>
          <w:sz w:val="22"/>
          <w:szCs w:val="22"/>
        </w:rPr>
        <w:t xml:space="preserve">) </w:t>
      </w:r>
      <w:r w:rsidR="006F2ECF" w:rsidRPr="005B67BA">
        <w:rPr>
          <w:rFonts w:asciiTheme="minorHAnsi" w:hAnsiTheme="minorHAnsi"/>
          <w:sz w:val="22"/>
          <w:szCs w:val="22"/>
        </w:rPr>
        <w:t>2421074</w:t>
      </w:r>
      <w:r w:rsidR="00566C83" w:rsidRPr="00A028FD">
        <w:rPr>
          <w:rFonts w:asciiTheme="minorHAnsi" w:hAnsiTheme="minorHAnsi"/>
          <w:sz w:val="22"/>
        </w:rPr>
        <w:t xml:space="preserve"> </w:t>
      </w:r>
      <w:r w:rsidRPr="00A028FD">
        <w:rPr>
          <w:rFonts w:asciiTheme="minorHAnsi" w:hAnsiTheme="minorHAnsi"/>
          <w:sz w:val="22"/>
        </w:rPr>
        <w:t xml:space="preserve">from Ireland and </w:t>
      </w:r>
      <w:r w:rsidR="006F2ECF" w:rsidRPr="006F2ECF">
        <w:rPr>
          <w:rFonts w:asciiTheme="minorHAnsi" w:hAnsiTheme="minorHAnsi"/>
          <w:sz w:val="22"/>
          <w:szCs w:val="22"/>
        </w:rPr>
        <w:t>+44 1296 480 100</w:t>
      </w:r>
      <w:r w:rsidR="00566C83" w:rsidRPr="00A028FD">
        <w:rPr>
          <w:rFonts w:asciiTheme="minorHAnsi" w:hAnsiTheme="minorHAnsi"/>
          <w:sz w:val="22"/>
        </w:rPr>
        <w:t xml:space="preserve"> </w:t>
      </w:r>
      <w:r w:rsidRPr="00A028FD">
        <w:rPr>
          <w:rFonts w:asciiTheme="minorHAnsi" w:hAnsiTheme="minorHAnsi"/>
          <w:sz w:val="22"/>
        </w:rPr>
        <w:t xml:space="preserve">from elsewhere. </w:t>
      </w:r>
    </w:p>
    <w:p w14:paraId="7D4EBDCA" w14:textId="3205DD8D" w:rsidR="00324B39" w:rsidRPr="005B67BA" w:rsidRDefault="00324B39" w:rsidP="00F91068">
      <w:pPr>
        <w:spacing w:after="120"/>
        <w:jc w:val="both"/>
        <w:rPr>
          <w:rFonts w:asciiTheme="minorHAnsi" w:hAnsiTheme="minorHAnsi"/>
          <w:sz w:val="22"/>
          <w:szCs w:val="22"/>
        </w:rPr>
      </w:pPr>
      <w:r w:rsidRPr="005B67BA">
        <w:rPr>
          <w:rFonts w:asciiTheme="minorHAnsi" w:hAnsiTheme="minorHAnsi"/>
          <w:sz w:val="22"/>
          <w:szCs w:val="22"/>
        </w:rPr>
        <w:t>The passcode is</w:t>
      </w:r>
      <w:r w:rsidR="00566C83" w:rsidRPr="005B67BA">
        <w:rPr>
          <w:rFonts w:asciiTheme="minorHAnsi" w:hAnsiTheme="minorHAnsi"/>
          <w:sz w:val="22"/>
          <w:szCs w:val="22"/>
        </w:rPr>
        <w:t xml:space="preserve"> </w:t>
      </w:r>
      <w:r w:rsidR="006F2ECF" w:rsidRPr="006F2ECF">
        <w:rPr>
          <w:rFonts w:asciiTheme="minorHAnsi" w:hAnsiTheme="minorHAnsi"/>
          <w:sz w:val="22"/>
          <w:szCs w:val="22"/>
        </w:rPr>
        <w:t>238 428 79</w:t>
      </w:r>
      <w:r w:rsidRPr="005B67BA">
        <w:rPr>
          <w:rFonts w:asciiTheme="minorHAnsi" w:hAnsiTheme="minorHAnsi"/>
          <w:sz w:val="22"/>
          <w:szCs w:val="22"/>
        </w:rPr>
        <w:t>.</w:t>
      </w:r>
    </w:p>
    <w:p w14:paraId="6BF0B39F" w14:textId="38503636" w:rsidR="00324B39" w:rsidRPr="00A028FD" w:rsidRDefault="00324B39">
      <w:pPr>
        <w:spacing w:after="120"/>
        <w:rPr>
          <w:rFonts w:asciiTheme="minorHAnsi" w:hAnsiTheme="minorHAnsi"/>
          <w:sz w:val="22"/>
        </w:rPr>
      </w:pPr>
      <w:r w:rsidRPr="005B67BA">
        <w:rPr>
          <w:rFonts w:asciiTheme="minorHAnsi" w:hAnsiTheme="minorHAnsi"/>
          <w:sz w:val="22"/>
          <w:szCs w:val="22"/>
        </w:rPr>
        <w:t>A</w:t>
      </w:r>
      <w:r w:rsidRPr="00A028FD">
        <w:rPr>
          <w:rFonts w:asciiTheme="minorHAnsi" w:hAnsiTheme="minorHAnsi"/>
          <w:sz w:val="22"/>
        </w:rPr>
        <w:t xml:space="preserve"> replay facility will be available later today on our corporate website: </w:t>
      </w:r>
      <w:hyperlink r:id="rId12" w:history="1">
        <w:r w:rsidR="005B67BA" w:rsidRPr="00AB54F8">
          <w:rPr>
            <w:rStyle w:val="Hyperlink"/>
            <w:rFonts w:asciiTheme="minorHAnsi" w:hAnsiTheme="minorHAnsi" w:cstheme="minorHAnsi"/>
            <w:sz w:val="22"/>
            <w:szCs w:val="22"/>
          </w:rPr>
          <w:t>https://www.flutter.com/investors</w:t>
        </w:r>
      </w:hyperlink>
    </w:p>
    <w:p w14:paraId="0C27C769" w14:textId="1B4BA6DF" w:rsidR="00324B39" w:rsidRPr="00265C7E"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s>
        <w:spacing w:after="60"/>
        <w:rPr>
          <w:rFonts w:asciiTheme="minorHAnsi" w:hAnsiTheme="minorHAnsi" w:cs="Times New Roman"/>
          <w:b/>
          <w:sz w:val="22"/>
          <w:szCs w:val="22"/>
        </w:rPr>
      </w:pPr>
      <w:r w:rsidRPr="00265C7E">
        <w:rPr>
          <w:rFonts w:asciiTheme="minorHAnsi" w:hAnsiTheme="minorHAnsi" w:cs="Times New Roman"/>
          <w:b/>
          <w:sz w:val="22"/>
          <w:szCs w:val="22"/>
        </w:rPr>
        <w:t>Contacts:</w:t>
      </w:r>
    </w:p>
    <w:tbl>
      <w:tblPr>
        <w:tblW w:w="0" w:type="auto"/>
        <w:tblLook w:val="04A0" w:firstRow="1" w:lastRow="0" w:firstColumn="1" w:lastColumn="0" w:noHBand="0" w:noVBand="1"/>
      </w:tblPr>
      <w:tblGrid>
        <w:gridCol w:w="5812"/>
        <w:gridCol w:w="3696"/>
      </w:tblGrid>
      <w:tr w:rsidR="008B26ED" w:rsidRPr="0051788C" w14:paraId="352E60D8" w14:textId="77777777" w:rsidTr="00A5612E">
        <w:tc>
          <w:tcPr>
            <w:tcW w:w="5812" w:type="dxa"/>
          </w:tcPr>
          <w:p w14:paraId="67B82D53" w14:textId="5D95C4CE" w:rsidR="008B26ED" w:rsidRPr="00A5612E" w:rsidRDefault="008B26ED"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i/>
                <w:sz w:val="22"/>
                <w:szCs w:val="22"/>
              </w:rPr>
            </w:pPr>
            <w:r w:rsidRPr="00A5612E">
              <w:rPr>
                <w:rFonts w:asciiTheme="minorHAnsi" w:hAnsiTheme="minorHAnsi" w:cs="Times New Roman"/>
                <w:i/>
                <w:sz w:val="22"/>
                <w:szCs w:val="22"/>
              </w:rPr>
              <w:t xml:space="preserve">Investor </w:t>
            </w:r>
            <w:r w:rsidR="00695E69">
              <w:rPr>
                <w:rFonts w:asciiTheme="minorHAnsi" w:hAnsiTheme="minorHAnsi" w:cs="Times New Roman"/>
                <w:i/>
                <w:sz w:val="22"/>
                <w:szCs w:val="22"/>
              </w:rPr>
              <w:t>R</w:t>
            </w:r>
            <w:r w:rsidRPr="00A5612E">
              <w:rPr>
                <w:rFonts w:asciiTheme="minorHAnsi" w:hAnsiTheme="minorHAnsi" w:cs="Times New Roman"/>
                <w:i/>
                <w:sz w:val="22"/>
                <w:szCs w:val="22"/>
              </w:rPr>
              <w:t>elations:</w:t>
            </w:r>
          </w:p>
        </w:tc>
        <w:tc>
          <w:tcPr>
            <w:tcW w:w="3696" w:type="dxa"/>
          </w:tcPr>
          <w:p w14:paraId="1FAFC53C" w14:textId="77777777" w:rsidR="008B26ED" w:rsidRPr="00265C7E" w:rsidRDefault="008B26ED"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sz w:val="22"/>
                <w:szCs w:val="22"/>
              </w:rPr>
            </w:pPr>
          </w:p>
        </w:tc>
      </w:tr>
      <w:tr w:rsidR="00324B39" w:rsidRPr="0051788C" w14:paraId="4359896F" w14:textId="77777777" w:rsidTr="00A5612E">
        <w:tc>
          <w:tcPr>
            <w:tcW w:w="5812" w:type="dxa"/>
          </w:tcPr>
          <w:p w14:paraId="6D19C94E" w14:textId="12BE2EB1" w:rsidR="00324B39" w:rsidRPr="00265C7E"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sz w:val="22"/>
                <w:szCs w:val="22"/>
              </w:rPr>
            </w:pPr>
            <w:r w:rsidRPr="00265C7E">
              <w:rPr>
                <w:rFonts w:asciiTheme="minorHAnsi" w:hAnsiTheme="minorHAnsi" w:cs="Times New Roman"/>
                <w:sz w:val="22"/>
                <w:szCs w:val="22"/>
              </w:rPr>
              <w:t>David Jennings, Corporate Finance &amp; Investor Relations</w:t>
            </w:r>
          </w:p>
        </w:tc>
        <w:tc>
          <w:tcPr>
            <w:tcW w:w="3696" w:type="dxa"/>
          </w:tcPr>
          <w:p w14:paraId="114C9E17" w14:textId="3ECBE8DE" w:rsidR="00324B39" w:rsidRPr="00265C7E" w:rsidRDefault="008B26ED"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sz w:val="22"/>
                <w:szCs w:val="22"/>
              </w:rPr>
            </w:pPr>
            <w:r w:rsidRPr="00265C7E">
              <w:rPr>
                <w:rFonts w:asciiTheme="minorHAnsi" w:hAnsiTheme="minorHAnsi" w:cs="Times New Roman"/>
                <w:sz w:val="22"/>
                <w:szCs w:val="22"/>
              </w:rPr>
              <w:t>+ 353 87 951 3560</w:t>
            </w:r>
          </w:p>
        </w:tc>
      </w:tr>
      <w:tr w:rsidR="00324B39" w:rsidRPr="00FD0125" w14:paraId="6F305845" w14:textId="77777777" w:rsidTr="00A5612E">
        <w:tc>
          <w:tcPr>
            <w:tcW w:w="5812" w:type="dxa"/>
          </w:tcPr>
          <w:p w14:paraId="5CFA4030" w14:textId="1A5F5422" w:rsidR="00324B39" w:rsidRPr="00391509" w:rsidRDefault="009F6B9B"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sz w:val="22"/>
                <w:szCs w:val="22"/>
              </w:rPr>
            </w:pPr>
            <w:r w:rsidRPr="00391509">
              <w:rPr>
                <w:rFonts w:asciiTheme="minorHAnsi" w:hAnsiTheme="minorHAnsi" w:cs="Times New Roman"/>
                <w:sz w:val="22"/>
                <w:szCs w:val="22"/>
              </w:rPr>
              <w:t>Ciara O’Mullane</w:t>
            </w:r>
            <w:r w:rsidR="00324B39" w:rsidRPr="00391509">
              <w:rPr>
                <w:rFonts w:asciiTheme="minorHAnsi" w:hAnsiTheme="minorHAnsi" w:cs="Times New Roman"/>
                <w:sz w:val="22"/>
                <w:szCs w:val="22"/>
              </w:rPr>
              <w:t>, Investor Relations</w:t>
            </w:r>
          </w:p>
        </w:tc>
        <w:tc>
          <w:tcPr>
            <w:tcW w:w="3696" w:type="dxa"/>
          </w:tcPr>
          <w:p w14:paraId="077D5B9D" w14:textId="4CB9C2C6" w:rsidR="00324B39" w:rsidRPr="006C4B73"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sz w:val="22"/>
                <w:szCs w:val="22"/>
              </w:rPr>
            </w:pPr>
            <w:r w:rsidRPr="00BA23E7">
              <w:rPr>
                <w:rFonts w:asciiTheme="minorHAnsi" w:hAnsiTheme="minorHAnsi" w:cs="Times New Roman"/>
                <w:sz w:val="22"/>
                <w:szCs w:val="22"/>
              </w:rPr>
              <w:t>+</w:t>
            </w:r>
            <w:r w:rsidR="009F6B9B" w:rsidRPr="00BA23E7">
              <w:rPr>
                <w:rFonts w:asciiTheme="minorHAnsi" w:hAnsiTheme="minorHAnsi" w:cs="Times New Roman"/>
                <w:sz w:val="22"/>
                <w:szCs w:val="22"/>
              </w:rPr>
              <w:t xml:space="preserve"> </w:t>
            </w:r>
            <w:r w:rsidRPr="00BA23E7">
              <w:rPr>
                <w:rFonts w:asciiTheme="minorHAnsi" w:hAnsiTheme="minorHAnsi" w:cs="Times New Roman"/>
                <w:sz w:val="22"/>
                <w:szCs w:val="22"/>
              </w:rPr>
              <w:t xml:space="preserve">353 </w:t>
            </w:r>
            <w:r w:rsidR="009F6B9B" w:rsidRPr="00BA23E7">
              <w:rPr>
                <w:rFonts w:asciiTheme="minorHAnsi" w:hAnsiTheme="minorHAnsi" w:cs="Times New Roman"/>
                <w:sz w:val="22"/>
                <w:szCs w:val="22"/>
              </w:rPr>
              <w:t>87</w:t>
            </w:r>
            <w:r w:rsidRPr="00BA23E7">
              <w:rPr>
                <w:rFonts w:asciiTheme="minorHAnsi" w:hAnsiTheme="minorHAnsi" w:cs="Times New Roman"/>
                <w:sz w:val="22"/>
                <w:szCs w:val="22"/>
              </w:rPr>
              <w:t xml:space="preserve"> </w:t>
            </w:r>
            <w:r w:rsidR="009A4F4C" w:rsidRPr="00091336">
              <w:rPr>
                <w:rFonts w:asciiTheme="minorHAnsi" w:hAnsiTheme="minorHAnsi" w:cs="Times New Roman"/>
                <w:sz w:val="22"/>
                <w:szCs w:val="22"/>
              </w:rPr>
              <w:t>947</w:t>
            </w:r>
            <w:r w:rsidR="00A85F1B">
              <w:rPr>
                <w:rFonts w:asciiTheme="minorHAnsi" w:hAnsiTheme="minorHAnsi" w:cs="Times New Roman"/>
                <w:sz w:val="22"/>
                <w:szCs w:val="22"/>
              </w:rPr>
              <w:t xml:space="preserve"> </w:t>
            </w:r>
            <w:r w:rsidR="009A4F4C" w:rsidRPr="00091336">
              <w:rPr>
                <w:rFonts w:asciiTheme="minorHAnsi" w:hAnsiTheme="minorHAnsi" w:cs="Times New Roman"/>
                <w:sz w:val="22"/>
                <w:szCs w:val="22"/>
              </w:rPr>
              <w:t>7</w:t>
            </w:r>
            <w:r w:rsidR="009A4F4C" w:rsidRPr="006C4B73">
              <w:rPr>
                <w:rFonts w:asciiTheme="minorHAnsi" w:hAnsiTheme="minorHAnsi" w:cs="Times New Roman"/>
                <w:sz w:val="22"/>
                <w:szCs w:val="22"/>
              </w:rPr>
              <w:t>862</w:t>
            </w:r>
          </w:p>
        </w:tc>
      </w:tr>
      <w:tr w:rsidR="00324B39" w:rsidRPr="00FD0125" w14:paraId="00429AFB" w14:textId="77777777" w:rsidTr="00A5612E">
        <w:tc>
          <w:tcPr>
            <w:tcW w:w="5812" w:type="dxa"/>
          </w:tcPr>
          <w:p w14:paraId="2CB73EC9" w14:textId="4329F3F8" w:rsidR="00324B39" w:rsidRPr="00FD0125" w:rsidRDefault="009F6B9B"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sz w:val="22"/>
                <w:szCs w:val="22"/>
              </w:rPr>
            </w:pPr>
            <w:r w:rsidRPr="00FD0125">
              <w:rPr>
                <w:rFonts w:asciiTheme="minorHAnsi" w:hAnsiTheme="minorHAnsi" w:cs="Times New Roman"/>
                <w:sz w:val="22"/>
                <w:szCs w:val="22"/>
              </w:rPr>
              <w:t>Liam Kealy</w:t>
            </w:r>
            <w:r w:rsidR="00324B39" w:rsidRPr="00FD0125">
              <w:rPr>
                <w:rFonts w:asciiTheme="minorHAnsi" w:hAnsiTheme="minorHAnsi" w:cs="Times New Roman"/>
                <w:sz w:val="22"/>
                <w:szCs w:val="22"/>
              </w:rPr>
              <w:t xml:space="preserve">, </w:t>
            </w:r>
            <w:r w:rsidRPr="00FD0125">
              <w:rPr>
                <w:rFonts w:asciiTheme="minorHAnsi" w:hAnsiTheme="minorHAnsi" w:cs="Times New Roman"/>
                <w:sz w:val="22"/>
                <w:szCs w:val="22"/>
              </w:rPr>
              <w:t>Investor Relations</w:t>
            </w:r>
          </w:p>
        </w:tc>
        <w:tc>
          <w:tcPr>
            <w:tcW w:w="3696" w:type="dxa"/>
          </w:tcPr>
          <w:p w14:paraId="0CF07845" w14:textId="2F3684E6" w:rsidR="00324B39" w:rsidRPr="00FD0125"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sz w:val="22"/>
                <w:szCs w:val="22"/>
              </w:rPr>
            </w:pPr>
            <w:r w:rsidRPr="00FD0125">
              <w:rPr>
                <w:rFonts w:asciiTheme="minorHAnsi" w:hAnsiTheme="minorHAnsi" w:cs="Times New Roman"/>
                <w:sz w:val="22"/>
                <w:szCs w:val="22"/>
              </w:rPr>
              <w:t xml:space="preserve">+ 353 </w:t>
            </w:r>
            <w:r w:rsidR="009F6B9B" w:rsidRPr="00FD0125">
              <w:rPr>
                <w:rFonts w:asciiTheme="minorHAnsi" w:hAnsiTheme="minorHAnsi" w:cs="Times New Roman"/>
                <w:sz w:val="22"/>
                <w:szCs w:val="22"/>
              </w:rPr>
              <w:t>87</w:t>
            </w:r>
            <w:r w:rsidRPr="00FD0125">
              <w:rPr>
                <w:rFonts w:asciiTheme="minorHAnsi" w:hAnsiTheme="minorHAnsi" w:cs="Times New Roman"/>
                <w:sz w:val="22"/>
                <w:szCs w:val="22"/>
              </w:rPr>
              <w:t xml:space="preserve"> </w:t>
            </w:r>
            <w:r w:rsidR="009A4F4C" w:rsidRPr="00FD0125">
              <w:rPr>
                <w:rFonts w:asciiTheme="minorHAnsi" w:hAnsiTheme="minorHAnsi" w:cs="Times New Roman"/>
                <w:sz w:val="22"/>
                <w:szCs w:val="22"/>
              </w:rPr>
              <w:t>665 2014</w:t>
            </w:r>
          </w:p>
        </w:tc>
      </w:tr>
      <w:tr w:rsidR="008B26ED" w:rsidRPr="00FD0125" w14:paraId="4071BFF6" w14:textId="77777777" w:rsidTr="00A5612E">
        <w:tc>
          <w:tcPr>
            <w:tcW w:w="5812" w:type="dxa"/>
          </w:tcPr>
          <w:p w14:paraId="52A0A019" w14:textId="47B92F6C" w:rsidR="008B26ED" w:rsidRPr="00A5612E" w:rsidRDefault="008B26ED"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i/>
                <w:sz w:val="22"/>
                <w:szCs w:val="22"/>
              </w:rPr>
            </w:pPr>
            <w:r>
              <w:rPr>
                <w:rFonts w:asciiTheme="minorHAnsi" w:hAnsiTheme="minorHAnsi" w:cs="Times New Roman"/>
                <w:i/>
                <w:sz w:val="22"/>
                <w:szCs w:val="22"/>
              </w:rPr>
              <w:t>Press</w:t>
            </w:r>
            <w:r w:rsidRPr="00A5612E">
              <w:rPr>
                <w:rFonts w:asciiTheme="minorHAnsi" w:hAnsiTheme="minorHAnsi" w:cs="Times New Roman"/>
                <w:i/>
                <w:sz w:val="22"/>
                <w:szCs w:val="22"/>
              </w:rPr>
              <w:t>:</w:t>
            </w:r>
          </w:p>
        </w:tc>
        <w:tc>
          <w:tcPr>
            <w:tcW w:w="3696" w:type="dxa"/>
          </w:tcPr>
          <w:p w14:paraId="772ACFC5" w14:textId="77777777" w:rsidR="008B26ED" w:rsidRPr="00FD0125" w:rsidRDefault="008B26ED"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sz w:val="22"/>
                <w:szCs w:val="22"/>
              </w:rPr>
            </w:pPr>
          </w:p>
        </w:tc>
      </w:tr>
      <w:tr w:rsidR="009A4F4C" w:rsidRPr="00FD0125" w14:paraId="56D5EEEE" w14:textId="77777777" w:rsidTr="00A5612E">
        <w:tc>
          <w:tcPr>
            <w:tcW w:w="5812" w:type="dxa"/>
          </w:tcPr>
          <w:p w14:paraId="5E912A90" w14:textId="06A3853D" w:rsidR="009A4F4C" w:rsidRPr="00FD0125" w:rsidRDefault="009A4F4C"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sz w:val="22"/>
                <w:szCs w:val="22"/>
              </w:rPr>
            </w:pPr>
            <w:r w:rsidRPr="00FD0125">
              <w:rPr>
                <w:rFonts w:asciiTheme="minorHAnsi" w:hAnsiTheme="minorHAnsi" w:cs="Times New Roman"/>
                <w:sz w:val="22"/>
                <w:szCs w:val="22"/>
              </w:rPr>
              <w:t xml:space="preserve">Fi Thorne, Corporate Affairs  </w:t>
            </w:r>
          </w:p>
        </w:tc>
        <w:tc>
          <w:tcPr>
            <w:tcW w:w="3696" w:type="dxa"/>
          </w:tcPr>
          <w:p w14:paraId="021ABD1F" w14:textId="432AA3F5" w:rsidR="009A4F4C" w:rsidRPr="00FD0125" w:rsidRDefault="009A4F4C"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sz w:val="22"/>
                <w:szCs w:val="22"/>
              </w:rPr>
            </w:pPr>
            <w:r w:rsidRPr="00FD0125">
              <w:rPr>
                <w:rFonts w:asciiTheme="minorHAnsi" w:hAnsiTheme="minorHAnsi" w:cs="Times New Roman"/>
                <w:sz w:val="22"/>
                <w:szCs w:val="22"/>
              </w:rPr>
              <w:t>+ 44 20 8834 6018</w:t>
            </w:r>
          </w:p>
        </w:tc>
      </w:tr>
      <w:tr w:rsidR="00324B39" w:rsidRPr="0051788C" w14:paraId="15EC6A35" w14:textId="77777777" w:rsidTr="00A5612E">
        <w:tc>
          <w:tcPr>
            <w:tcW w:w="5812" w:type="dxa"/>
          </w:tcPr>
          <w:p w14:paraId="16402D3C" w14:textId="77777777" w:rsidR="00324B39" w:rsidRPr="0051788C"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sz w:val="22"/>
                <w:szCs w:val="22"/>
              </w:rPr>
            </w:pPr>
            <w:r w:rsidRPr="0051788C">
              <w:rPr>
                <w:rFonts w:asciiTheme="minorHAnsi" w:hAnsiTheme="minorHAnsi" w:cs="Times New Roman"/>
                <w:sz w:val="22"/>
                <w:szCs w:val="22"/>
              </w:rPr>
              <w:t xml:space="preserve">Billy Murphy, </w:t>
            </w:r>
            <w:r w:rsidRPr="0051788C">
              <w:rPr>
                <w:rFonts w:asciiTheme="minorHAnsi" w:hAnsiTheme="minorHAnsi"/>
                <w:sz w:val="22"/>
                <w:szCs w:val="22"/>
              </w:rPr>
              <w:t xml:space="preserve">Drury / Porter </w:t>
            </w:r>
            <w:proofErr w:type="spellStart"/>
            <w:r w:rsidRPr="0051788C">
              <w:rPr>
                <w:rFonts w:asciiTheme="minorHAnsi" w:hAnsiTheme="minorHAnsi"/>
                <w:sz w:val="22"/>
                <w:szCs w:val="22"/>
              </w:rPr>
              <w:t>Novelli</w:t>
            </w:r>
            <w:proofErr w:type="spellEnd"/>
          </w:p>
        </w:tc>
        <w:tc>
          <w:tcPr>
            <w:tcW w:w="3696" w:type="dxa"/>
          </w:tcPr>
          <w:p w14:paraId="3714040E" w14:textId="77777777" w:rsidR="00324B39" w:rsidRPr="0051788C"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sz w:val="22"/>
                <w:szCs w:val="22"/>
              </w:rPr>
            </w:pPr>
            <w:r w:rsidRPr="0051788C">
              <w:rPr>
                <w:rFonts w:asciiTheme="minorHAnsi" w:hAnsiTheme="minorHAnsi"/>
                <w:sz w:val="22"/>
                <w:szCs w:val="22"/>
              </w:rPr>
              <w:t>+ 353 1 260 5000</w:t>
            </w:r>
          </w:p>
        </w:tc>
      </w:tr>
      <w:tr w:rsidR="00324B39" w:rsidRPr="00C420C4" w14:paraId="7167B592" w14:textId="77777777" w:rsidTr="00A5612E">
        <w:tc>
          <w:tcPr>
            <w:tcW w:w="5812" w:type="dxa"/>
          </w:tcPr>
          <w:p w14:paraId="29B32622" w14:textId="77777777" w:rsidR="00324B39" w:rsidRPr="0051788C"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sz w:val="22"/>
                <w:szCs w:val="22"/>
              </w:rPr>
            </w:pPr>
            <w:r w:rsidRPr="0051788C">
              <w:rPr>
                <w:rFonts w:asciiTheme="minorHAnsi" w:hAnsiTheme="minorHAnsi" w:cs="Times New Roman"/>
                <w:sz w:val="22"/>
                <w:szCs w:val="22"/>
              </w:rPr>
              <w:t>James Murgatroyd, Finsbury</w:t>
            </w:r>
          </w:p>
        </w:tc>
        <w:tc>
          <w:tcPr>
            <w:tcW w:w="3696" w:type="dxa"/>
          </w:tcPr>
          <w:p w14:paraId="58CAA6A4" w14:textId="77777777" w:rsidR="00324B39" w:rsidRPr="0051788C"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60"/>
                <w:tab w:val="left" w:pos="7786"/>
                <w:tab w:val="left" w:pos="8564"/>
                <w:tab w:val="left" w:pos="9343"/>
                <w:tab w:val="left" w:pos="10121"/>
                <w:tab w:val="left" w:pos="10900"/>
                <w:tab w:val="left" w:pos="11679"/>
                <w:tab w:val="left" w:pos="12457"/>
              </w:tabs>
              <w:rPr>
                <w:rFonts w:asciiTheme="minorHAnsi" w:hAnsiTheme="minorHAnsi" w:cs="Times New Roman"/>
                <w:sz w:val="22"/>
                <w:szCs w:val="22"/>
              </w:rPr>
            </w:pPr>
            <w:r w:rsidRPr="0051788C">
              <w:rPr>
                <w:rFonts w:asciiTheme="minorHAnsi" w:hAnsiTheme="minorHAnsi" w:cs="Times New Roman"/>
                <w:sz w:val="22"/>
                <w:szCs w:val="22"/>
              </w:rPr>
              <w:t>+ 44 20 7251 3801</w:t>
            </w:r>
          </w:p>
        </w:tc>
      </w:tr>
    </w:tbl>
    <w:p w14:paraId="3E5AEE9D" w14:textId="3F57A736" w:rsidR="002008F7" w:rsidRPr="00A85F1B" w:rsidRDefault="00324B39" w:rsidP="002008F7">
      <w:pPr>
        <w:spacing w:after="160" w:line="259" w:lineRule="auto"/>
        <w:jc w:val="both"/>
        <w:rPr>
          <w:rFonts w:ascii="Calibri" w:hAnsi="Calibri" w:cs="Calibri"/>
          <w:b/>
          <w:sz w:val="22"/>
          <w:szCs w:val="22"/>
        </w:rPr>
      </w:pPr>
      <w:r w:rsidRPr="00C420C4">
        <w:rPr>
          <w:rFonts w:asciiTheme="minorHAnsi" w:hAnsiTheme="minorHAnsi"/>
          <w:b/>
          <w:i/>
          <w:sz w:val="22"/>
          <w:szCs w:val="22"/>
          <w:highlight w:val="yellow"/>
        </w:rPr>
        <w:br w:type="page"/>
      </w:r>
      <w:r w:rsidR="002008F7" w:rsidRPr="00A85F1B">
        <w:rPr>
          <w:rFonts w:ascii="Calibri" w:hAnsi="Calibri" w:cs="Calibri"/>
          <w:b/>
          <w:sz w:val="22"/>
          <w:szCs w:val="22"/>
        </w:rPr>
        <w:lastRenderedPageBreak/>
        <w:t xml:space="preserve">Business Review </w:t>
      </w:r>
    </w:p>
    <w:p w14:paraId="4180C232" w14:textId="783C8975" w:rsidR="002008F7" w:rsidRDefault="002008F7" w:rsidP="002008F7">
      <w:pPr>
        <w:spacing w:after="160" w:line="259" w:lineRule="auto"/>
        <w:jc w:val="both"/>
        <w:rPr>
          <w:rFonts w:ascii="Calibri" w:hAnsi="Calibri" w:cs="Calibri"/>
          <w:sz w:val="22"/>
          <w:szCs w:val="22"/>
        </w:rPr>
      </w:pPr>
      <w:r w:rsidRPr="00A85F1B">
        <w:rPr>
          <w:rFonts w:ascii="Calibri" w:hAnsi="Calibri" w:cs="Calibri"/>
          <w:sz w:val="22"/>
          <w:szCs w:val="22"/>
        </w:rPr>
        <w:t xml:space="preserve">Flutter grew revenues by 14% during 2019 to over £2 billion as we took a leadership position in the US </w:t>
      </w:r>
      <w:r w:rsidR="00E62573">
        <w:rPr>
          <w:rFonts w:ascii="Calibri" w:hAnsi="Calibri" w:cs="Calibri"/>
          <w:sz w:val="22"/>
          <w:szCs w:val="22"/>
        </w:rPr>
        <w:t xml:space="preserve">online </w:t>
      </w:r>
      <w:r w:rsidRPr="00A85F1B">
        <w:rPr>
          <w:rFonts w:ascii="Calibri" w:hAnsi="Calibri" w:cs="Calibri"/>
          <w:sz w:val="22"/>
          <w:szCs w:val="22"/>
        </w:rPr>
        <w:t>sports</w:t>
      </w:r>
      <w:r>
        <w:rPr>
          <w:rFonts w:ascii="Calibri" w:hAnsi="Calibri" w:cs="Calibri"/>
          <w:sz w:val="22"/>
          <w:szCs w:val="22"/>
        </w:rPr>
        <w:t xml:space="preserve"> </w:t>
      </w:r>
      <w:r w:rsidRPr="00A85F1B">
        <w:rPr>
          <w:rFonts w:ascii="Calibri" w:hAnsi="Calibri" w:cs="Calibri"/>
          <w:sz w:val="22"/>
          <w:szCs w:val="22"/>
        </w:rPr>
        <w:t xml:space="preserve">betting </w:t>
      </w:r>
      <w:r w:rsidR="00E62573">
        <w:rPr>
          <w:rFonts w:ascii="Calibri" w:hAnsi="Calibri" w:cs="Calibri"/>
          <w:sz w:val="22"/>
          <w:szCs w:val="22"/>
        </w:rPr>
        <w:t xml:space="preserve">and gaming </w:t>
      </w:r>
      <w:r w:rsidRPr="00A85F1B">
        <w:rPr>
          <w:rFonts w:ascii="Calibri" w:hAnsi="Calibri" w:cs="Calibri"/>
          <w:sz w:val="22"/>
          <w:szCs w:val="22"/>
        </w:rPr>
        <w:t xml:space="preserve">market, executed strongly in Australia and </w:t>
      </w:r>
      <w:r>
        <w:rPr>
          <w:rFonts w:ascii="Calibri" w:hAnsi="Calibri" w:cs="Calibri"/>
          <w:sz w:val="22"/>
          <w:szCs w:val="22"/>
        </w:rPr>
        <w:t xml:space="preserve">expanded our European presence through the acquisition of Georgian market leader, </w:t>
      </w:r>
      <w:r w:rsidRPr="00A85F1B">
        <w:rPr>
          <w:rFonts w:ascii="Calibri" w:hAnsi="Calibri" w:cs="Calibri"/>
          <w:sz w:val="22"/>
          <w:szCs w:val="22"/>
        </w:rPr>
        <w:t>Adjarabet</w:t>
      </w:r>
      <w:r>
        <w:rPr>
          <w:rFonts w:ascii="Calibri" w:hAnsi="Calibri" w:cs="Calibri"/>
          <w:sz w:val="22"/>
          <w:szCs w:val="22"/>
        </w:rPr>
        <w:t xml:space="preserve">. </w:t>
      </w:r>
      <w:r w:rsidRPr="00A85F1B">
        <w:rPr>
          <w:rFonts w:ascii="Calibri" w:hAnsi="Calibri" w:cs="Calibri"/>
          <w:sz w:val="22"/>
          <w:szCs w:val="22"/>
        </w:rPr>
        <w:t xml:space="preserve">Group </w:t>
      </w:r>
      <w:r w:rsidR="00C001FC">
        <w:rPr>
          <w:rFonts w:ascii="Calibri" w:hAnsi="Calibri" w:cs="Calibri"/>
          <w:sz w:val="22"/>
          <w:szCs w:val="22"/>
        </w:rPr>
        <w:t xml:space="preserve">underlying </w:t>
      </w:r>
      <w:r w:rsidRPr="00A85F1B">
        <w:rPr>
          <w:rFonts w:ascii="Calibri" w:hAnsi="Calibri" w:cs="Calibri"/>
          <w:sz w:val="22"/>
          <w:szCs w:val="22"/>
        </w:rPr>
        <w:t>EBITDA</w:t>
      </w:r>
      <w:r w:rsidR="00615ECB" w:rsidRPr="00676F2F">
        <w:rPr>
          <w:rFonts w:ascii="Calibri" w:hAnsi="Calibri" w:cs="Calibri"/>
          <w:sz w:val="22"/>
          <w:szCs w:val="22"/>
          <w:vertAlign w:val="superscript"/>
        </w:rPr>
        <w:t>1</w:t>
      </w:r>
      <w:r w:rsidR="00615ECB">
        <w:rPr>
          <w:rFonts w:ascii="Calibri" w:hAnsi="Calibri" w:cs="Calibri"/>
          <w:sz w:val="22"/>
          <w:szCs w:val="22"/>
          <w:vertAlign w:val="superscript"/>
        </w:rPr>
        <w:t>,</w:t>
      </w:r>
      <w:r w:rsidR="00EA3F18" w:rsidRPr="00676F2F">
        <w:rPr>
          <w:rFonts w:ascii="Calibri" w:hAnsi="Calibri" w:cs="Calibri"/>
          <w:sz w:val="22"/>
          <w:szCs w:val="22"/>
          <w:vertAlign w:val="superscript"/>
        </w:rPr>
        <w:t>2</w:t>
      </w:r>
      <w:r w:rsidRPr="00A85F1B">
        <w:rPr>
          <w:rFonts w:ascii="Calibri" w:hAnsi="Calibri" w:cs="Calibri"/>
          <w:sz w:val="22"/>
          <w:szCs w:val="22"/>
        </w:rPr>
        <w:t xml:space="preserve"> </w:t>
      </w:r>
      <w:r>
        <w:rPr>
          <w:rFonts w:ascii="Calibri" w:hAnsi="Calibri" w:cs="Calibri"/>
          <w:sz w:val="22"/>
          <w:szCs w:val="22"/>
        </w:rPr>
        <w:t xml:space="preserve">for the year </w:t>
      </w:r>
      <w:r w:rsidRPr="00A85F1B">
        <w:rPr>
          <w:rFonts w:ascii="Calibri" w:hAnsi="Calibri" w:cs="Calibri"/>
          <w:sz w:val="22"/>
          <w:szCs w:val="22"/>
        </w:rPr>
        <w:t>was £385m, down 15% on the prior year</w:t>
      </w:r>
      <w:r>
        <w:rPr>
          <w:rFonts w:ascii="Calibri" w:hAnsi="Calibri" w:cs="Calibri"/>
          <w:sz w:val="22"/>
          <w:szCs w:val="22"/>
        </w:rPr>
        <w:t>,</w:t>
      </w:r>
      <w:r w:rsidRPr="00A85F1B">
        <w:rPr>
          <w:rFonts w:ascii="Calibri" w:hAnsi="Calibri" w:cs="Calibri"/>
          <w:sz w:val="22"/>
          <w:szCs w:val="22"/>
        </w:rPr>
        <w:t xml:space="preserve"> reflecting </w:t>
      </w:r>
      <w:r>
        <w:rPr>
          <w:rFonts w:ascii="Calibri" w:hAnsi="Calibri" w:cs="Calibri"/>
          <w:sz w:val="22"/>
          <w:szCs w:val="22"/>
        </w:rPr>
        <w:t xml:space="preserve">incremental </w:t>
      </w:r>
      <w:r w:rsidRPr="007069B0">
        <w:rPr>
          <w:rFonts w:ascii="Calibri" w:hAnsi="Calibri" w:cs="Calibri"/>
          <w:sz w:val="22"/>
          <w:szCs w:val="22"/>
        </w:rPr>
        <w:t>tax</w:t>
      </w:r>
      <w:r>
        <w:rPr>
          <w:rFonts w:ascii="Calibri" w:hAnsi="Calibri" w:cs="Calibri"/>
          <w:sz w:val="22"/>
          <w:szCs w:val="22"/>
        </w:rPr>
        <w:t>/</w:t>
      </w:r>
      <w:r w:rsidRPr="007069B0">
        <w:rPr>
          <w:rFonts w:ascii="Calibri" w:hAnsi="Calibri" w:cs="Calibri"/>
          <w:sz w:val="22"/>
          <w:szCs w:val="22"/>
        </w:rPr>
        <w:t xml:space="preserve">regulatory </w:t>
      </w:r>
      <w:r w:rsidR="00BE2F18">
        <w:rPr>
          <w:rFonts w:ascii="Calibri" w:hAnsi="Calibri" w:cs="Calibri"/>
          <w:sz w:val="22"/>
          <w:szCs w:val="22"/>
        </w:rPr>
        <w:t xml:space="preserve">changes </w:t>
      </w:r>
      <w:r w:rsidRPr="007069B0">
        <w:rPr>
          <w:rFonts w:ascii="Calibri" w:hAnsi="Calibri" w:cs="Calibri"/>
          <w:sz w:val="22"/>
          <w:szCs w:val="22"/>
        </w:rPr>
        <w:t>of £107m</w:t>
      </w:r>
      <w:r w:rsidRPr="00B403D4">
        <w:rPr>
          <w:rFonts w:ascii="Calibri" w:hAnsi="Calibri" w:cs="Calibri"/>
          <w:sz w:val="22"/>
          <w:szCs w:val="22"/>
        </w:rPr>
        <w:t xml:space="preserve"> and our investment in the nascent US </w:t>
      </w:r>
      <w:r w:rsidRPr="00546269">
        <w:rPr>
          <w:rFonts w:ascii="Calibri" w:hAnsi="Calibri" w:cs="Calibri"/>
          <w:sz w:val="22"/>
          <w:szCs w:val="22"/>
        </w:rPr>
        <w:t>market. Excluding the</w:t>
      </w:r>
      <w:r w:rsidRPr="00A85F1B">
        <w:rPr>
          <w:rFonts w:ascii="Calibri" w:hAnsi="Calibri" w:cs="Calibri"/>
          <w:sz w:val="22"/>
          <w:szCs w:val="22"/>
        </w:rPr>
        <w:t xml:space="preserve"> impact of the tax</w:t>
      </w:r>
      <w:r>
        <w:rPr>
          <w:rFonts w:ascii="Calibri" w:hAnsi="Calibri" w:cs="Calibri"/>
          <w:sz w:val="22"/>
          <w:szCs w:val="22"/>
        </w:rPr>
        <w:t xml:space="preserve"> and </w:t>
      </w:r>
      <w:r w:rsidRPr="00A85F1B">
        <w:rPr>
          <w:rFonts w:ascii="Calibri" w:hAnsi="Calibri" w:cs="Calibri"/>
          <w:sz w:val="22"/>
          <w:szCs w:val="22"/>
        </w:rPr>
        <w:t xml:space="preserve">regulatory changes, </w:t>
      </w:r>
      <w:r w:rsidR="005F39DF">
        <w:rPr>
          <w:rFonts w:ascii="Calibri" w:hAnsi="Calibri" w:cs="Calibri"/>
          <w:sz w:val="22"/>
          <w:szCs w:val="22"/>
        </w:rPr>
        <w:t xml:space="preserve">underlying </w:t>
      </w:r>
      <w:r w:rsidRPr="00A85F1B">
        <w:rPr>
          <w:rFonts w:ascii="Calibri" w:hAnsi="Calibri" w:cs="Calibri"/>
          <w:sz w:val="22"/>
          <w:szCs w:val="22"/>
        </w:rPr>
        <w:t>EBITDA</w:t>
      </w:r>
      <w:r w:rsidR="00EA3F18" w:rsidRPr="00676F2F">
        <w:rPr>
          <w:rFonts w:ascii="Calibri" w:hAnsi="Calibri" w:cs="Calibri"/>
          <w:sz w:val="22"/>
          <w:szCs w:val="22"/>
          <w:vertAlign w:val="superscript"/>
        </w:rPr>
        <w:t>1,2</w:t>
      </w:r>
      <w:r w:rsidRPr="00A85F1B">
        <w:rPr>
          <w:rFonts w:ascii="Calibri" w:hAnsi="Calibri" w:cs="Calibri"/>
          <w:sz w:val="22"/>
          <w:szCs w:val="22"/>
        </w:rPr>
        <w:t xml:space="preserve"> increased 1</w:t>
      </w:r>
      <w:r w:rsidR="004A5742">
        <w:rPr>
          <w:rFonts w:ascii="Calibri" w:hAnsi="Calibri" w:cs="Calibri"/>
          <w:sz w:val="22"/>
          <w:szCs w:val="22"/>
        </w:rPr>
        <w:t>2</w:t>
      </w:r>
      <w:r w:rsidRPr="00A85F1B">
        <w:rPr>
          <w:rFonts w:ascii="Calibri" w:hAnsi="Calibri" w:cs="Calibri"/>
          <w:sz w:val="22"/>
          <w:szCs w:val="22"/>
        </w:rPr>
        <w:t>%.</w:t>
      </w:r>
      <w:r>
        <w:rPr>
          <w:rFonts w:ascii="Calibri" w:hAnsi="Calibri" w:cs="Calibri"/>
          <w:sz w:val="22"/>
          <w:szCs w:val="22"/>
        </w:rPr>
        <w:t xml:space="preserve"> </w:t>
      </w:r>
    </w:p>
    <w:p w14:paraId="00AA52EE" w14:textId="749CDAEA" w:rsidR="008B26ED" w:rsidRDefault="008B26ED" w:rsidP="002008F7">
      <w:pPr>
        <w:spacing w:after="160" w:line="259" w:lineRule="auto"/>
        <w:jc w:val="both"/>
        <w:rPr>
          <w:rFonts w:ascii="Calibri" w:hAnsi="Calibri" w:cs="Calibri"/>
          <w:b/>
          <w:sz w:val="22"/>
          <w:szCs w:val="22"/>
        </w:rPr>
      </w:pPr>
      <w:r>
        <w:rPr>
          <w:rFonts w:ascii="Calibri" w:hAnsi="Calibri" w:cs="Calibri"/>
          <w:sz w:val="22"/>
          <w:szCs w:val="22"/>
        </w:rPr>
        <w:t>The Group</w:t>
      </w:r>
      <w:r w:rsidR="009A5056">
        <w:rPr>
          <w:rFonts w:ascii="Calibri" w:hAnsi="Calibri" w:cs="Calibri"/>
          <w:sz w:val="22"/>
          <w:szCs w:val="22"/>
        </w:rPr>
        <w:t>’s</w:t>
      </w:r>
      <w:r>
        <w:rPr>
          <w:rFonts w:ascii="Calibri" w:hAnsi="Calibri" w:cs="Calibri"/>
          <w:sz w:val="22"/>
          <w:szCs w:val="22"/>
        </w:rPr>
        <w:t xml:space="preserve"> </w:t>
      </w:r>
      <w:r w:rsidR="00D56393">
        <w:rPr>
          <w:rFonts w:ascii="Calibri" w:hAnsi="Calibri" w:cs="Calibri"/>
          <w:sz w:val="22"/>
          <w:szCs w:val="22"/>
        </w:rPr>
        <w:t xml:space="preserve">four pillar </w:t>
      </w:r>
      <w:r>
        <w:rPr>
          <w:rFonts w:ascii="Calibri" w:hAnsi="Calibri" w:cs="Calibri"/>
          <w:sz w:val="22"/>
          <w:szCs w:val="22"/>
        </w:rPr>
        <w:t xml:space="preserve">strategy that we laid out last year remains in place and good progress </w:t>
      </w:r>
      <w:r w:rsidR="00D56393">
        <w:rPr>
          <w:rFonts w:ascii="Calibri" w:hAnsi="Calibri" w:cs="Calibri"/>
          <w:sz w:val="22"/>
          <w:szCs w:val="22"/>
        </w:rPr>
        <w:t xml:space="preserve">has been made </w:t>
      </w:r>
      <w:r>
        <w:rPr>
          <w:rFonts w:ascii="Calibri" w:hAnsi="Calibri" w:cs="Calibri"/>
          <w:sz w:val="22"/>
          <w:szCs w:val="22"/>
        </w:rPr>
        <w:t xml:space="preserve">against </w:t>
      </w:r>
      <w:r w:rsidR="00D56393">
        <w:rPr>
          <w:rFonts w:ascii="Calibri" w:hAnsi="Calibri" w:cs="Calibri"/>
          <w:sz w:val="22"/>
          <w:szCs w:val="22"/>
        </w:rPr>
        <w:t xml:space="preserve">each </w:t>
      </w:r>
      <w:r w:rsidR="00E62573">
        <w:rPr>
          <w:rFonts w:ascii="Calibri" w:hAnsi="Calibri" w:cs="Calibri"/>
          <w:sz w:val="22"/>
          <w:szCs w:val="22"/>
        </w:rPr>
        <w:t xml:space="preserve">pillar </w:t>
      </w:r>
      <w:r w:rsidR="00D56393">
        <w:rPr>
          <w:rFonts w:ascii="Calibri" w:hAnsi="Calibri" w:cs="Calibri"/>
          <w:sz w:val="22"/>
          <w:szCs w:val="22"/>
        </w:rPr>
        <w:t xml:space="preserve">during </w:t>
      </w:r>
      <w:r>
        <w:rPr>
          <w:rFonts w:ascii="Calibri" w:hAnsi="Calibri" w:cs="Calibri"/>
          <w:sz w:val="22"/>
          <w:szCs w:val="22"/>
        </w:rPr>
        <w:t>2019. In our core markets we remain strongly positioned. Internationally we have made progress in improving the Betfair proposition and have added to our podium positions with the acquisition of Adjara</w:t>
      </w:r>
      <w:r w:rsidR="00D9301B">
        <w:rPr>
          <w:rFonts w:ascii="Calibri" w:hAnsi="Calibri" w:cs="Calibri"/>
          <w:sz w:val="22"/>
          <w:szCs w:val="22"/>
        </w:rPr>
        <w:t>bet. In the US, our business goes from strength to strength.</w:t>
      </w:r>
    </w:p>
    <w:p w14:paraId="69C927C1" w14:textId="507A58B7" w:rsidR="002008F7" w:rsidRPr="00B928C7" w:rsidRDefault="002008F7" w:rsidP="002008F7">
      <w:pPr>
        <w:spacing w:after="160" w:line="259" w:lineRule="auto"/>
        <w:jc w:val="both"/>
        <w:rPr>
          <w:rFonts w:ascii="Calibri" w:hAnsi="Calibri" w:cs="Calibri"/>
          <w:b/>
          <w:sz w:val="22"/>
          <w:szCs w:val="22"/>
        </w:rPr>
      </w:pPr>
      <w:r w:rsidRPr="003C394D">
        <w:rPr>
          <w:rFonts w:ascii="Calibri" w:hAnsi="Calibri" w:cs="Calibri"/>
          <w:b/>
          <w:sz w:val="22"/>
          <w:szCs w:val="22"/>
        </w:rPr>
        <w:t xml:space="preserve">The external </w:t>
      </w:r>
      <w:r>
        <w:rPr>
          <w:rFonts w:ascii="Calibri" w:hAnsi="Calibri" w:cs="Calibri"/>
          <w:b/>
          <w:sz w:val="22"/>
          <w:szCs w:val="22"/>
        </w:rPr>
        <w:t xml:space="preserve">regulatory and tax </w:t>
      </w:r>
      <w:r w:rsidRPr="003C394D">
        <w:rPr>
          <w:rFonts w:ascii="Calibri" w:hAnsi="Calibri" w:cs="Calibri"/>
          <w:b/>
          <w:sz w:val="22"/>
          <w:szCs w:val="22"/>
        </w:rPr>
        <w:t xml:space="preserve">backdrop </w:t>
      </w:r>
    </w:p>
    <w:p w14:paraId="6F1A4BD8" w14:textId="0D221957" w:rsidR="002D475A" w:rsidRDefault="002D475A" w:rsidP="002D475A">
      <w:pPr>
        <w:spacing w:after="160" w:line="259" w:lineRule="auto"/>
        <w:jc w:val="both"/>
        <w:rPr>
          <w:rFonts w:ascii="Calibri" w:hAnsi="Calibri" w:cs="Calibri"/>
          <w:sz w:val="22"/>
          <w:szCs w:val="22"/>
        </w:rPr>
      </w:pPr>
      <w:r>
        <w:rPr>
          <w:rFonts w:ascii="Calibri" w:hAnsi="Calibri" w:cs="Calibri"/>
          <w:sz w:val="22"/>
          <w:szCs w:val="22"/>
        </w:rPr>
        <w:t xml:space="preserve">While executing on </w:t>
      </w:r>
      <w:r w:rsidR="00D9301B">
        <w:rPr>
          <w:rFonts w:ascii="Calibri" w:hAnsi="Calibri" w:cs="Calibri"/>
          <w:sz w:val="22"/>
          <w:szCs w:val="22"/>
        </w:rPr>
        <w:t>our</w:t>
      </w:r>
      <w:r>
        <w:rPr>
          <w:rFonts w:ascii="Calibri" w:hAnsi="Calibri" w:cs="Calibri"/>
          <w:sz w:val="22"/>
          <w:szCs w:val="22"/>
        </w:rPr>
        <w:t xml:space="preserve"> strategy remains a key focus, it is important that we reflect on the future direction of our business and the sector more broadly. Our Group</w:t>
      </w:r>
      <w:r w:rsidRPr="00091336">
        <w:rPr>
          <w:rFonts w:ascii="Calibri" w:hAnsi="Calibri" w:cs="Calibri"/>
          <w:sz w:val="22"/>
          <w:szCs w:val="22"/>
        </w:rPr>
        <w:t xml:space="preserve"> operates in a fast</w:t>
      </w:r>
      <w:r>
        <w:rPr>
          <w:rFonts w:ascii="Calibri" w:hAnsi="Calibri" w:cs="Calibri"/>
          <w:sz w:val="22"/>
          <w:szCs w:val="22"/>
        </w:rPr>
        <w:t>-</w:t>
      </w:r>
      <w:r w:rsidRPr="00091336">
        <w:rPr>
          <w:rFonts w:ascii="Calibri" w:hAnsi="Calibri" w:cs="Calibri"/>
          <w:sz w:val="22"/>
          <w:szCs w:val="22"/>
        </w:rPr>
        <w:t>paced, highly competitive industry</w:t>
      </w:r>
      <w:r>
        <w:rPr>
          <w:rFonts w:ascii="Calibri" w:hAnsi="Calibri" w:cs="Calibri"/>
          <w:sz w:val="22"/>
          <w:szCs w:val="22"/>
        </w:rPr>
        <w:t>,</w:t>
      </w:r>
      <w:r w:rsidRPr="006C4B73">
        <w:rPr>
          <w:rFonts w:ascii="Calibri" w:hAnsi="Calibri" w:cs="Calibri"/>
          <w:sz w:val="22"/>
          <w:szCs w:val="22"/>
        </w:rPr>
        <w:t xml:space="preserve"> that is governed by </w:t>
      </w:r>
      <w:r w:rsidRPr="00FD0125">
        <w:rPr>
          <w:rFonts w:ascii="Calibri" w:hAnsi="Calibri" w:cs="Calibri"/>
          <w:sz w:val="22"/>
          <w:szCs w:val="22"/>
        </w:rPr>
        <w:t xml:space="preserve">a multitude of national regulatory and tax frameworks </w:t>
      </w:r>
      <w:r>
        <w:rPr>
          <w:rFonts w:ascii="Calibri" w:hAnsi="Calibri" w:cs="Calibri"/>
          <w:sz w:val="22"/>
          <w:szCs w:val="22"/>
        </w:rPr>
        <w:t>which are continuously evolving</w:t>
      </w:r>
      <w:r w:rsidRPr="00FD0125">
        <w:rPr>
          <w:rFonts w:ascii="Calibri" w:hAnsi="Calibri" w:cs="Calibri"/>
          <w:sz w:val="22"/>
          <w:szCs w:val="22"/>
        </w:rPr>
        <w:t xml:space="preserve">. </w:t>
      </w:r>
      <w:r>
        <w:rPr>
          <w:rFonts w:ascii="Calibri" w:hAnsi="Calibri" w:cs="Calibri"/>
          <w:sz w:val="22"/>
          <w:szCs w:val="22"/>
        </w:rPr>
        <w:t xml:space="preserve">Regulatory change </w:t>
      </w:r>
      <w:r w:rsidRPr="00FD0125">
        <w:rPr>
          <w:rFonts w:ascii="Calibri" w:hAnsi="Calibri" w:cs="Calibri"/>
          <w:sz w:val="22"/>
          <w:szCs w:val="22"/>
        </w:rPr>
        <w:t>present</w:t>
      </w:r>
      <w:r>
        <w:rPr>
          <w:rFonts w:ascii="Calibri" w:hAnsi="Calibri" w:cs="Calibri"/>
          <w:sz w:val="22"/>
          <w:szCs w:val="22"/>
        </w:rPr>
        <w:t>s</w:t>
      </w:r>
      <w:r w:rsidRPr="00FD0125">
        <w:rPr>
          <w:rFonts w:ascii="Calibri" w:hAnsi="Calibri" w:cs="Calibri"/>
          <w:sz w:val="22"/>
          <w:szCs w:val="22"/>
        </w:rPr>
        <w:t xml:space="preserve"> </w:t>
      </w:r>
      <w:r>
        <w:rPr>
          <w:rFonts w:ascii="Calibri" w:hAnsi="Calibri" w:cs="Calibri"/>
          <w:sz w:val="22"/>
          <w:szCs w:val="22"/>
        </w:rPr>
        <w:t xml:space="preserve">the Group with </w:t>
      </w:r>
      <w:r w:rsidRPr="00FD0125">
        <w:rPr>
          <w:rFonts w:ascii="Calibri" w:hAnsi="Calibri" w:cs="Calibri"/>
          <w:sz w:val="22"/>
          <w:szCs w:val="22"/>
        </w:rPr>
        <w:t>great opportunities</w:t>
      </w:r>
      <w:r>
        <w:rPr>
          <w:rFonts w:ascii="Calibri" w:hAnsi="Calibri" w:cs="Calibri"/>
          <w:sz w:val="22"/>
          <w:szCs w:val="22"/>
        </w:rPr>
        <w:t xml:space="preserve"> but also poses real potential </w:t>
      </w:r>
      <w:r w:rsidRPr="00FD0125">
        <w:rPr>
          <w:rFonts w:ascii="Calibri" w:hAnsi="Calibri" w:cs="Calibri"/>
          <w:sz w:val="22"/>
          <w:szCs w:val="22"/>
        </w:rPr>
        <w:t>challenges and risks. To be well positioned to deal with</w:t>
      </w:r>
      <w:r>
        <w:rPr>
          <w:rFonts w:ascii="Calibri" w:hAnsi="Calibri" w:cs="Calibri"/>
          <w:sz w:val="22"/>
          <w:szCs w:val="22"/>
        </w:rPr>
        <w:t xml:space="preserve"> such change</w:t>
      </w:r>
      <w:r w:rsidRPr="00FD0125">
        <w:rPr>
          <w:rFonts w:ascii="Calibri" w:hAnsi="Calibri" w:cs="Calibri"/>
          <w:sz w:val="22"/>
          <w:szCs w:val="22"/>
        </w:rPr>
        <w:t xml:space="preserve">, we believe that global scale and diversification are key. </w:t>
      </w:r>
    </w:p>
    <w:p w14:paraId="5EDC96C7" w14:textId="310B2068" w:rsidR="002D475A" w:rsidRDefault="002D475A" w:rsidP="002D475A">
      <w:pPr>
        <w:spacing w:after="160" w:line="259" w:lineRule="auto"/>
        <w:jc w:val="both"/>
        <w:rPr>
          <w:rFonts w:ascii="Calibri" w:hAnsi="Calibri" w:cs="Calibri"/>
          <w:sz w:val="22"/>
          <w:szCs w:val="22"/>
        </w:rPr>
      </w:pPr>
      <w:r>
        <w:rPr>
          <w:rFonts w:ascii="Calibri" w:hAnsi="Calibri" w:cs="Calibri"/>
          <w:sz w:val="22"/>
          <w:szCs w:val="22"/>
        </w:rPr>
        <w:t xml:space="preserve">In 2019 we saw examples of both. The expansion of </w:t>
      </w:r>
      <w:r w:rsidR="00E62573">
        <w:rPr>
          <w:rFonts w:ascii="Calibri" w:hAnsi="Calibri" w:cs="Calibri"/>
          <w:sz w:val="22"/>
          <w:szCs w:val="22"/>
        </w:rPr>
        <w:t xml:space="preserve">the </w:t>
      </w:r>
      <w:r>
        <w:rPr>
          <w:rFonts w:ascii="Calibri" w:hAnsi="Calibri" w:cs="Calibri"/>
          <w:sz w:val="22"/>
          <w:szCs w:val="22"/>
        </w:rPr>
        <w:t xml:space="preserve">regulated sports betting market in the US continues apace, an opportunity that we believe is transformational for the Group. </w:t>
      </w:r>
      <w:r w:rsidR="00336CDD">
        <w:rPr>
          <w:rFonts w:ascii="Calibri" w:hAnsi="Calibri" w:cs="Calibri"/>
          <w:sz w:val="22"/>
          <w:szCs w:val="22"/>
        </w:rPr>
        <w:t xml:space="preserve">In our core markets of the UK, Ireland and Australia </w:t>
      </w:r>
      <w:r>
        <w:rPr>
          <w:rFonts w:ascii="Calibri" w:hAnsi="Calibri" w:cs="Calibri"/>
          <w:sz w:val="22"/>
          <w:szCs w:val="22"/>
        </w:rPr>
        <w:t xml:space="preserve">we also incurred significant tax increases while our international operations </w:t>
      </w:r>
      <w:r w:rsidRPr="00BC7E4F" w:rsidDel="0051788C">
        <w:rPr>
          <w:rFonts w:ascii="Calibri" w:hAnsi="Calibri" w:cs="Calibri"/>
          <w:sz w:val="22"/>
          <w:szCs w:val="22"/>
        </w:rPr>
        <w:t xml:space="preserve">experienced several unexpected </w:t>
      </w:r>
      <w:r>
        <w:rPr>
          <w:rFonts w:ascii="Calibri" w:hAnsi="Calibri" w:cs="Calibri"/>
          <w:sz w:val="22"/>
          <w:szCs w:val="22"/>
        </w:rPr>
        <w:t>market closures in the first half</w:t>
      </w:r>
      <w:r w:rsidR="00373010">
        <w:rPr>
          <w:rFonts w:ascii="Calibri" w:hAnsi="Calibri" w:cs="Calibri"/>
          <w:sz w:val="22"/>
          <w:szCs w:val="22"/>
        </w:rPr>
        <w:t xml:space="preserve"> of the year</w:t>
      </w:r>
      <w:r>
        <w:rPr>
          <w:rFonts w:ascii="Calibri" w:hAnsi="Calibri" w:cs="Calibri"/>
          <w:sz w:val="22"/>
          <w:szCs w:val="22"/>
        </w:rPr>
        <w:t>. In addition, t</w:t>
      </w:r>
      <w:r w:rsidRPr="00FD0125" w:rsidDel="0051788C">
        <w:rPr>
          <w:rFonts w:ascii="Calibri" w:hAnsi="Calibri" w:cs="Calibri"/>
          <w:sz w:val="22"/>
          <w:szCs w:val="22"/>
        </w:rPr>
        <w:t>he introduction of a £2 staking limit on</w:t>
      </w:r>
      <w:r>
        <w:rPr>
          <w:rFonts w:ascii="Calibri" w:hAnsi="Calibri" w:cs="Calibri"/>
          <w:sz w:val="22"/>
          <w:szCs w:val="22"/>
        </w:rPr>
        <w:t xml:space="preserve"> UK</w:t>
      </w:r>
      <w:r w:rsidRPr="00FD0125" w:rsidDel="0051788C">
        <w:rPr>
          <w:rFonts w:ascii="Calibri" w:hAnsi="Calibri" w:cs="Calibri"/>
          <w:sz w:val="22"/>
          <w:szCs w:val="22"/>
        </w:rPr>
        <w:t xml:space="preserve"> gaming machines</w:t>
      </w:r>
      <w:r>
        <w:rPr>
          <w:rFonts w:ascii="Calibri" w:hAnsi="Calibri" w:cs="Calibri"/>
          <w:sz w:val="22"/>
          <w:szCs w:val="22"/>
        </w:rPr>
        <w:t xml:space="preserve"> </w:t>
      </w:r>
      <w:r w:rsidRPr="00FD0125" w:rsidDel="0051788C">
        <w:rPr>
          <w:rFonts w:ascii="Calibri" w:hAnsi="Calibri" w:cs="Calibri"/>
          <w:sz w:val="22"/>
          <w:szCs w:val="22"/>
        </w:rPr>
        <w:t xml:space="preserve">changed the unit economics for </w:t>
      </w:r>
      <w:r>
        <w:rPr>
          <w:rFonts w:ascii="Calibri" w:hAnsi="Calibri" w:cs="Calibri"/>
          <w:sz w:val="22"/>
          <w:szCs w:val="22"/>
        </w:rPr>
        <w:t xml:space="preserve">UK </w:t>
      </w:r>
      <w:r w:rsidRPr="00FD0125" w:rsidDel="0051788C">
        <w:rPr>
          <w:rFonts w:ascii="Calibri" w:hAnsi="Calibri" w:cs="Calibri"/>
          <w:sz w:val="22"/>
          <w:szCs w:val="22"/>
        </w:rPr>
        <w:t>shop operators</w:t>
      </w:r>
      <w:r>
        <w:rPr>
          <w:rFonts w:ascii="Calibri" w:hAnsi="Calibri" w:cs="Calibri"/>
          <w:sz w:val="22"/>
          <w:szCs w:val="22"/>
        </w:rPr>
        <w:t>, equating to a</w:t>
      </w:r>
      <w:r w:rsidR="002826B4">
        <w:rPr>
          <w:rFonts w:ascii="Calibri" w:hAnsi="Calibri" w:cs="Calibri"/>
          <w:sz w:val="22"/>
          <w:szCs w:val="22"/>
        </w:rPr>
        <w:t>n annualised</w:t>
      </w:r>
      <w:r>
        <w:rPr>
          <w:rFonts w:ascii="Calibri" w:hAnsi="Calibri" w:cs="Calibri"/>
          <w:sz w:val="22"/>
          <w:szCs w:val="22"/>
        </w:rPr>
        <w:t xml:space="preserve"> profitability</w:t>
      </w:r>
      <w:r w:rsidR="00BE2F18">
        <w:rPr>
          <w:rFonts w:ascii="Calibri" w:hAnsi="Calibri" w:cs="Calibri"/>
          <w:sz w:val="22"/>
          <w:szCs w:val="22"/>
        </w:rPr>
        <w:t xml:space="preserve"> impact</w:t>
      </w:r>
      <w:r>
        <w:rPr>
          <w:rFonts w:ascii="Calibri" w:hAnsi="Calibri" w:cs="Calibri"/>
          <w:sz w:val="22"/>
          <w:szCs w:val="22"/>
        </w:rPr>
        <w:t xml:space="preserve"> of £30m for our retail estate.</w:t>
      </w:r>
      <w:r w:rsidRPr="00FD0125" w:rsidDel="0051788C">
        <w:rPr>
          <w:rFonts w:ascii="Calibri" w:hAnsi="Calibri" w:cs="Calibri"/>
          <w:sz w:val="22"/>
          <w:szCs w:val="22"/>
        </w:rPr>
        <w:t xml:space="preserve"> </w:t>
      </w:r>
    </w:p>
    <w:p w14:paraId="4F912D21" w14:textId="12E7067B" w:rsidR="002D475A" w:rsidRDefault="00D634BB" w:rsidP="002D475A">
      <w:pPr>
        <w:spacing w:after="160" w:line="259" w:lineRule="auto"/>
        <w:jc w:val="both"/>
        <w:rPr>
          <w:rFonts w:ascii="Calibri" w:hAnsi="Calibri" w:cs="Calibri"/>
          <w:sz w:val="22"/>
          <w:szCs w:val="22"/>
        </w:rPr>
      </w:pPr>
      <w:r>
        <w:rPr>
          <w:rFonts w:ascii="Calibri" w:hAnsi="Calibri" w:cs="Calibri"/>
          <w:sz w:val="22"/>
          <w:szCs w:val="22"/>
        </w:rPr>
        <w:t xml:space="preserve">As we look to the future, </w:t>
      </w:r>
      <w:r w:rsidR="002D475A">
        <w:rPr>
          <w:rFonts w:ascii="Calibri" w:hAnsi="Calibri" w:cs="Calibri"/>
          <w:sz w:val="22"/>
          <w:szCs w:val="22"/>
        </w:rPr>
        <w:t xml:space="preserve">we believe that we have reached a pivotal </w:t>
      </w:r>
      <w:r w:rsidR="00AB29AF">
        <w:rPr>
          <w:rFonts w:ascii="Calibri" w:hAnsi="Calibri" w:cs="Calibri"/>
          <w:sz w:val="22"/>
          <w:szCs w:val="22"/>
        </w:rPr>
        <w:t>time</w:t>
      </w:r>
      <w:r w:rsidR="002D475A">
        <w:rPr>
          <w:rFonts w:ascii="Calibri" w:hAnsi="Calibri" w:cs="Calibri"/>
          <w:sz w:val="22"/>
          <w:szCs w:val="22"/>
        </w:rPr>
        <w:t xml:space="preserve"> when it comes to responsible gambling. To better protect potentially vulnerable customers and to put our business on a more sustainable footing, it is clear that we must do more in this area both as an operator and as an industry. </w:t>
      </w:r>
    </w:p>
    <w:p w14:paraId="554D80D2" w14:textId="77777777" w:rsidR="002569C3" w:rsidRPr="006F3B8A" w:rsidRDefault="002569C3" w:rsidP="002008F7">
      <w:pPr>
        <w:spacing w:after="160" w:line="259" w:lineRule="auto"/>
        <w:jc w:val="both"/>
        <w:rPr>
          <w:rFonts w:ascii="Calibri" w:hAnsi="Calibri" w:cs="Calibri"/>
          <w:sz w:val="22"/>
          <w:szCs w:val="22"/>
          <w:u w:val="single"/>
        </w:rPr>
      </w:pPr>
      <w:r w:rsidRPr="006F3B8A">
        <w:rPr>
          <w:rFonts w:ascii="Calibri" w:hAnsi="Calibri" w:cs="Calibri"/>
          <w:sz w:val="22"/>
          <w:szCs w:val="22"/>
          <w:u w:val="single"/>
        </w:rPr>
        <w:t>As an operator…</w:t>
      </w:r>
    </w:p>
    <w:p w14:paraId="6928978E" w14:textId="58D6A270" w:rsidR="002008F7" w:rsidRDefault="002008F7" w:rsidP="002008F7">
      <w:pPr>
        <w:spacing w:after="160" w:line="259" w:lineRule="auto"/>
        <w:jc w:val="both"/>
        <w:rPr>
          <w:rFonts w:ascii="Calibri" w:hAnsi="Calibri" w:cs="Calibri"/>
          <w:sz w:val="22"/>
          <w:szCs w:val="22"/>
        </w:rPr>
      </w:pPr>
      <w:r>
        <w:rPr>
          <w:rFonts w:ascii="Calibri" w:hAnsi="Calibri" w:cs="Calibri"/>
          <w:sz w:val="22"/>
          <w:szCs w:val="22"/>
        </w:rPr>
        <w:t>D</w:t>
      </w:r>
      <w:r w:rsidRPr="008A6CA9">
        <w:rPr>
          <w:rFonts w:ascii="Calibri" w:hAnsi="Calibri" w:cs="Calibri"/>
          <w:sz w:val="22"/>
          <w:szCs w:val="22"/>
        </w:rPr>
        <w:t xml:space="preserve">uring 2019 we improved two key aspects of our responsible gambling program: </w:t>
      </w:r>
    </w:p>
    <w:p w14:paraId="554B0D48" w14:textId="78DABD0D" w:rsidR="002008F7" w:rsidRDefault="00B121ED" w:rsidP="00CD1403">
      <w:pPr>
        <w:pStyle w:val="ListParagraph"/>
        <w:numPr>
          <w:ilvl w:val="0"/>
          <w:numId w:val="23"/>
        </w:numPr>
        <w:spacing w:after="160" w:line="259" w:lineRule="auto"/>
        <w:jc w:val="both"/>
        <w:rPr>
          <w:rFonts w:cs="Calibri"/>
        </w:rPr>
      </w:pPr>
      <w:r w:rsidRPr="006F3B8A">
        <w:rPr>
          <w:rFonts w:cs="Calibri"/>
        </w:rPr>
        <w:t>H</w:t>
      </w:r>
      <w:r w:rsidR="002008F7" w:rsidRPr="006F3B8A">
        <w:rPr>
          <w:rFonts w:cs="Calibri"/>
        </w:rPr>
        <w:t>ow we identify customers who need to be protected</w:t>
      </w:r>
      <w:r w:rsidR="002008F7" w:rsidRPr="004A5742">
        <w:rPr>
          <w:rFonts w:cs="Calibri"/>
        </w:rPr>
        <w:t>:</w:t>
      </w:r>
      <w:r w:rsidR="00AA7AF0" w:rsidRPr="006F3B8A">
        <w:rPr>
          <w:rFonts w:cs="Calibri"/>
        </w:rPr>
        <w:t xml:space="preserve"> </w:t>
      </w:r>
      <w:r w:rsidR="00012A96">
        <w:rPr>
          <w:rFonts w:cs="Calibri"/>
        </w:rPr>
        <w:t>w</w:t>
      </w:r>
      <w:r w:rsidR="002008F7" w:rsidRPr="002D39EC">
        <w:rPr>
          <w:rFonts w:cs="Calibri"/>
        </w:rPr>
        <w:t xml:space="preserve">e improved our in-house technology by significantly increasing the </w:t>
      </w:r>
      <w:r w:rsidR="002569C3">
        <w:rPr>
          <w:rFonts w:cs="Calibri"/>
        </w:rPr>
        <w:t xml:space="preserve">number of </w:t>
      </w:r>
      <w:r w:rsidR="002008F7" w:rsidRPr="002D39EC">
        <w:rPr>
          <w:rFonts w:cs="Calibri"/>
        </w:rPr>
        <w:t xml:space="preserve">behaviours </w:t>
      </w:r>
      <w:r w:rsidR="002569C3">
        <w:rPr>
          <w:rFonts w:cs="Calibri"/>
        </w:rPr>
        <w:t xml:space="preserve">that </w:t>
      </w:r>
      <w:r w:rsidR="002008F7" w:rsidRPr="002D39EC">
        <w:rPr>
          <w:rFonts w:cs="Calibri"/>
        </w:rPr>
        <w:t>we monitor to determine whether customers</w:t>
      </w:r>
      <w:r w:rsidR="002569C3">
        <w:rPr>
          <w:rFonts w:cs="Calibri"/>
        </w:rPr>
        <w:t xml:space="preserve"> are </w:t>
      </w:r>
      <w:r w:rsidR="00B0159A">
        <w:rPr>
          <w:rFonts w:cs="Calibri"/>
        </w:rPr>
        <w:t xml:space="preserve">using </w:t>
      </w:r>
      <w:r w:rsidR="002569C3">
        <w:rPr>
          <w:rFonts w:cs="Calibri"/>
        </w:rPr>
        <w:t>our products responsibly</w:t>
      </w:r>
      <w:r w:rsidR="002008F7" w:rsidRPr="002D39EC">
        <w:rPr>
          <w:rFonts w:cs="Calibri"/>
        </w:rPr>
        <w:t xml:space="preserve">. </w:t>
      </w:r>
    </w:p>
    <w:p w14:paraId="55A8285E" w14:textId="08FA65A4" w:rsidR="008F11C8" w:rsidRPr="00B121ED" w:rsidRDefault="00B121ED" w:rsidP="00CD1403">
      <w:pPr>
        <w:pStyle w:val="ListParagraph"/>
        <w:numPr>
          <w:ilvl w:val="0"/>
          <w:numId w:val="23"/>
        </w:numPr>
        <w:spacing w:after="160" w:line="259" w:lineRule="auto"/>
        <w:jc w:val="both"/>
        <w:rPr>
          <w:rFonts w:cs="Calibri"/>
        </w:rPr>
      </w:pPr>
      <w:r w:rsidRPr="006F3B8A">
        <w:rPr>
          <w:rFonts w:cs="Calibri"/>
        </w:rPr>
        <w:t>H</w:t>
      </w:r>
      <w:r w:rsidR="002008F7" w:rsidRPr="006F3B8A">
        <w:rPr>
          <w:rFonts w:cs="Calibri"/>
        </w:rPr>
        <w:t>ow we interact with our customers</w:t>
      </w:r>
      <w:r w:rsidR="002008F7" w:rsidRPr="004A5742">
        <w:rPr>
          <w:rFonts w:cs="Calibri"/>
        </w:rPr>
        <w:t>:</w:t>
      </w:r>
      <w:r w:rsidR="002008F7" w:rsidRPr="008F11C8">
        <w:rPr>
          <w:rFonts w:cs="Calibri"/>
        </w:rPr>
        <w:t xml:space="preserve"> </w:t>
      </w:r>
      <w:r w:rsidR="00012A96">
        <w:rPr>
          <w:rFonts w:cs="Calibri"/>
        </w:rPr>
        <w:t>w</w:t>
      </w:r>
      <w:r w:rsidR="008F11C8" w:rsidRPr="006F3B8A">
        <w:rPr>
          <w:rFonts w:asciiTheme="minorHAnsi" w:hAnsiTheme="minorHAnsi" w:cstheme="minorHAnsi"/>
        </w:rPr>
        <w:t>e more than trebled the size of our responsible gambling team</w:t>
      </w:r>
      <w:r w:rsidR="00FA2834">
        <w:rPr>
          <w:rFonts w:asciiTheme="minorHAnsi" w:hAnsiTheme="minorHAnsi" w:cstheme="minorHAnsi"/>
        </w:rPr>
        <w:t xml:space="preserve"> over the last 18 months</w:t>
      </w:r>
      <w:r w:rsidR="008F11C8" w:rsidRPr="006F3B8A">
        <w:rPr>
          <w:rFonts w:asciiTheme="minorHAnsi" w:hAnsiTheme="minorHAnsi" w:cstheme="minorHAnsi"/>
        </w:rPr>
        <w:t>, investing in specialist training to ensure</w:t>
      </w:r>
      <w:r>
        <w:rPr>
          <w:rFonts w:asciiTheme="minorHAnsi" w:hAnsiTheme="minorHAnsi" w:cstheme="minorHAnsi"/>
        </w:rPr>
        <w:t xml:space="preserve"> that</w:t>
      </w:r>
      <w:r w:rsidR="008F11C8" w:rsidRPr="006F3B8A">
        <w:rPr>
          <w:rFonts w:asciiTheme="minorHAnsi" w:hAnsiTheme="minorHAnsi" w:cstheme="minorHAnsi"/>
        </w:rPr>
        <w:t xml:space="preserve"> our people are interacting with our customers </w:t>
      </w:r>
      <w:r w:rsidR="008F11C8">
        <w:rPr>
          <w:rFonts w:asciiTheme="minorHAnsi" w:hAnsiTheme="minorHAnsi" w:cstheme="minorHAnsi"/>
        </w:rPr>
        <w:t>at an early stage</w:t>
      </w:r>
      <w:r w:rsidR="008F11C8" w:rsidRPr="006F3B8A">
        <w:rPr>
          <w:rFonts w:asciiTheme="minorHAnsi" w:hAnsiTheme="minorHAnsi" w:cstheme="minorHAnsi"/>
        </w:rPr>
        <w:t>. This positively i</w:t>
      </w:r>
      <w:r>
        <w:rPr>
          <w:rFonts w:asciiTheme="minorHAnsi" w:hAnsiTheme="minorHAnsi" w:cstheme="minorHAnsi"/>
        </w:rPr>
        <w:t>nfluences</w:t>
      </w:r>
      <w:r w:rsidR="008F11C8" w:rsidRPr="006F3B8A">
        <w:rPr>
          <w:rFonts w:asciiTheme="minorHAnsi" w:hAnsiTheme="minorHAnsi" w:cstheme="minorHAnsi"/>
        </w:rPr>
        <w:t xml:space="preserve"> </w:t>
      </w:r>
      <w:r w:rsidR="005F39DF">
        <w:rPr>
          <w:rFonts w:asciiTheme="minorHAnsi" w:hAnsiTheme="minorHAnsi" w:cstheme="minorHAnsi"/>
        </w:rPr>
        <w:t xml:space="preserve">behaviours and </w:t>
      </w:r>
      <w:r w:rsidR="00444F4E">
        <w:rPr>
          <w:rFonts w:asciiTheme="minorHAnsi" w:hAnsiTheme="minorHAnsi" w:cstheme="minorHAnsi"/>
        </w:rPr>
        <w:t xml:space="preserve">aims to </w:t>
      </w:r>
      <w:r w:rsidR="005F39DF">
        <w:rPr>
          <w:rFonts w:asciiTheme="minorHAnsi" w:hAnsiTheme="minorHAnsi" w:cstheme="minorHAnsi"/>
        </w:rPr>
        <w:t xml:space="preserve">ensure that </w:t>
      </w:r>
      <w:r w:rsidR="008F11C8" w:rsidRPr="006F3B8A">
        <w:rPr>
          <w:rFonts w:asciiTheme="minorHAnsi" w:hAnsiTheme="minorHAnsi" w:cstheme="minorHAnsi"/>
        </w:rPr>
        <w:t xml:space="preserve">customers </w:t>
      </w:r>
      <w:r>
        <w:rPr>
          <w:rFonts w:asciiTheme="minorHAnsi" w:hAnsiTheme="minorHAnsi" w:cstheme="minorHAnsi"/>
        </w:rPr>
        <w:t>do not spend more than they can afford</w:t>
      </w:r>
      <w:r w:rsidR="009A5056">
        <w:rPr>
          <w:rFonts w:asciiTheme="minorHAnsi" w:hAnsiTheme="minorHAnsi" w:cstheme="minorHAnsi"/>
        </w:rPr>
        <w:t xml:space="preserve"> on our products</w:t>
      </w:r>
      <w:r w:rsidR="008F11C8" w:rsidRPr="006F3B8A">
        <w:rPr>
          <w:rFonts w:asciiTheme="minorHAnsi" w:hAnsiTheme="minorHAnsi" w:cstheme="minorHAnsi"/>
        </w:rPr>
        <w:t>.</w:t>
      </w:r>
      <w:r w:rsidR="008F11C8" w:rsidRPr="002D39EC" w:rsidDel="008F11C8">
        <w:rPr>
          <w:rFonts w:cs="Calibri"/>
        </w:rPr>
        <w:t xml:space="preserve"> </w:t>
      </w:r>
    </w:p>
    <w:p w14:paraId="53A6093F" w14:textId="57A9DE7C" w:rsidR="008F11C8" w:rsidRPr="006F3B8A" w:rsidRDefault="008F11C8" w:rsidP="006F3B8A">
      <w:pPr>
        <w:spacing w:after="160" w:line="259" w:lineRule="auto"/>
        <w:jc w:val="both"/>
        <w:rPr>
          <w:rFonts w:ascii="Calibri" w:hAnsi="Calibri" w:cs="Calibri"/>
          <w:sz w:val="22"/>
          <w:szCs w:val="22"/>
        </w:rPr>
      </w:pPr>
      <w:r w:rsidRPr="006F3B8A">
        <w:rPr>
          <w:rFonts w:ascii="Calibri" w:hAnsi="Calibri" w:cs="Calibri"/>
          <w:sz w:val="22"/>
          <w:szCs w:val="22"/>
        </w:rPr>
        <w:t>The results of these initiatives have been encouraging to date</w:t>
      </w:r>
      <w:r w:rsidR="00444F4E">
        <w:rPr>
          <w:rFonts w:ascii="Calibri" w:hAnsi="Calibri" w:cs="Calibri"/>
          <w:sz w:val="22"/>
          <w:szCs w:val="22"/>
        </w:rPr>
        <w:t xml:space="preserve"> with</w:t>
      </w:r>
      <w:r w:rsidRPr="006F3B8A">
        <w:rPr>
          <w:rFonts w:ascii="Calibri" w:hAnsi="Calibri" w:cs="Calibri"/>
          <w:sz w:val="22"/>
          <w:szCs w:val="22"/>
        </w:rPr>
        <w:t xml:space="preserve"> an 84% increase in customers choosing to set deposit limits while deliver</w:t>
      </w:r>
      <w:r w:rsidR="00444F4E">
        <w:rPr>
          <w:rFonts w:ascii="Calibri" w:hAnsi="Calibri" w:cs="Calibri"/>
          <w:sz w:val="22"/>
          <w:szCs w:val="22"/>
        </w:rPr>
        <w:t>ing</w:t>
      </w:r>
      <w:r w:rsidRPr="006F3B8A">
        <w:rPr>
          <w:rFonts w:ascii="Calibri" w:hAnsi="Calibri" w:cs="Calibri"/>
          <w:sz w:val="22"/>
          <w:szCs w:val="22"/>
        </w:rPr>
        <w:t xml:space="preserve"> a 56% increase in real time contact with customers. </w:t>
      </w:r>
    </w:p>
    <w:p w14:paraId="59CD4CC8" w14:textId="78FB91DE" w:rsidR="002569C3" w:rsidRDefault="00D634BB" w:rsidP="002569C3">
      <w:pPr>
        <w:spacing w:after="160" w:line="259" w:lineRule="auto"/>
        <w:jc w:val="both"/>
        <w:rPr>
          <w:rFonts w:ascii="Calibri" w:hAnsi="Calibri" w:cs="Calibri"/>
          <w:sz w:val="22"/>
          <w:szCs w:val="22"/>
        </w:rPr>
      </w:pPr>
      <w:r>
        <w:rPr>
          <w:rFonts w:ascii="Calibri" w:hAnsi="Calibri" w:cs="Calibri"/>
          <w:sz w:val="22"/>
          <w:szCs w:val="22"/>
        </w:rPr>
        <w:t xml:space="preserve">Notwithstanding the progress made, we have more to do and </w:t>
      </w:r>
      <w:r w:rsidR="002569C3">
        <w:rPr>
          <w:rFonts w:ascii="Calibri" w:hAnsi="Calibri" w:cs="Calibri"/>
          <w:sz w:val="22"/>
          <w:szCs w:val="22"/>
        </w:rPr>
        <w:t xml:space="preserve">we must continuously </w:t>
      </w:r>
      <w:r>
        <w:rPr>
          <w:rFonts w:ascii="Calibri" w:hAnsi="Calibri" w:cs="Calibri"/>
          <w:sz w:val="22"/>
          <w:szCs w:val="22"/>
        </w:rPr>
        <w:t xml:space="preserve">seek to </w:t>
      </w:r>
      <w:r w:rsidR="002569C3" w:rsidRPr="007069B0">
        <w:rPr>
          <w:rFonts w:ascii="Calibri" w:hAnsi="Calibri" w:cs="Calibri"/>
          <w:sz w:val="22"/>
          <w:szCs w:val="22"/>
        </w:rPr>
        <w:t>raise our standards when it comes to responsible gambling and compliance procedures</w:t>
      </w:r>
      <w:r w:rsidR="002569C3">
        <w:rPr>
          <w:rFonts w:ascii="Calibri" w:hAnsi="Calibri" w:cs="Calibri"/>
          <w:sz w:val="22"/>
          <w:szCs w:val="22"/>
        </w:rPr>
        <w:t xml:space="preserve">. </w:t>
      </w:r>
      <w:r w:rsidR="002569C3" w:rsidRPr="007069B0">
        <w:rPr>
          <w:rFonts w:ascii="Calibri" w:hAnsi="Calibri" w:cs="Calibri"/>
          <w:sz w:val="22"/>
          <w:szCs w:val="22"/>
        </w:rPr>
        <w:t>For example</w:t>
      </w:r>
      <w:r w:rsidR="002569C3">
        <w:rPr>
          <w:rFonts w:ascii="Calibri" w:hAnsi="Calibri" w:cs="Calibri"/>
          <w:sz w:val="22"/>
          <w:szCs w:val="22"/>
        </w:rPr>
        <w:t xml:space="preserve">, </w:t>
      </w:r>
      <w:r w:rsidR="002569C3" w:rsidRPr="007069B0">
        <w:rPr>
          <w:rFonts w:ascii="Calibri" w:hAnsi="Calibri" w:cs="Calibri"/>
          <w:sz w:val="22"/>
          <w:szCs w:val="22"/>
        </w:rPr>
        <w:t xml:space="preserve">as part of our ongoing review of business relationships, we have taken the decision to stop taking business from a number </w:t>
      </w:r>
      <w:r w:rsidR="002569C3" w:rsidRPr="007069B0">
        <w:rPr>
          <w:rFonts w:ascii="Calibri" w:hAnsi="Calibri" w:cs="Calibri"/>
          <w:sz w:val="22"/>
          <w:szCs w:val="22"/>
        </w:rPr>
        <w:lastRenderedPageBreak/>
        <w:t xml:space="preserve">of </w:t>
      </w:r>
      <w:r w:rsidR="00E62573">
        <w:rPr>
          <w:rFonts w:ascii="Calibri" w:hAnsi="Calibri" w:cs="Calibri"/>
          <w:sz w:val="22"/>
          <w:szCs w:val="22"/>
        </w:rPr>
        <w:t xml:space="preserve">Exchange B2B </w:t>
      </w:r>
      <w:r w:rsidR="002569C3" w:rsidRPr="007069B0">
        <w:rPr>
          <w:rFonts w:ascii="Calibri" w:hAnsi="Calibri" w:cs="Calibri"/>
          <w:sz w:val="22"/>
          <w:szCs w:val="22"/>
        </w:rPr>
        <w:t xml:space="preserve">partners where we felt their compliance policies were no longer sufficiently aligned with those of the Group. This decision is likely to lead to a reduction in our </w:t>
      </w:r>
      <w:r w:rsidR="00444F4E">
        <w:rPr>
          <w:rFonts w:ascii="Calibri" w:hAnsi="Calibri" w:cs="Calibri"/>
          <w:sz w:val="22"/>
          <w:szCs w:val="22"/>
        </w:rPr>
        <w:t>E</w:t>
      </w:r>
      <w:r w:rsidR="002569C3" w:rsidRPr="007069B0">
        <w:rPr>
          <w:rFonts w:ascii="Calibri" w:hAnsi="Calibri" w:cs="Calibri"/>
          <w:sz w:val="22"/>
          <w:szCs w:val="22"/>
        </w:rPr>
        <w:t>xchange revenues during 2020.</w:t>
      </w:r>
    </w:p>
    <w:p w14:paraId="14023D1A" w14:textId="7B8745CF" w:rsidR="002569C3" w:rsidRPr="006F3B8A" w:rsidRDefault="002569C3" w:rsidP="002008F7">
      <w:pPr>
        <w:spacing w:after="160" w:line="259" w:lineRule="auto"/>
        <w:jc w:val="both"/>
        <w:rPr>
          <w:rFonts w:ascii="Calibri" w:hAnsi="Calibri" w:cs="Calibri"/>
          <w:sz w:val="22"/>
          <w:szCs w:val="22"/>
          <w:u w:val="single"/>
        </w:rPr>
      </w:pPr>
      <w:r w:rsidRPr="006F3B8A">
        <w:rPr>
          <w:rFonts w:ascii="Calibri" w:hAnsi="Calibri" w:cs="Calibri"/>
          <w:sz w:val="22"/>
          <w:szCs w:val="22"/>
          <w:u w:val="single"/>
        </w:rPr>
        <w:t>As an industry…</w:t>
      </w:r>
    </w:p>
    <w:p w14:paraId="6CA9FB87" w14:textId="11C5ED6C" w:rsidR="00326494" w:rsidRDefault="00444F4E" w:rsidP="00326494">
      <w:pPr>
        <w:spacing w:after="160" w:line="252" w:lineRule="auto"/>
        <w:rPr>
          <w:rFonts w:asciiTheme="minorHAnsi" w:hAnsiTheme="minorHAnsi" w:cstheme="minorHAnsi"/>
          <w:sz w:val="22"/>
          <w:szCs w:val="22"/>
        </w:rPr>
      </w:pPr>
      <w:r>
        <w:rPr>
          <w:rFonts w:asciiTheme="minorHAnsi" w:hAnsiTheme="minorHAnsi"/>
          <w:sz w:val="22"/>
        </w:rPr>
        <w:t>C</w:t>
      </w:r>
      <w:r w:rsidR="00326494" w:rsidRPr="001D045D">
        <w:rPr>
          <w:rFonts w:asciiTheme="minorHAnsi" w:hAnsiTheme="minorHAnsi"/>
          <w:sz w:val="22"/>
        </w:rPr>
        <w:t xml:space="preserve">ollaboration between industry leaders is essential to put the sector on a more sustainable footing. We must promote a mindset that encourages a race to the top when it comes to responsible gambling best practice. </w:t>
      </w:r>
    </w:p>
    <w:p w14:paraId="50235843" w14:textId="09B7B48B" w:rsidR="00326494" w:rsidRPr="001D045D" w:rsidRDefault="00326494" w:rsidP="001D045D">
      <w:pPr>
        <w:spacing w:after="160" w:line="252" w:lineRule="auto"/>
        <w:jc w:val="both"/>
        <w:rPr>
          <w:rFonts w:asciiTheme="minorHAnsi" w:hAnsiTheme="minorHAnsi"/>
          <w:sz w:val="22"/>
        </w:rPr>
      </w:pPr>
      <w:r w:rsidRPr="001D045D">
        <w:rPr>
          <w:rFonts w:asciiTheme="minorHAnsi" w:hAnsiTheme="minorHAnsi"/>
          <w:sz w:val="22"/>
        </w:rPr>
        <w:t>During 2019</w:t>
      </w:r>
      <w:r w:rsidR="00012A96">
        <w:rPr>
          <w:rFonts w:asciiTheme="minorHAnsi" w:hAnsiTheme="minorHAnsi"/>
          <w:sz w:val="22"/>
        </w:rPr>
        <w:t>,</w:t>
      </w:r>
      <w:r w:rsidRPr="001D045D">
        <w:rPr>
          <w:rFonts w:asciiTheme="minorHAnsi" w:hAnsiTheme="minorHAnsi"/>
          <w:sz w:val="22"/>
        </w:rPr>
        <w:t xml:space="preserve"> we worked with several leading operators in the UK to introduce safer gambling commitments</w:t>
      </w:r>
      <w:r>
        <w:rPr>
          <w:rFonts w:asciiTheme="minorHAnsi" w:hAnsiTheme="minorHAnsi" w:cstheme="minorHAnsi"/>
        </w:rPr>
        <w:t xml:space="preserve">. </w:t>
      </w:r>
      <w:r w:rsidRPr="00D57785">
        <w:rPr>
          <w:rFonts w:ascii="Calibri" w:hAnsi="Calibri" w:cs="Calibri"/>
          <w:sz w:val="22"/>
          <w:szCs w:val="22"/>
        </w:rPr>
        <w:t>To ensure that these commitments are delivered with the transparency and authenticity intended, the newly established</w:t>
      </w:r>
      <w:r w:rsidRPr="00FD0125">
        <w:rPr>
          <w:rFonts w:ascii="Calibri" w:hAnsi="Calibri" w:cs="Calibri"/>
          <w:sz w:val="22"/>
          <w:szCs w:val="22"/>
        </w:rPr>
        <w:t xml:space="preserve"> Betting and Gaming Council </w:t>
      </w:r>
      <w:r w:rsidRPr="00FD0125">
        <w:rPr>
          <w:rFonts w:asciiTheme="minorHAnsi" w:hAnsiTheme="minorHAnsi"/>
          <w:sz w:val="22"/>
          <w:szCs w:val="22"/>
        </w:rPr>
        <w:t>will regularly report publicly on</w:t>
      </w:r>
      <w:r>
        <w:rPr>
          <w:rFonts w:asciiTheme="minorHAnsi" w:hAnsiTheme="minorHAnsi"/>
          <w:sz w:val="22"/>
          <w:szCs w:val="22"/>
        </w:rPr>
        <w:t xml:space="preserve"> the</w:t>
      </w:r>
      <w:r w:rsidRPr="00FD0125">
        <w:rPr>
          <w:rFonts w:asciiTheme="minorHAnsi" w:hAnsiTheme="minorHAnsi"/>
          <w:sz w:val="22"/>
          <w:szCs w:val="22"/>
        </w:rPr>
        <w:t xml:space="preserve"> progress </w:t>
      </w:r>
      <w:r>
        <w:rPr>
          <w:rFonts w:asciiTheme="minorHAnsi" w:hAnsiTheme="minorHAnsi"/>
          <w:sz w:val="22"/>
          <w:szCs w:val="22"/>
        </w:rPr>
        <w:t xml:space="preserve">we are making against </w:t>
      </w:r>
      <w:r w:rsidR="00D634BB">
        <w:rPr>
          <w:rFonts w:asciiTheme="minorHAnsi" w:hAnsiTheme="minorHAnsi"/>
          <w:sz w:val="22"/>
          <w:szCs w:val="22"/>
        </w:rPr>
        <w:t>them</w:t>
      </w:r>
      <w:r w:rsidRPr="00FD0125">
        <w:rPr>
          <w:rFonts w:asciiTheme="minorHAnsi" w:hAnsiTheme="minorHAnsi"/>
          <w:sz w:val="22"/>
          <w:szCs w:val="22"/>
        </w:rPr>
        <w:t>.</w:t>
      </w:r>
      <w:r>
        <w:t xml:space="preserve"> </w:t>
      </w:r>
      <w:r>
        <w:rPr>
          <w:rFonts w:asciiTheme="minorHAnsi" w:hAnsiTheme="minorHAnsi" w:cstheme="minorHAnsi"/>
          <w:sz w:val="22"/>
          <w:szCs w:val="22"/>
        </w:rPr>
        <w:t xml:space="preserve">Arising from these commitments, </w:t>
      </w:r>
      <w:r w:rsidRPr="002F2BB7">
        <w:rPr>
          <w:rFonts w:asciiTheme="minorHAnsi" w:hAnsiTheme="minorHAnsi" w:cstheme="minorHAnsi"/>
          <w:sz w:val="22"/>
          <w:szCs w:val="22"/>
        </w:rPr>
        <w:t xml:space="preserve">the industry is now working alongside the Gambling Commission on three specific areas of focus. These are: </w:t>
      </w:r>
    </w:p>
    <w:p w14:paraId="50492E43" w14:textId="2C572C5F" w:rsidR="00CB567A" w:rsidRPr="00E877C8" w:rsidRDefault="00FC60BB" w:rsidP="00CD1403">
      <w:pPr>
        <w:pStyle w:val="ListParagraph"/>
        <w:numPr>
          <w:ilvl w:val="0"/>
          <w:numId w:val="23"/>
        </w:numPr>
        <w:spacing w:after="160" w:line="259" w:lineRule="auto"/>
        <w:jc w:val="both"/>
      </w:pPr>
      <w:r w:rsidRPr="00E877C8">
        <w:t xml:space="preserve">VIP </w:t>
      </w:r>
      <w:r w:rsidRPr="005947DC">
        <w:rPr>
          <w:rFonts w:cs="Calibri"/>
        </w:rPr>
        <w:t xml:space="preserve">code: development of </w:t>
      </w:r>
      <w:r w:rsidRPr="00E877C8">
        <w:t xml:space="preserve">a </w:t>
      </w:r>
      <w:r w:rsidRPr="005947DC">
        <w:rPr>
          <w:rFonts w:cs="Calibri"/>
        </w:rPr>
        <w:t>code to ensure loyalty schemes do not incentivise behaviour which puts</w:t>
      </w:r>
      <w:r w:rsidRPr="00E877C8">
        <w:t xml:space="preserve"> customers </w:t>
      </w:r>
      <w:r w:rsidRPr="005947DC">
        <w:rPr>
          <w:rFonts w:cs="Calibri"/>
        </w:rPr>
        <w:t>at risk</w:t>
      </w:r>
      <w:r w:rsidR="00CB567A" w:rsidRPr="005947DC">
        <w:rPr>
          <w:rFonts w:cs="Calibri"/>
        </w:rPr>
        <w:t xml:space="preserve"> </w:t>
      </w:r>
    </w:p>
    <w:p w14:paraId="2DC624F3" w14:textId="57CC0EF8" w:rsidR="00CB567A" w:rsidRPr="00E877C8" w:rsidRDefault="00CB567A" w:rsidP="00CD1403">
      <w:pPr>
        <w:pStyle w:val="ListParagraph"/>
        <w:numPr>
          <w:ilvl w:val="0"/>
          <w:numId w:val="23"/>
        </w:numPr>
        <w:spacing w:after="160" w:line="259" w:lineRule="auto"/>
        <w:jc w:val="both"/>
      </w:pPr>
      <w:r w:rsidRPr="005947DC">
        <w:rPr>
          <w:rFonts w:cs="Calibri"/>
        </w:rPr>
        <w:t>Advertising technology:</w:t>
      </w:r>
      <w:r w:rsidRPr="00FA1B6E">
        <w:t xml:space="preserve"> </w:t>
      </w:r>
      <w:r w:rsidRPr="00E877C8">
        <w:t xml:space="preserve">review of </w:t>
      </w:r>
      <w:r w:rsidRPr="005947DC">
        <w:rPr>
          <w:rFonts w:cs="Calibri"/>
        </w:rPr>
        <w:t>online</w:t>
      </w:r>
      <w:r w:rsidRPr="00E877C8">
        <w:t xml:space="preserve"> advertising to </w:t>
      </w:r>
      <w:r w:rsidRPr="005947DC">
        <w:rPr>
          <w:rFonts w:cs="Calibri"/>
        </w:rPr>
        <w:t>enhance protection of vulnerable people</w:t>
      </w:r>
    </w:p>
    <w:p w14:paraId="1BF86C02" w14:textId="4A672972" w:rsidR="00CB567A" w:rsidRPr="005947DC" w:rsidRDefault="00CB567A" w:rsidP="00CD1403">
      <w:pPr>
        <w:pStyle w:val="ListParagraph"/>
        <w:numPr>
          <w:ilvl w:val="0"/>
          <w:numId w:val="23"/>
        </w:numPr>
        <w:rPr>
          <w:rFonts w:asciiTheme="minorHAnsi" w:hAnsiTheme="minorHAnsi" w:cstheme="minorHAnsi"/>
        </w:rPr>
      </w:pPr>
      <w:r w:rsidRPr="005947DC">
        <w:rPr>
          <w:rFonts w:asciiTheme="minorHAnsi" w:hAnsiTheme="minorHAnsi" w:cstheme="minorHAnsi"/>
        </w:rPr>
        <w:t>Responsible game design: setting a framework to ensure products and game design does not drive high risk behaviours</w:t>
      </w:r>
    </w:p>
    <w:p w14:paraId="1DFCD6F7" w14:textId="73AAF5FB" w:rsidR="003F718F" w:rsidRDefault="003F718F" w:rsidP="00CB567A">
      <w:pPr>
        <w:rPr>
          <w:rFonts w:ascii="Calibri" w:hAnsi="Calibri" w:cs="Calibri"/>
          <w:b/>
          <w:sz w:val="22"/>
          <w:szCs w:val="22"/>
        </w:rPr>
      </w:pPr>
      <w:r w:rsidRPr="003F718F">
        <w:rPr>
          <w:rFonts w:ascii="Calibri" w:hAnsi="Calibri" w:cs="Calibri"/>
          <w:b/>
          <w:sz w:val="22"/>
          <w:szCs w:val="22"/>
        </w:rPr>
        <w:t>Future regulation</w:t>
      </w:r>
      <w:r w:rsidR="00F74123">
        <w:rPr>
          <w:rFonts w:ascii="Calibri" w:hAnsi="Calibri" w:cs="Calibri"/>
          <w:b/>
          <w:sz w:val="22"/>
          <w:szCs w:val="22"/>
        </w:rPr>
        <w:t xml:space="preserve"> </w:t>
      </w:r>
    </w:p>
    <w:p w14:paraId="00AB8A02" w14:textId="77777777" w:rsidR="00CB567A" w:rsidRPr="003F718F" w:rsidRDefault="00CB567A" w:rsidP="00FA1B6E">
      <w:pPr>
        <w:rPr>
          <w:rFonts w:ascii="Calibri" w:hAnsi="Calibri" w:cs="Calibri"/>
          <w:b/>
          <w:sz w:val="22"/>
          <w:szCs w:val="22"/>
        </w:rPr>
      </w:pPr>
    </w:p>
    <w:p w14:paraId="5D0C4EDD" w14:textId="70536D72" w:rsidR="00326494" w:rsidRPr="00303170" w:rsidRDefault="00FB717B" w:rsidP="003E7D50">
      <w:pPr>
        <w:spacing w:after="160" w:line="252" w:lineRule="auto"/>
        <w:jc w:val="both"/>
        <w:rPr>
          <w:rFonts w:asciiTheme="minorHAnsi" w:hAnsiTheme="minorHAnsi" w:cstheme="minorHAnsi"/>
          <w:sz w:val="22"/>
          <w:szCs w:val="22"/>
        </w:rPr>
      </w:pPr>
      <w:bookmarkStart w:id="2" w:name="_Hlk33102852"/>
      <w:r w:rsidRPr="00E71117">
        <w:rPr>
          <w:rFonts w:asciiTheme="minorHAnsi" w:hAnsiTheme="minorHAnsi" w:cstheme="minorHAnsi"/>
          <w:sz w:val="22"/>
          <w:szCs w:val="22"/>
        </w:rPr>
        <w:t>On January 14</w:t>
      </w:r>
      <w:r w:rsidRPr="00E71117">
        <w:rPr>
          <w:rFonts w:asciiTheme="minorHAnsi" w:hAnsiTheme="minorHAnsi" w:cstheme="minorHAnsi"/>
          <w:sz w:val="22"/>
          <w:szCs w:val="22"/>
          <w:vertAlign w:val="superscript"/>
        </w:rPr>
        <w:t>th</w:t>
      </w:r>
      <w:r w:rsidRPr="00E71117">
        <w:rPr>
          <w:rFonts w:asciiTheme="minorHAnsi" w:hAnsiTheme="minorHAnsi" w:cstheme="minorHAnsi"/>
          <w:sz w:val="22"/>
          <w:szCs w:val="22"/>
        </w:rPr>
        <w:t xml:space="preserve">, the UK Gambling Commission announced that it would introduce a ban on gambling by credit card from </w:t>
      </w:r>
      <w:r w:rsidR="00615ECB">
        <w:rPr>
          <w:rFonts w:asciiTheme="minorHAnsi" w:hAnsiTheme="minorHAnsi" w:cstheme="minorHAnsi"/>
          <w:sz w:val="22"/>
          <w:szCs w:val="22"/>
        </w:rPr>
        <w:t>14</w:t>
      </w:r>
      <w:r w:rsidR="00615ECB" w:rsidRPr="00615ECB">
        <w:rPr>
          <w:rFonts w:asciiTheme="minorHAnsi" w:hAnsiTheme="minorHAnsi" w:cstheme="minorHAnsi"/>
          <w:sz w:val="22"/>
          <w:szCs w:val="22"/>
          <w:vertAlign w:val="superscript"/>
        </w:rPr>
        <w:t>th</w:t>
      </w:r>
      <w:r w:rsidR="00615ECB">
        <w:rPr>
          <w:rFonts w:asciiTheme="minorHAnsi" w:hAnsiTheme="minorHAnsi" w:cstheme="minorHAnsi"/>
          <w:sz w:val="22"/>
          <w:szCs w:val="22"/>
        </w:rPr>
        <w:t xml:space="preserve"> </w:t>
      </w:r>
      <w:r w:rsidRPr="00E71117">
        <w:rPr>
          <w:rFonts w:asciiTheme="minorHAnsi" w:hAnsiTheme="minorHAnsi" w:cstheme="minorHAnsi"/>
          <w:sz w:val="22"/>
          <w:szCs w:val="22"/>
        </w:rPr>
        <w:t xml:space="preserve">April this year. In our submission to the UK Gambling Commission on credit cards, we had acknowledged that there was a need for some change in this area and we will be in a position to implement the required changes on schedule. In addition, </w:t>
      </w:r>
      <w:r w:rsidR="003E7D50">
        <w:rPr>
          <w:rFonts w:asciiTheme="minorHAnsi" w:hAnsiTheme="minorHAnsi" w:cstheme="minorHAnsi"/>
          <w:sz w:val="22"/>
          <w:szCs w:val="22"/>
        </w:rPr>
        <w:t>t</w:t>
      </w:r>
      <w:r w:rsidRPr="008A6CA9">
        <w:rPr>
          <w:rFonts w:ascii="Calibri" w:hAnsi="Calibri" w:cs="Calibri"/>
          <w:sz w:val="22"/>
          <w:szCs w:val="22"/>
        </w:rPr>
        <w:t xml:space="preserve">he UK Government </w:t>
      </w:r>
      <w:r>
        <w:rPr>
          <w:rFonts w:ascii="Calibri" w:hAnsi="Calibri" w:cs="Calibri"/>
          <w:sz w:val="22"/>
          <w:szCs w:val="22"/>
        </w:rPr>
        <w:t xml:space="preserve">has announced that it will </w:t>
      </w:r>
      <w:r w:rsidRPr="008A6CA9">
        <w:rPr>
          <w:rFonts w:ascii="Calibri" w:hAnsi="Calibri" w:cs="Calibri"/>
          <w:sz w:val="22"/>
          <w:szCs w:val="22"/>
        </w:rPr>
        <w:t>review the 2005 Gambling Act in the months ahead</w:t>
      </w:r>
      <w:r>
        <w:rPr>
          <w:rFonts w:ascii="Calibri" w:hAnsi="Calibri" w:cs="Calibri"/>
          <w:sz w:val="22"/>
          <w:szCs w:val="22"/>
        </w:rPr>
        <w:t xml:space="preserve"> and we</w:t>
      </w:r>
      <w:r w:rsidRPr="008A6CA9">
        <w:rPr>
          <w:rFonts w:ascii="Calibri" w:hAnsi="Calibri" w:cs="Calibri"/>
          <w:sz w:val="22"/>
          <w:szCs w:val="22"/>
        </w:rPr>
        <w:t xml:space="preserve"> are hopeful that the emphasis of </w:t>
      </w:r>
      <w:r>
        <w:rPr>
          <w:rFonts w:ascii="Calibri" w:hAnsi="Calibri" w:cs="Calibri"/>
          <w:sz w:val="22"/>
          <w:szCs w:val="22"/>
        </w:rPr>
        <w:t xml:space="preserve">future UK regulation </w:t>
      </w:r>
      <w:r w:rsidRPr="008A6CA9">
        <w:rPr>
          <w:rFonts w:ascii="Calibri" w:hAnsi="Calibri" w:cs="Calibri"/>
          <w:sz w:val="22"/>
          <w:szCs w:val="22"/>
        </w:rPr>
        <w:t xml:space="preserve">will be on player protection </w:t>
      </w:r>
      <w:r>
        <w:rPr>
          <w:rFonts w:ascii="Calibri" w:hAnsi="Calibri" w:cs="Calibri"/>
          <w:sz w:val="22"/>
          <w:szCs w:val="22"/>
        </w:rPr>
        <w:t xml:space="preserve">with a clear focus on </w:t>
      </w:r>
      <w:r w:rsidRPr="008A6CA9">
        <w:rPr>
          <w:rFonts w:ascii="Calibri" w:hAnsi="Calibri" w:cs="Calibri"/>
          <w:sz w:val="22"/>
          <w:szCs w:val="22"/>
        </w:rPr>
        <w:t>affordability</w:t>
      </w:r>
      <w:r>
        <w:rPr>
          <w:rFonts w:ascii="Calibri" w:hAnsi="Calibri" w:cs="Calibri"/>
          <w:sz w:val="22"/>
          <w:szCs w:val="22"/>
        </w:rPr>
        <w:t>.</w:t>
      </w:r>
      <w:r w:rsidRPr="008A6CA9">
        <w:rPr>
          <w:rFonts w:ascii="Calibri" w:hAnsi="Calibri" w:cs="Calibri"/>
          <w:sz w:val="22"/>
          <w:szCs w:val="22"/>
        </w:rPr>
        <w:t xml:space="preserve"> In Ireland,</w:t>
      </w:r>
      <w:r>
        <w:rPr>
          <w:rFonts w:ascii="Calibri" w:hAnsi="Calibri" w:cs="Calibri"/>
          <w:sz w:val="22"/>
          <w:szCs w:val="22"/>
        </w:rPr>
        <w:t xml:space="preserve"> we remain supportive of</w:t>
      </w:r>
      <w:r w:rsidRPr="008A6CA9">
        <w:rPr>
          <w:rFonts w:ascii="Calibri" w:hAnsi="Calibri" w:cs="Calibri"/>
          <w:sz w:val="22"/>
          <w:szCs w:val="22"/>
        </w:rPr>
        <w:t xml:space="preserve"> the </w:t>
      </w:r>
      <w:r>
        <w:rPr>
          <w:rFonts w:ascii="Calibri" w:hAnsi="Calibri" w:cs="Calibri"/>
          <w:sz w:val="22"/>
          <w:szCs w:val="22"/>
        </w:rPr>
        <w:t>G</w:t>
      </w:r>
      <w:r w:rsidRPr="008A6CA9">
        <w:rPr>
          <w:rFonts w:ascii="Calibri" w:hAnsi="Calibri" w:cs="Calibri"/>
          <w:sz w:val="22"/>
          <w:szCs w:val="22"/>
        </w:rPr>
        <w:t>overnment</w:t>
      </w:r>
      <w:r>
        <w:rPr>
          <w:rFonts w:ascii="Calibri" w:hAnsi="Calibri" w:cs="Calibri"/>
          <w:sz w:val="22"/>
          <w:szCs w:val="22"/>
        </w:rPr>
        <w:t>’s</w:t>
      </w:r>
      <w:r w:rsidRPr="008A6CA9">
        <w:rPr>
          <w:rFonts w:ascii="Calibri" w:hAnsi="Calibri" w:cs="Calibri"/>
          <w:sz w:val="22"/>
          <w:szCs w:val="22"/>
        </w:rPr>
        <w:t xml:space="preserve"> work on the Gambling Control Bill which seeks, among other things, to establish a dedicated regulator for the gambling sector in Ireland. </w:t>
      </w:r>
      <w:r>
        <w:rPr>
          <w:rFonts w:ascii="Calibri" w:hAnsi="Calibri" w:cs="Calibri"/>
          <w:sz w:val="22"/>
          <w:szCs w:val="22"/>
        </w:rPr>
        <w:t xml:space="preserve"> </w:t>
      </w:r>
      <w:bookmarkEnd w:id="2"/>
    </w:p>
    <w:p w14:paraId="118B72AD" w14:textId="565DC575" w:rsidR="002008F7" w:rsidRPr="00CE5CB2" w:rsidRDefault="002008F7" w:rsidP="006F3B8A">
      <w:pPr>
        <w:spacing w:after="160" w:line="259" w:lineRule="auto"/>
        <w:jc w:val="both"/>
        <w:rPr>
          <w:rFonts w:asciiTheme="minorHAnsi" w:hAnsiTheme="minorHAnsi" w:cstheme="minorHAnsi"/>
          <w:b/>
          <w:sz w:val="22"/>
          <w:szCs w:val="22"/>
        </w:rPr>
      </w:pPr>
      <w:r w:rsidRPr="00CE5CB2">
        <w:rPr>
          <w:rFonts w:asciiTheme="minorHAnsi" w:hAnsiTheme="minorHAnsi" w:cstheme="minorHAnsi"/>
          <w:b/>
          <w:sz w:val="22"/>
          <w:szCs w:val="22"/>
        </w:rPr>
        <w:t xml:space="preserve">PPB </w:t>
      </w:r>
      <w:r w:rsidR="00045E83">
        <w:rPr>
          <w:rFonts w:asciiTheme="minorHAnsi" w:hAnsiTheme="minorHAnsi" w:cstheme="minorHAnsi"/>
          <w:b/>
          <w:sz w:val="22"/>
          <w:szCs w:val="22"/>
        </w:rPr>
        <w:t>O</w:t>
      </w:r>
      <w:r w:rsidR="00045E83" w:rsidRPr="00CE5CB2">
        <w:rPr>
          <w:rFonts w:asciiTheme="minorHAnsi" w:hAnsiTheme="minorHAnsi" w:cstheme="minorHAnsi"/>
          <w:b/>
          <w:sz w:val="22"/>
          <w:szCs w:val="22"/>
        </w:rPr>
        <w:t xml:space="preserve">nline </w:t>
      </w:r>
      <w:r w:rsidRPr="00CE5CB2">
        <w:rPr>
          <w:rFonts w:asciiTheme="minorHAnsi" w:hAnsiTheme="minorHAnsi" w:cstheme="minorHAnsi"/>
          <w:b/>
          <w:sz w:val="22"/>
          <w:szCs w:val="22"/>
        </w:rPr>
        <w:t>and Retail</w:t>
      </w:r>
    </w:p>
    <w:p w14:paraId="2DBB1976" w14:textId="6795E407" w:rsidR="002008F7" w:rsidRPr="00FC60BB" w:rsidDel="005C226C" w:rsidRDefault="002008F7" w:rsidP="00F74123">
      <w:pPr>
        <w:spacing w:after="160" w:line="259" w:lineRule="auto"/>
        <w:jc w:val="both"/>
        <w:rPr>
          <w:rFonts w:ascii="Calibri" w:hAnsi="Calibri" w:cs="Calibri"/>
          <w:sz w:val="22"/>
          <w:szCs w:val="22"/>
        </w:rPr>
      </w:pPr>
      <w:r w:rsidRPr="00FC60BB" w:rsidDel="005C226C">
        <w:rPr>
          <w:rFonts w:ascii="Calibri" w:hAnsi="Calibri" w:cs="Calibri"/>
          <w:sz w:val="22"/>
          <w:szCs w:val="22"/>
        </w:rPr>
        <w:t xml:space="preserve">Paddy Power enjoyed good momentum </w:t>
      </w:r>
      <w:r w:rsidR="005F39DF" w:rsidRPr="00FC60BB">
        <w:rPr>
          <w:rFonts w:ascii="Calibri" w:hAnsi="Calibri" w:cs="Calibri"/>
          <w:sz w:val="22"/>
          <w:szCs w:val="22"/>
        </w:rPr>
        <w:t xml:space="preserve">across all products </w:t>
      </w:r>
      <w:r w:rsidRPr="00FC60BB" w:rsidDel="005C226C">
        <w:rPr>
          <w:rFonts w:ascii="Calibri" w:hAnsi="Calibri" w:cs="Calibri"/>
          <w:sz w:val="22"/>
          <w:szCs w:val="22"/>
        </w:rPr>
        <w:t>during 2019</w:t>
      </w:r>
      <w:r w:rsidRPr="00FC60BB">
        <w:rPr>
          <w:rFonts w:ascii="Calibri" w:hAnsi="Calibri" w:cs="Calibri"/>
          <w:sz w:val="22"/>
          <w:szCs w:val="22"/>
        </w:rPr>
        <w:t xml:space="preserve">. Leveraging our iconic brand we rolled out </w:t>
      </w:r>
      <w:r w:rsidR="00CD1704" w:rsidRPr="00FC60BB">
        <w:rPr>
          <w:rFonts w:ascii="Calibri" w:hAnsi="Calibri" w:cs="Calibri"/>
          <w:sz w:val="22"/>
          <w:szCs w:val="22"/>
        </w:rPr>
        <w:t xml:space="preserve">several </w:t>
      </w:r>
      <w:r w:rsidRPr="00FC60BB">
        <w:rPr>
          <w:rFonts w:ascii="Calibri" w:hAnsi="Calibri" w:cs="Calibri"/>
          <w:sz w:val="22"/>
          <w:szCs w:val="22"/>
        </w:rPr>
        <w:t xml:space="preserve">attention grabbing campaigns such as the Rhodri </w:t>
      </w:r>
      <w:proofErr w:type="spellStart"/>
      <w:r w:rsidRPr="00FC60BB">
        <w:rPr>
          <w:rFonts w:ascii="Calibri" w:hAnsi="Calibri" w:cs="Calibri"/>
          <w:sz w:val="22"/>
          <w:szCs w:val="22"/>
        </w:rPr>
        <w:t>Giggs</w:t>
      </w:r>
      <w:proofErr w:type="spellEnd"/>
      <w:r w:rsidRPr="00FC60BB">
        <w:rPr>
          <w:rFonts w:ascii="Calibri" w:hAnsi="Calibri" w:cs="Calibri"/>
          <w:sz w:val="22"/>
          <w:szCs w:val="22"/>
        </w:rPr>
        <w:t xml:space="preserve"> </w:t>
      </w:r>
      <w:r w:rsidR="00661112">
        <w:rPr>
          <w:rFonts w:ascii="Calibri" w:hAnsi="Calibri" w:cs="Calibri"/>
          <w:sz w:val="22"/>
          <w:szCs w:val="22"/>
        </w:rPr>
        <w:t>“L</w:t>
      </w:r>
      <w:r w:rsidRPr="00FC60BB">
        <w:rPr>
          <w:rFonts w:ascii="Calibri" w:hAnsi="Calibri" w:cs="Calibri"/>
          <w:sz w:val="22"/>
          <w:szCs w:val="22"/>
        </w:rPr>
        <w:t>oyalty</w:t>
      </w:r>
      <w:r w:rsidR="00661112">
        <w:rPr>
          <w:rFonts w:ascii="Calibri" w:hAnsi="Calibri" w:cs="Calibri"/>
          <w:sz w:val="22"/>
          <w:szCs w:val="22"/>
        </w:rPr>
        <w:t xml:space="preserve"> is dead”</w:t>
      </w:r>
      <w:r w:rsidRPr="00FC60BB">
        <w:rPr>
          <w:rFonts w:ascii="Calibri" w:hAnsi="Calibri" w:cs="Calibri"/>
          <w:sz w:val="22"/>
          <w:szCs w:val="22"/>
        </w:rPr>
        <w:t xml:space="preserve"> and </w:t>
      </w:r>
      <w:r w:rsidR="005F39DF" w:rsidRPr="00FC60BB">
        <w:rPr>
          <w:rFonts w:ascii="Calibri" w:hAnsi="Calibri" w:cs="Calibri"/>
          <w:sz w:val="22"/>
          <w:szCs w:val="22"/>
        </w:rPr>
        <w:t xml:space="preserve">our “Don’t think you’re special” </w:t>
      </w:r>
      <w:r w:rsidRPr="00FC60BB">
        <w:rPr>
          <w:rFonts w:ascii="Calibri" w:hAnsi="Calibri" w:cs="Calibri"/>
          <w:sz w:val="22"/>
          <w:szCs w:val="22"/>
        </w:rPr>
        <w:t>campaign</w:t>
      </w:r>
      <w:r w:rsidR="00661112">
        <w:rPr>
          <w:rFonts w:ascii="Calibri" w:hAnsi="Calibri" w:cs="Calibri"/>
          <w:sz w:val="22"/>
          <w:szCs w:val="22"/>
        </w:rPr>
        <w:t>s</w:t>
      </w:r>
      <w:r w:rsidRPr="00FC60BB">
        <w:rPr>
          <w:rFonts w:ascii="Calibri" w:hAnsi="Calibri" w:cs="Calibri"/>
          <w:sz w:val="22"/>
          <w:szCs w:val="22"/>
        </w:rPr>
        <w:t>. Both drove good customer acquisition and engagement</w:t>
      </w:r>
      <w:r w:rsidR="00661112">
        <w:rPr>
          <w:rFonts w:ascii="Calibri" w:hAnsi="Calibri" w:cs="Calibri"/>
          <w:sz w:val="22"/>
          <w:szCs w:val="22"/>
        </w:rPr>
        <w:t xml:space="preserve"> </w:t>
      </w:r>
      <w:r w:rsidR="00FC60BB">
        <w:rPr>
          <w:rFonts w:ascii="Calibri" w:hAnsi="Calibri" w:cs="Calibri"/>
          <w:sz w:val="22"/>
          <w:szCs w:val="22"/>
        </w:rPr>
        <w:t>with customer growth of 12% during the year</w:t>
      </w:r>
      <w:r w:rsidR="00012A96">
        <w:rPr>
          <w:rFonts w:ascii="Calibri" w:hAnsi="Calibri" w:cs="Calibri"/>
          <w:sz w:val="22"/>
          <w:szCs w:val="22"/>
        </w:rPr>
        <w:t>,</w:t>
      </w:r>
      <w:r w:rsidR="00FC60BB">
        <w:rPr>
          <w:rFonts w:ascii="Calibri" w:hAnsi="Calibri" w:cs="Calibri"/>
          <w:sz w:val="22"/>
          <w:szCs w:val="22"/>
        </w:rPr>
        <w:t xml:space="preserve"> excluding the World Cup</w:t>
      </w:r>
      <w:r w:rsidRPr="00FC60BB">
        <w:rPr>
          <w:rFonts w:ascii="Calibri" w:hAnsi="Calibri" w:cs="Calibri"/>
          <w:sz w:val="22"/>
          <w:szCs w:val="22"/>
        </w:rPr>
        <w:t>. In addition</w:t>
      </w:r>
      <w:r w:rsidR="003F718F" w:rsidRPr="00FC60BB">
        <w:rPr>
          <w:rFonts w:ascii="Calibri" w:hAnsi="Calibri" w:cs="Calibri"/>
          <w:sz w:val="22"/>
          <w:szCs w:val="22"/>
        </w:rPr>
        <w:t>,</w:t>
      </w:r>
      <w:r w:rsidRPr="00FC60BB">
        <w:rPr>
          <w:rFonts w:ascii="Calibri" w:hAnsi="Calibri" w:cs="Calibri"/>
          <w:sz w:val="22"/>
          <w:szCs w:val="22"/>
        </w:rPr>
        <w:t xml:space="preserve"> we improved the Paddy Power product offering with ‘ACCA insurance’, leading the market </w:t>
      </w:r>
      <w:r w:rsidR="00F0390F" w:rsidRPr="00FC60BB">
        <w:rPr>
          <w:rFonts w:ascii="Calibri" w:hAnsi="Calibri" w:cs="Calibri"/>
          <w:sz w:val="22"/>
          <w:szCs w:val="22"/>
        </w:rPr>
        <w:t xml:space="preserve">with this </w:t>
      </w:r>
      <w:r w:rsidR="001E713C" w:rsidRPr="00FC60BB">
        <w:rPr>
          <w:rFonts w:ascii="Calibri" w:hAnsi="Calibri" w:cs="Calibri"/>
          <w:sz w:val="22"/>
          <w:szCs w:val="22"/>
        </w:rPr>
        <w:t>offering</w:t>
      </w:r>
      <w:r w:rsidRPr="00FC60BB">
        <w:rPr>
          <w:rFonts w:ascii="Calibri" w:hAnsi="Calibri" w:cs="Calibri"/>
          <w:sz w:val="22"/>
          <w:szCs w:val="22"/>
        </w:rPr>
        <w:t xml:space="preserve">. This has contributed to </w:t>
      </w:r>
      <w:r w:rsidR="00DF1F34" w:rsidRPr="00FC60BB">
        <w:rPr>
          <w:rFonts w:ascii="Calibri" w:hAnsi="Calibri" w:cs="Calibri"/>
          <w:sz w:val="22"/>
          <w:szCs w:val="22"/>
        </w:rPr>
        <w:t>Paddy Power ranking best</w:t>
      </w:r>
      <w:r w:rsidR="004A5742" w:rsidRPr="00FC60BB">
        <w:rPr>
          <w:rFonts w:ascii="Calibri" w:hAnsi="Calibri" w:cs="Calibri"/>
          <w:sz w:val="22"/>
          <w:szCs w:val="22"/>
        </w:rPr>
        <w:t>-</w:t>
      </w:r>
      <w:r w:rsidR="00DF1F34" w:rsidRPr="00FC60BB">
        <w:rPr>
          <w:rFonts w:ascii="Calibri" w:hAnsi="Calibri" w:cs="Calibri"/>
          <w:sz w:val="22"/>
          <w:szCs w:val="22"/>
        </w:rPr>
        <w:t>in</w:t>
      </w:r>
      <w:r w:rsidR="004A5742" w:rsidRPr="00FC60BB">
        <w:rPr>
          <w:rFonts w:ascii="Calibri" w:hAnsi="Calibri" w:cs="Calibri"/>
          <w:sz w:val="22"/>
          <w:szCs w:val="22"/>
        </w:rPr>
        <w:t>-</w:t>
      </w:r>
      <w:r w:rsidR="00DF1F34" w:rsidRPr="00FC60BB">
        <w:rPr>
          <w:rFonts w:ascii="Calibri" w:hAnsi="Calibri" w:cs="Calibri"/>
          <w:sz w:val="22"/>
          <w:szCs w:val="22"/>
        </w:rPr>
        <w:t xml:space="preserve">class in the market when it comes </w:t>
      </w:r>
      <w:r w:rsidR="00AA7AF0" w:rsidRPr="00FC60BB">
        <w:rPr>
          <w:rFonts w:ascii="Calibri" w:hAnsi="Calibri" w:cs="Calibri"/>
          <w:sz w:val="22"/>
          <w:szCs w:val="22"/>
        </w:rPr>
        <w:t xml:space="preserve">to </w:t>
      </w:r>
      <w:r w:rsidR="00DF1F34" w:rsidRPr="00FC60BB">
        <w:rPr>
          <w:rFonts w:ascii="Calibri" w:hAnsi="Calibri" w:cs="Calibri"/>
          <w:sz w:val="22"/>
          <w:szCs w:val="22"/>
        </w:rPr>
        <w:t>promotions</w:t>
      </w:r>
      <w:r w:rsidRPr="00FC60BB">
        <w:rPr>
          <w:rFonts w:ascii="Calibri" w:hAnsi="Calibri" w:cs="Calibri"/>
          <w:sz w:val="22"/>
          <w:szCs w:val="22"/>
        </w:rPr>
        <w:t xml:space="preserve">. We have also been pleased with how our </w:t>
      </w:r>
      <w:r w:rsidR="00AB6446">
        <w:rPr>
          <w:rFonts w:ascii="Calibri" w:hAnsi="Calibri" w:cs="Calibri"/>
          <w:sz w:val="22"/>
          <w:szCs w:val="22"/>
        </w:rPr>
        <w:t xml:space="preserve">PPB </w:t>
      </w:r>
      <w:r w:rsidRPr="00FC60BB">
        <w:rPr>
          <w:rFonts w:ascii="Calibri" w:hAnsi="Calibri" w:cs="Calibri"/>
          <w:sz w:val="22"/>
          <w:szCs w:val="22"/>
        </w:rPr>
        <w:t>Retail business has responded to the £2 staking limit on</w:t>
      </w:r>
      <w:r w:rsidR="001E713C" w:rsidRPr="00FC60BB">
        <w:rPr>
          <w:rFonts w:ascii="Calibri" w:hAnsi="Calibri" w:cs="Calibri"/>
          <w:sz w:val="22"/>
          <w:szCs w:val="22"/>
        </w:rPr>
        <w:t xml:space="preserve"> F</w:t>
      </w:r>
      <w:r w:rsidR="00C001FC">
        <w:rPr>
          <w:rFonts w:ascii="Calibri" w:hAnsi="Calibri" w:cs="Calibri"/>
          <w:sz w:val="22"/>
          <w:szCs w:val="22"/>
        </w:rPr>
        <w:t>ixed Odd Betting Terminal</w:t>
      </w:r>
      <w:r w:rsidR="001E713C" w:rsidRPr="00FC60BB">
        <w:rPr>
          <w:rFonts w:ascii="Calibri" w:hAnsi="Calibri" w:cs="Calibri"/>
          <w:sz w:val="22"/>
          <w:szCs w:val="22"/>
        </w:rPr>
        <w:t>s</w:t>
      </w:r>
      <w:r w:rsidRPr="00FC60BB">
        <w:rPr>
          <w:rFonts w:ascii="Calibri" w:hAnsi="Calibri" w:cs="Calibri"/>
          <w:sz w:val="22"/>
          <w:szCs w:val="22"/>
        </w:rPr>
        <w:t>, with signs that we are winning market share as competitors</w:t>
      </w:r>
      <w:r w:rsidR="00F0390F" w:rsidRPr="00FC60BB">
        <w:rPr>
          <w:rFonts w:ascii="Calibri" w:hAnsi="Calibri" w:cs="Calibri"/>
          <w:sz w:val="22"/>
          <w:szCs w:val="22"/>
        </w:rPr>
        <w:t xml:space="preserve"> reduce </w:t>
      </w:r>
      <w:r w:rsidR="009A5056">
        <w:rPr>
          <w:rFonts w:ascii="Calibri" w:hAnsi="Calibri" w:cs="Calibri"/>
          <w:sz w:val="22"/>
          <w:szCs w:val="22"/>
        </w:rPr>
        <w:t xml:space="preserve">the size of </w:t>
      </w:r>
      <w:r w:rsidR="00F0390F" w:rsidRPr="00FC60BB">
        <w:rPr>
          <w:rFonts w:ascii="Calibri" w:hAnsi="Calibri" w:cs="Calibri"/>
          <w:sz w:val="22"/>
          <w:szCs w:val="22"/>
        </w:rPr>
        <w:t>their retail estates</w:t>
      </w:r>
      <w:r w:rsidRPr="00FC60BB">
        <w:rPr>
          <w:rFonts w:ascii="Calibri" w:hAnsi="Calibri" w:cs="Calibri"/>
          <w:sz w:val="22"/>
          <w:szCs w:val="22"/>
        </w:rPr>
        <w:t>.</w:t>
      </w:r>
    </w:p>
    <w:p w14:paraId="7DCC89B2" w14:textId="70BBF884" w:rsidR="002008F7" w:rsidRPr="00F74123" w:rsidDel="005C226C" w:rsidRDefault="001E713C" w:rsidP="00F74123">
      <w:pPr>
        <w:spacing w:after="160" w:line="259" w:lineRule="auto"/>
        <w:jc w:val="both"/>
        <w:rPr>
          <w:rFonts w:ascii="Calibri" w:hAnsi="Calibri" w:cs="Calibri"/>
          <w:sz w:val="22"/>
          <w:szCs w:val="22"/>
        </w:rPr>
      </w:pPr>
      <w:r w:rsidRPr="00FC60BB">
        <w:rPr>
          <w:rFonts w:ascii="Calibri" w:hAnsi="Calibri" w:cs="Calibri"/>
          <w:sz w:val="22"/>
          <w:szCs w:val="22"/>
        </w:rPr>
        <w:t>During 2019</w:t>
      </w:r>
      <w:r w:rsidR="000E7928">
        <w:rPr>
          <w:rFonts w:ascii="Calibri" w:hAnsi="Calibri" w:cs="Calibri"/>
          <w:sz w:val="22"/>
          <w:szCs w:val="22"/>
        </w:rPr>
        <w:t>,</w:t>
      </w:r>
      <w:r w:rsidRPr="00FC60BB">
        <w:rPr>
          <w:rFonts w:ascii="Calibri" w:hAnsi="Calibri" w:cs="Calibri"/>
          <w:sz w:val="22"/>
          <w:szCs w:val="22"/>
        </w:rPr>
        <w:t xml:space="preserve"> </w:t>
      </w:r>
      <w:r w:rsidR="002008F7" w:rsidRPr="00FC60BB">
        <w:rPr>
          <w:rFonts w:ascii="Calibri" w:hAnsi="Calibri" w:cs="Calibri"/>
          <w:sz w:val="22"/>
          <w:szCs w:val="22"/>
        </w:rPr>
        <w:t xml:space="preserve">Betfair was the business most impacted by regulatory change and the initiatives we introduced to re-shape our business. Positively we continue to </w:t>
      </w:r>
      <w:r w:rsidR="005F39DF" w:rsidRPr="00FC60BB">
        <w:rPr>
          <w:rFonts w:ascii="Calibri" w:hAnsi="Calibri" w:cs="Calibri"/>
          <w:sz w:val="22"/>
          <w:szCs w:val="22"/>
        </w:rPr>
        <w:t xml:space="preserve">invest in the brand and </w:t>
      </w:r>
      <w:r w:rsidR="002008F7" w:rsidRPr="00FC60BB">
        <w:rPr>
          <w:rFonts w:ascii="Calibri" w:hAnsi="Calibri" w:cs="Calibri"/>
          <w:sz w:val="22"/>
          <w:szCs w:val="22"/>
        </w:rPr>
        <w:t xml:space="preserve">deliver product enhancements. </w:t>
      </w:r>
      <w:r w:rsidR="005F39DF" w:rsidRPr="00FC60BB">
        <w:rPr>
          <w:rFonts w:ascii="Calibri" w:hAnsi="Calibri" w:cs="Calibri"/>
          <w:sz w:val="22"/>
          <w:szCs w:val="22"/>
        </w:rPr>
        <w:t xml:space="preserve">We launched our new Clive Owen Betfair brand campaign which uses simple analogies to explain the concept of the Betfair Exchange to new customers. The campaign has a greater focus on digital channels to achieve greater marketing efficiency. </w:t>
      </w:r>
      <w:r w:rsidR="002008F7" w:rsidRPr="00FC60BB">
        <w:rPr>
          <w:rFonts w:ascii="Calibri" w:hAnsi="Calibri" w:cs="Calibri"/>
          <w:sz w:val="22"/>
          <w:szCs w:val="22"/>
        </w:rPr>
        <w:t>Our</w:t>
      </w:r>
      <w:r w:rsidR="002008F7" w:rsidRPr="00FC60BB" w:rsidDel="0051788C">
        <w:rPr>
          <w:rFonts w:ascii="Calibri" w:hAnsi="Calibri" w:cs="Calibri"/>
          <w:sz w:val="22"/>
          <w:szCs w:val="22"/>
        </w:rPr>
        <w:t xml:space="preserve"> </w:t>
      </w:r>
      <w:r w:rsidR="002008F7" w:rsidRPr="00FC60BB">
        <w:rPr>
          <w:rFonts w:ascii="Calibri" w:hAnsi="Calibri" w:cs="Calibri"/>
          <w:sz w:val="22"/>
          <w:szCs w:val="22"/>
        </w:rPr>
        <w:t>i</w:t>
      </w:r>
      <w:r w:rsidR="002008F7" w:rsidRPr="00FC60BB" w:rsidDel="005C226C">
        <w:rPr>
          <w:rFonts w:ascii="Calibri" w:hAnsi="Calibri" w:cs="Calibri"/>
          <w:sz w:val="22"/>
          <w:szCs w:val="22"/>
        </w:rPr>
        <w:t xml:space="preserve">nternational </w:t>
      </w:r>
      <w:r w:rsidR="002008F7" w:rsidRPr="00FC60BB">
        <w:rPr>
          <w:rFonts w:ascii="Calibri" w:hAnsi="Calibri" w:cs="Calibri"/>
          <w:sz w:val="22"/>
          <w:szCs w:val="22"/>
        </w:rPr>
        <w:t>business benefitted from a multitude of</w:t>
      </w:r>
      <w:r w:rsidR="005F39DF" w:rsidRPr="00FC60BB">
        <w:rPr>
          <w:rFonts w:ascii="Calibri" w:hAnsi="Calibri" w:cs="Calibri"/>
          <w:sz w:val="22"/>
          <w:szCs w:val="22"/>
        </w:rPr>
        <w:t xml:space="preserve"> product</w:t>
      </w:r>
      <w:r w:rsidR="002008F7" w:rsidRPr="00FC60BB">
        <w:rPr>
          <w:rFonts w:ascii="Calibri" w:hAnsi="Calibri" w:cs="Calibri"/>
          <w:sz w:val="22"/>
          <w:szCs w:val="22"/>
        </w:rPr>
        <w:t xml:space="preserve"> improvements including rolling </w:t>
      </w:r>
      <w:r w:rsidR="002008F7" w:rsidRPr="00FC60BB" w:rsidDel="005C226C">
        <w:rPr>
          <w:rFonts w:ascii="Calibri" w:hAnsi="Calibri" w:cs="Calibri"/>
          <w:sz w:val="22"/>
          <w:szCs w:val="22"/>
        </w:rPr>
        <w:t xml:space="preserve">out country specific pricing </w:t>
      </w:r>
      <w:r w:rsidR="002008F7" w:rsidRPr="00FC60BB">
        <w:rPr>
          <w:rFonts w:ascii="Calibri" w:hAnsi="Calibri" w:cs="Calibri"/>
          <w:sz w:val="22"/>
          <w:szCs w:val="22"/>
        </w:rPr>
        <w:t xml:space="preserve">(CSP) </w:t>
      </w:r>
      <w:r w:rsidR="002008F7" w:rsidRPr="00FC60BB" w:rsidDel="005C226C">
        <w:rPr>
          <w:rFonts w:ascii="Calibri" w:hAnsi="Calibri" w:cs="Calibri"/>
          <w:sz w:val="22"/>
          <w:szCs w:val="22"/>
        </w:rPr>
        <w:t xml:space="preserve">in Q1 and </w:t>
      </w:r>
      <w:r w:rsidR="002008F7" w:rsidRPr="00FC60BB">
        <w:rPr>
          <w:rFonts w:ascii="Calibri" w:hAnsi="Calibri" w:cs="Calibri"/>
          <w:sz w:val="22"/>
          <w:szCs w:val="22"/>
        </w:rPr>
        <w:t xml:space="preserve">the addition of </w:t>
      </w:r>
      <w:r w:rsidR="00012A96">
        <w:rPr>
          <w:rFonts w:ascii="Calibri" w:hAnsi="Calibri" w:cs="Calibri"/>
          <w:sz w:val="22"/>
          <w:szCs w:val="22"/>
        </w:rPr>
        <w:t xml:space="preserve">four </w:t>
      </w:r>
      <w:r w:rsidR="002008F7" w:rsidRPr="00FC60BB" w:rsidDel="005C226C">
        <w:rPr>
          <w:rFonts w:ascii="Calibri" w:hAnsi="Calibri" w:cs="Calibri"/>
          <w:sz w:val="22"/>
          <w:szCs w:val="22"/>
        </w:rPr>
        <w:t xml:space="preserve">new payment options and </w:t>
      </w:r>
      <w:r w:rsidR="00012A96">
        <w:rPr>
          <w:rFonts w:ascii="Calibri" w:hAnsi="Calibri" w:cs="Calibri"/>
          <w:sz w:val="22"/>
          <w:szCs w:val="22"/>
        </w:rPr>
        <w:t>five</w:t>
      </w:r>
      <w:r w:rsidR="00012A96" w:rsidRPr="00FC60BB" w:rsidDel="005C226C">
        <w:rPr>
          <w:rFonts w:ascii="Calibri" w:hAnsi="Calibri" w:cs="Calibri"/>
          <w:sz w:val="22"/>
          <w:szCs w:val="22"/>
        </w:rPr>
        <w:t xml:space="preserve"> </w:t>
      </w:r>
      <w:r w:rsidR="002008F7" w:rsidRPr="00FC60BB" w:rsidDel="005C226C">
        <w:rPr>
          <w:rFonts w:ascii="Calibri" w:hAnsi="Calibri" w:cs="Calibri"/>
          <w:sz w:val="22"/>
          <w:szCs w:val="22"/>
        </w:rPr>
        <w:t>new currencies during the year. We have been pleased with the underlying momentum within our international business</w:t>
      </w:r>
      <w:r w:rsidR="002008F7" w:rsidRPr="00FC60BB">
        <w:rPr>
          <w:rFonts w:ascii="Calibri" w:hAnsi="Calibri" w:cs="Calibri"/>
          <w:sz w:val="22"/>
          <w:szCs w:val="22"/>
        </w:rPr>
        <w:t>,</w:t>
      </w:r>
      <w:r w:rsidR="002008F7" w:rsidRPr="00FC60BB" w:rsidDel="005C226C">
        <w:rPr>
          <w:rFonts w:ascii="Calibri" w:hAnsi="Calibri" w:cs="Calibri"/>
          <w:sz w:val="22"/>
          <w:szCs w:val="22"/>
        </w:rPr>
        <w:t xml:space="preserve"> with </w:t>
      </w:r>
      <w:r w:rsidR="00FC60BB">
        <w:rPr>
          <w:rFonts w:ascii="Calibri" w:hAnsi="Calibri" w:cs="Calibri"/>
          <w:sz w:val="22"/>
          <w:szCs w:val="22"/>
        </w:rPr>
        <w:t>underlying</w:t>
      </w:r>
      <w:r w:rsidR="00FC60BB" w:rsidRPr="00FC60BB" w:rsidDel="005C226C">
        <w:rPr>
          <w:rFonts w:ascii="Calibri" w:hAnsi="Calibri" w:cs="Calibri"/>
          <w:sz w:val="22"/>
          <w:szCs w:val="22"/>
        </w:rPr>
        <w:t xml:space="preserve"> </w:t>
      </w:r>
      <w:r w:rsidR="00661112">
        <w:rPr>
          <w:rFonts w:ascii="Calibri" w:hAnsi="Calibri" w:cs="Calibri"/>
          <w:sz w:val="22"/>
          <w:szCs w:val="22"/>
        </w:rPr>
        <w:t>Exchange</w:t>
      </w:r>
      <w:r w:rsidR="00FC60BB">
        <w:rPr>
          <w:rFonts w:ascii="Calibri" w:hAnsi="Calibri" w:cs="Calibri"/>
          <w:sz w:val="22"/>
          <w:szCs w:val="22"/>
        </w:rPr>
        <w:t xml:space="preserve"> customer growth </w:t>
      </w:r>
      <w:r w:rsidR="009A5056">
        <w:rPr>
          <w:rFonts w:ascii="Calibri" w:hAnsi="Calibri" w:cs="Calibri"/>
          <w:sz w:val="22"/>
          <w:szCs w:val="22"/>
        </w:rPr>
        <w:t>of</w:t>
      </w:r>
      <w:r w:rsidR="00FC60BB">
        <w:rPr>
          <w:rFonts w:ascii="Calibri" w:hAnsi="Calibri" w:cs="Calibri"/>
          <w:sz w:val="22"/>
          <w:szCs w:val="22"/>
        </w:rPr>
        <w:t xml:space="preserve"> 23% </w:t>
      </w:r>
      <w:r w:rsidR="009A5056">
        <w:rPr>
          <w:rFonts w:ascii="Calibri" w:hAnsi="Calibri" w:cs="Calibri"/>
          <w:sz w:val="22"/>
          <w:szCs w:val="22"/>
        </w:rPr>
        <w:t>during 2019</w:t>
      </w:r>
      <w:r w:rsidR="00FC60BB">
        <w:rPr>
          <w:rFonts w:ascii="Calibri" w:hAnsi="Calibri" w:cs="Calibri"/>
          <w:sz w:val="22"/>
          <w:szCs w:val="22"/>
        </w:rPr>
        <w:t xml:space="preserve"> and an </w:t>
      </w:r>
      <w:r w:rsidR="002008F7" w:rsidRPr="00FC60BB" w:rsidDel="005C226C">
        <w:rPr>
          <w:rFonts w:ascii="Calibri" w:hAnsi="Calibri" w:cs="Calibri"/>
          <w:sz w:val="22"/>
          <w:szCs w:val="22"/>
        </w:rPr>
        <w:t xml:space="preserve">uplift in </w:t>
      </w:r>
      <w:r w:rsidR="002008F7" w:rsidRPr="00FC60BB" w:rsidDel="005C226C">
        <w:rPr>
          <w:rFonts w:ascii="Calibri" w:hAnsi="Calibri" w:cs="Calibri"/>
          <w:sz w:val="22"/>
          <w:szCs w:val="22"/>
        </w:rPr>
        <w:lastRenderedPageBreak/>
        <w:t>contribution from</w:t>
      </w:r>
      <w:r w:rsidR="009A5056">
        <w:rPr>
          <w:rFonts w:ascii="Calibri" w:hAnsi="Calibri" w:cs="Calibri"/>
          <w:sz w:val="22"/>
          <w:szCs w:val="22"/>
        </w:rPr>
        <w:t xml:space="preserve"> both</w:t>
      </w:r>
      <w:r w:rsidR="002008F7" w:rsidRPr="00FC60BB" w:rsidDel="005C226C">
        <w:rPr>
          <w:rFonts w:ascii="Calibri" w:hAnsi="Calibri" w:cs="Calibri"/>
          <w:sz w:val="22"/>
          <w:szCs w:val="22"/>
        </w:rPr>
        <w:t xml:space="preserve"> </w:t>
      </w:r>
      <w:r w:rsidR="002008F7" w:rsidRPr="00FC60BB">
        <w:rPr>
          <w:rFonts w:ascii="Calibri" w:hAnsi="Calibri" w:cs="Calibri"/>
          <w:sz w:val="22"/>
          <w:szCs w:val="22"/>
        </w:rPr>
        <w:t xml:space="preserve">CSP </w:t>
      </w:r>
      <w:r w:rsidR="009A5056">
        <w:rPr>
          <w:rFonts w:ascii="Calibri" w:hAnsi="Calibri" w:cs="Calibri"/>
          <w:sz w:val="22"/>
          <w:szCs w:val="22"/>
        </w:rPr>
        <w:t>and</w:t>
      </w:r>
      <w:r w:rsidRPr="00FC60BB">
        <w:rPr>
          <w:rFonts w:ascii="Calibri" w:hAnsi="Calibri" w:cs="Calibri"/>
          <w:sz w:val="22"/>
          <w:szCs w:val="22"/>
        </w:rPr>
        <w:t xml:space="preserve"> </w:t>
      </w:r>
      <w:r w:rsidR="002008F7" w:rsidRPr="00FC60BB">
        <w:rPr>
          <w:rFonts w:ascii="Calibri" w:hAnsi="Calibri" w:cs="Calibri"/>
          <w:sz w:val="22"/>
          <w:szCs w:val="22"/>
        </w:rPr>
        <w:t>marketing efficiencies</w:t>
      </w:r>
      <w:r w:rsidR="00B71948">
        <w:rPr>
          <w:rFonts w:ascii="Calibri" w:hAnsi="Calibri" w:cs="Calibri"/>
          <w:sz w:val="22"/>
          <w:szCs w:val="22"/>
        </w:rPr>
        <w:t xml:space="preserve"> achieved</w:t>
      </w:r>
      <w:r w:rsidR="002008F7" w:rsidRPr="00FC60BB" w:rsidDel="005C226C">
        <w:rPr>
          <w:rFonts w:ascii="Calibri" w:hAnsi="Calibri" w:cs="Calibri"/>
          <w:sz w:val="22"/>
          <w:szCs w:val="22"/>
        </w:rPr>
        <w:t>.</w:t>
      </w:r>
    </w:p>
    <w:p w14:paraId="2ACB7CF5" w14:textId="555CA74D" w:rsidR="002008F7" w:rsidRPr="00F74123" w:rsidDel="005C226C" w:rsidRDefault="002008F7" w:rsidP="00F74123">
      <w:pPr>
        <w:spacing w:after="160" w:line="259" w:lineRule="auto"/>
        <w:jc w:val="both"/>
        <w:rPr>
          <w:rFonts w:ascii="Calibri" w:hAnsi="Calibri" w:cs="Calibri"/>
          <w:sz w:val="22"/>
          <w:szCs w:val="22"/>
        </w:rPr>
      </w:pPr>
      <w:r w:rsidRPr="00F74123">
        <w:rPr>
          <w:rFonts w:ascii="Calibri" w:hAnsi="Calibri" w:cs="Calibri"/>
          <w:sz w:val="22"/>
          <w:szCs w:val="22"/>
        </w:rPr>
        <w:t xml:space="preserve">In line with our international strategy to </w:t>
      </w:r>
      <w:r w:rsidR="001E713C">
        <w:rPr>
          <w:rFonts w:ascii="Calibri" w:hAnsi="Calibri" w:cs="Calibri"/>
          <w:sz w:val="22"/>
          <w:szCs w:val="22"/>
        </w:rPr>
        <w:t xml:space="preserve">secure </w:t>
      </w:r>
      <w:r w:rsidRPr="00F74123">
        <w:rPr>
          <w:rFonts w:ascii="Calibri" w:hAnsi="Calibri" w:cs="Calibri"/>
          <w:sz w:val="22"/>
          <w:szCs w:val="22"/>
        </w:rPr>
        <w:t>podium positions in new markets</w:t>
      </w:r>
      <w:r w:rsidR="001E713C">
        <w:rPr>
          <w:rFonts w:ascii="Calibri" w:hAnsi="Calibri" w:cs="Calibri"/>
          <w:sz w:val="22"/>
          <w:szCs w:val="22"/>
        </w:rPr>
        <w:t>,</w:t>
      </w:r>
      <w:r w:rsidRPr="00F74123">
        <w:rPr>
          <w:rFonts w:ascii="Calibri" w:hAnsi="Calibri" w:cs="Calibri"/>
          <w:sz w:val="22"/>
          <w:szCs w:val="22"/>
        </w:rPr>
        <w:t xml:space="preserve"> we </w:t>
      </w:r>
      <w:r w:rsidRPr="00F74123" w:rsidDel="005C226C">
        <w:rPr>
          <w:rFonts w:ascii="Calibri" w:hAnsi="Calibri" w:cs="Calibri"/>
          <w:sz w:val="22"/>
          <w:szCs w:val="22"/>
        </w:rPr>
        <w:t xml:space="preserve">acquired a 51% stake in Adjarabet in February, giving us a leadership position in </w:t>
      </w:r>
      <w:r w:rsidR="001E713C">
        <w:rPr>
          <w:rFonts w:ascii="Calibri" w:hAnsi="Calibri" w:cs="Calibri"/>
          <w:sz w:val="22"/>
          <w:szCs w:val="22"/>
        </w:rPr>
        <w:t xml:space="preserve">another </w:t>
      </w:r>
      <w:r w:rsidRPr="00F74123" w:rsidDel="005C226C">
        <w:rPr>
          <w:rFonts w:ascii="Calibri" w:hAnsi="Calibri" w:cs="Calibri"/>
          <w:sz w:val="22"/>
          <w:szCs w:val="22"/>
        </w:rPr>
        <w:t xml:space="preserve">regulated market. Integration has gone well with the business now able to access the Group’s sports betting expertise. </w:t>
      </w:r>
      <w:r w:rsidR="00F0390F">
        <w:rPr>
          <w:rFonts w:ascii="Calibri" w:hAnsi="Calibri" w:cs="Calibri"/>
          <w:sz w:val="22"/>
          <w:szCs w:val="22"/>
        </w:rPr>
        <w:t>V</w:t>
      </w:r>
      <w:r w:rsidRPr="00F74123" w:rsidDel="005C226C">
        <w:rPr>
          <w:rFonts w:ascii="Calibri" w:hAnsi="Calibri" w:cs="Calibri"/>
          <w:sz w:val="22"/>
          <w:szCs w:val="22"/>
        </w:rPr>
        <w:t xml:space="preserve">ery strong organic growth since acquisition has reinforced our view that local scale and focus is vital to winning in international markets. </w:t>
      </w:r>
    </w:p>
    <w:p w14:paraId="5B859041" w14:textId="77777777" w:rsidR="002008F7" w:rsidRPr="00FD0125" w:rsidRDefault="002008F7" w:rsidP="002008F7">
      <w:pPr>
        <w:spacing w:before="120" w:after="120"/>
        <w:jc w:val="both"/>
        <w:rPr>
          <w:rFonts w:asciiTheme="minorHAnsi" w:hAnsiTheme="minorHAnsi" w:cstheme="minorHAnsi"/>
          <w:b/>
          <w:sz w:val="22"/>
          <w:szCs w:val="22"/>
        </w:rPr>
      </w:pPr>
      <w:r w:rsidRPr="00FD0125">
        <w:rPr>
          <w:rFonts w:asciiTheme="minorHAnsi" w:hAnsiTheme="minorHAnsi" w:cstheme="minorHAnsi"/>
          <w:b/>
          <w:sz w:val="22"/>
          <w:szCs w:val="22"/>
        </w:rPr>
        <w:t xml:space="preserve">Australia </w:t>
      </w:r>
    </w:p>
    <w:p w14:paraId="2DFBF1DE" w14:textId="683190EC" w:rsidR="002008F7" w:rsidRPr="00FD0125" w:rsidRDefault="002008F7" w:rsidP="002008F7">
      <w:pPr>
        <w:spacing w:before="120" w:after="120"/>
        <w:jc w:val="both"/>
        <w:rPr>
          <w:rFonts w:asciiTheme="minorHAnsi" w:hAnsiTheme="minorHAnsi"/>
          <w:sz w:val="22"/>
          <w:szCs w:val="22"/>
        </w:rPr>
      </w:pPr>
      <w:r>
        <w:rPr>
          <w:rFonts w:asciiTheme="minorHAnsi" w:hAnsiTheme="minorHAnsi"/>
          <w:sz w:val="22"/>
          <w:szCs w:val="22"/>
        </w:rPr>
        <w:t>T</w:t>
      </w:r>
      <w:r w:rsidRPr="00FD0125">
        <w:rPr>
          <w:rFonts w:asciiTheme="minorHAnsi" w:hAnsiTheme="minorHAnsi"/>
          <w:sz w:val="22"/>
          <w:szCs w:val="22"/>
        </w:rPr>
        <w:t xml:space="preserve">he Sportsbet team delivered a </w:t>
      </w:r>
      <w:r>
        <w:rPr>
          <w:rFonts w:asciiTheme="minorHAnsi" w:hAnsiTheme="minorHAnsi"/>
          <w:sz w:val="22"/>
          <w:szCs w:val="22"/>
        </w:rPr>
        <w:t>strong</w:t>
      </w:r>
      <w:r w:rsidRPr="00FD0125">
        <w:rPr>
          <w:rFonts w:asciiTheme="minorHAnsi" w:hAnsiTheme="minorHAnsi"/>
          <w:sz w:val="22"/>
          <w:szCs w:val="22"/>
        </w:rPr>
        <w:t xml:space="preserve"> performance</w:t>
      </w:r>
      <w:r w:rsidRPr="00FD0125" w:rsidDel="00C617A2">
        <w:rPr>
          <w:rFonts w:asciiTheme="minorHAnsi" w:hAnsiTheme="minorHAnsi"/>
          <w:sz w:val="22"/>
          <w:szCs w:val="22"/>
        </w:rPr>
        <w:t xml:space="preserve"> </w:t>
      </w:r>
      <w:r>
        <w:rPr>
          <w:rFonts w:asciiTheme="minorHAnsi" w:hAnsiTheme="minorHAnsi"/>
          <w:sz w:val="22"/>
          <w:szCs w:val="22"/>
        </w:rPr>
        <w:t>during 2019. While</w:t>
      </w:r>
      <w:r w:rsidRPr="00FD0125">
        <w:rPr>
          <w:rFonts w:asciiTheme="minorHAnsi" w:hAnsiTheme="minorHAnsi"/>
          <w:sz w:val="22"/>
          <w:szCs w:val="22"/>
        </w:rPr>
        <w:t xml:space="preserve"> substantial increase</w:t>
      </w:r>
      <w:r>
        <w:rPr>
          <w:rFonts w:asciiTheme="minorHAnsi" w:hAnsiTheme="minorHAnsi"/>
          <w:sz w:val="22"/>
          <w:szCs w:val="22"/>
        </w:rPr>
        <w:t>s</w:t>
      </w:r>
      <w:r w:rsidRPr="00FD0125">
        <w:rPr>
          <w:rFonts w:asciiTheme="minorHAnsi" w:hAnsiTheme="minorHAnsi"/>
          <w:sz w:val="22"/>
          <w:szCs w:val="22"/>
        </w:rPr>
        <w:t xml:space="preserve"> in taxes and product fees reduc</w:t>
      </w:r>
      <w:r>
        <w:rPr>
          <w:rFonts w:asciiTheme="minorHAnsi" w:hAnsiTheme="minorHAnsi"/>
          <w:sz w:val="22"/>
          <w:szCs w:val="22"/>
        </w:rPr>
        <w:t>ed</w:t>
      </w:r>
      <w:r w:rsidRPr="00FD0125">
        <w:rPr>
          <w:rFonts w:asciiTheme="minorHAnsi" w:hAnsiTheme="minorHAnsi"/>
          <w:sz w:val="22"/>
          <w:szCs w:val="22"/>
        </w:rPr>
        <w:t xml:space="preserve"> gross profit margins</w:t>
      </w:r>
      <w:r>
        <w:rPr>
          <w:rFonts w:asciiTheme="minorHAnsi" w:hAnsiTheme="minorHAnsi"/>
          <w:sz w:val="22"/>
          <w:szCs w:val="22"/>
        </w:rPr>
        <w:t>,</w:t>
      </w:r>
      <w:r w:rsidR="00D634BB">
        <w:rPr>
          <w:rFonts w:asciiTheme="minorHAnsi" w:hAnsiTheme="minorHAnsi"/>
          <w:sz w:val="22"/>
          <w:szCs w:val="22"/>
        </w:rPr>
        <w:t xml:space="preserve"> </w:t>
      </w:r>
      <w:r>
        <w:rPr>
          <w:rFonts w:asciiTheme="minorHAnsi" w:hAnsiTheme="minorHAnsi"/>
          <w:sz w:val="22"/>
          <w:szCs w:val="22"/>
        </w:rPr>
        <w:t xml:space="preserve">most of this was recovered through </w:t>
      </w:r>
      <w:r w:rsidR="009A5056">
        <w:rPr>
          <w:rFonts w:asciiTheme="minorHAnsi" w:hAnsiTheme="minorHAnsi"/>
          <w:sz w:val="22"/>
          <w:szCs w:val="22"/>
        </w:rPr>
        <w:t xml:space="preserve">strong top line growth as a result of </w:t>
      </w:r>
      <w:r>
        <w:rPr>
          <w:rFonts w:asciiTheme="minorHAnsi" w:hAnsiTheme="minorHAnsi"/>
          <w:sz w:val="22"/>
          <w:szCs w:val="22"/>
        </w:rPr>
        <w:t xml:space="preserve">continued investment in </w:t>
      </w:r>
      <w:r w:rsidRPr="00FD0125">
        <w:rPr>
          <w:rFonts w:asciiTheme="minorHAnsi" w:hAnsiTheme="minorHAnsi"/>
          <w:sz w:val="22"/>
          <w:szCs w:val="22"/>
        </w:rPr>
        <w:t>product, value and marketing</w:t>
      </w:r>
      <w:r>
        <w:rPr>
          <w:rFonts w:asciiTheme="minorHAnsi" w:hAnsiTheme="minorHAnsi"/>
          <w:sz w:val="22"/>
          <w:szCs w:val="22"/>
        </w:rPr>
        <w:t xml:space="preserve">. The business maintained </w:t>
      </w:r>
      <w:r w:rsidR="001E713C">
        <w:rPr>
          <w:rFonts w:asciiTheme="minorHAnsi" w:hAnsiTheme="minorHAnsi"/>
          <w:sz w:val="22"/>
          <w:szCs w:val="22"/>
        </w:rPr>
        <w:t xml:space="preserve">operating </w:t>
      </w:r>
      <w:r w:rsidRPr="00FD0125">
        <w:rPr>
          <w:rFonts w:asciiTheme="minorHAnsi" w:hAnsiTheme="minorHAnsi"/>
          <w:sz w:val="22"/>
          <w:szCs w:val="22"/>
        </w:rPr>
        <w:t>cost discipline</w:t>
      </w:r>
      <w:r>
        <w:rPr>
          <w:rFonts w:asciiTheme="minorHAnsi" w:hAnsiTheme="minorHAnsi"/>
          <w:sz w:val="22"/>
          <w:szCs w:val="22"/>
        </w:rPr>
        <w:t>,</w:t>
      </w:r>
      <w:r w:rsidRPr="00FD0125">
        <w:rPr>
          <w:rFonts w:asciiTheme="minorHAnsi" w:hAnsiTheme="minorHAnsi"/>
          <w:sz w:val="22"/>
          <w:szCs w:val="22"/>
        </w:rPr>
        <w:t xml:space="preserve"> </w:t>
      </w:r>
      <w:r>
        <w:rPr>
          <w:rFonts w:asciiTheme="minorHAnsi" w:hAnsiTheme="minorHAnsi"/>
          <w:sz w:val="22"/>
          <w:szCs w:val="22"/>
        </w:rPr>
        <w:t>extending</w:t>
      </w:r>
      <w:r w:rsidRPr="00FD0125">
        <w:rPr>
          <w:rFonts w:asciiTheme="minorHAnsi" w:hAnsiTheme="minorHAnsi"/>
          <w:sz w:val="22"/>
          <w:szCs w:val="22"/>
        </w:rPr>
        <w:t xml:space="preserve"> </w:t>
      </w:r>
      <w:r w:rsidR="001E713C">
        <w:rPr>
          <w:rFonts w:asciiTheme="minorHAnsi" w:hAnsiTheme="minorHAnsi"/>
          <w:sz w:val="22"/>
          <w:szCs w:val="22"/>
        </w:rPr>
        <w:t xml:space="preserve">its </w:t>
      </w:r>
      <w:r>
        <w:rPr>
          <w:rFonts w:asciiTheme="minorHAnsi" w:hAnsiTheme="minorHAnsi"/>
          <w:sz w:val="22"/>
          <w:szCs w:val="22"/>
        </w:rPr>
        <w:t xml:space="preserve">strong track record of </w:t>
      </w:r>
      <w:r w:rsidR="00336CDD">
        <w:rPr>
          <w:rFonts w:asciiTheme="minorHAnsi" w:hAnsiTheme="minorHAnsi"/>
          <w:sz w:val="22"/>
          <w:szCs w:val="22"/>
        </w:rPr>
        <w:t xml:space="preserve">delivering </w:t>
      </w:r>
      <w:r w:rsidRPr="00FD0125">
        <w:rPr>
          <w:rFonts w:asciiTheme="minorHAnsi" w:hAnsiTheme="minorHAnsi"/>
          <w:sz w:val="22"/>
          <w:szCs w:val="22"/>
        </w:rPr>
        <w:t xml:space="preserve">operating leverage. </w:t>
      </w:r>
    </w:p>
    <w:p w14:paraId="357AACD6" w14:textId="50919596" w:rsidR="002008F7" w:rsidRPr="00FD0125" w:rsidRDefault="002008F7" w:rsidP="002008F7">
      <w:pPr>
        <w:spacing w:before="120" w:after="120"/>
        <w:jc w:val="both"/>
        <w:rPr>
          <w:rFonts w:asciiTheme="minorHAnsi" w:hAnsiTheme="minorHAnsi"/>
          <w:sz w:val="22"/>
          <w:szCs w:val="22"/>
        </w:rPr>
      </w:pPr>
      <w:r w:rsidRPr="00FD0125">
        <w:rPr>
          <w:rFonts w:asciiTheme="minorHAnsi" w:hAnsiTheme="minorHAnsi"/>
          <w:sz w:val="22"/>
          <w:szCs w:val="22"/>
        </w:rPr>
        <w:t xml:space="preserve">We continued </w:t>
      </w:r>
      <w:r w:rsidR="001E713C">
        <w:rPr>
          <w:rFonts w:asciiTheme="minorHAnsi" w:hAnsiTheme="minorHAnsi"/>
          <w:sz w:val="22"/>
          <w:szCs w:val="22"/>
        </w:rPr>
        <w:t xml:space="preserve">to pursue </w:t>
      </w:r>
      <w:r w:rsidRPr="00FD0125">
        <w:rPr>
          <w:rFonts w:asciiTheme="minorHAnsi" w:hAnsiTheme="minorHAnsi"/>
          <w:sz w:val="22"/>
          <w:szCs w:val="22"/>
        </w:rPr>
        <w:t xml:space="preserve">our 2018 strategy of prioritising customer generosity </w:t>
      </w:r>
      <w:r w:rsidR="001E713C">
        <w:rPr>
          <w:rFonts w:asciiTheme="minorHAnsi" w:hAnsiTheme="minorHAnsi"/>
          <w:sz w:val="22"/>
          <w:szCs w:val="22"/>
        </w:rPr>
        <w:t xml:space="preserve">with positive </w:t>
      </w:r>
      <w:r>
        <w:rPr>
          <w:rFonts w:asciiTheme="minorHAnsi" w:hAnsiTheme="minorHAnsi"/>
          <w:sz w:val="22"/>
          <w:szCs w:val="22"/>
        </w:rPr>
        <w:t>results</w:t>
      </w:r>
      <w:r w:rsidR="001E713C">
        <w:rPr>
          <w:rFonts w:asciiTheme="minorHAnsi" w:hAnsiTheme="minorHAnsi"/>
          <w:sz w:val="22"/>
          <w:szCs w:val="22"/>
        </w:rPr>
        <w:t>.</w:t>
      </w:r>
      <w:r w:rsidRPr="00041FC3">
        <w:rPr>
          <w:rFonts w:asciiTheme="minorHAnsi" w:hAnsiTheme="minorHAnsi"/>
          <w:sz w:val="22"/>
          <w:szCs w:val="22"/>
        </w:rPr>
        <w:t xml:space="preserve"> </w:t>
      </w:r>
      <w:r w:rsidRPr="00CE5CB2">
        <w:rPr>
          <w:rFonts w:asciiTheme="minorHAnsi" w:hAnsiTheme="minorHAnsi"/>
          <w:sz w:val="22"/>
          <w:szCs w:val="22"/>
        </w:rPr>
        <w:t xml:space="preserve">Sportsbet </w:t>
      </w:r>
      <w:r w:rsidR="001E713C">
        <w:rPr>
          <w:rFonts w:asciiTheme="minorHAnsi" w:hAnsiTheme="minorHAnsi"/>
          <w:sz w:val="22"/>
          <w:szCs w:val="22"/>
        </w:rPr>
        <w:t xml:space="preserve">has been </w:t>
      </w:r>
      <w:r w:rsidRPr="00CE5CB2">
        <w:rPr>
          <w:rFonts w:asciiTheme="minorHAnsi" w:hAnsiTheme="minorHAnsi"/>
          <w:sz w:val="22"/>
          <w:szCs w:val="22"/>
        </w:rPr>
        <w:t>recognised as having some of the best and most generous promotions</w:t>
      </w:r>
      <w:r w:rsidR="00D634BB">
        <w:rPr>
          <w:rFonts w:asciiTheme="minorHAnsi" w:hAnsiTheme="minorHAnsi"/>
          <w:sz w:val="22"/>
          <w:szCs w:val="22"/>
        </w:rPr>
        <w:t xml:space="preserve"> in the market</w:t>
      </w:r>
      <w:r>
        <w:rPr>
          <w:rFonts w:asciiTheme="minorHAnsi" w:hAnsiTheme="minorHAnsi"/>
          <w:sz w:val="22"/>
          <w:szCs w:val="22"/>
        </w:rPr>
        <w:t>. This drove customer growth</w:t>
      </w:r>
      <w:r w:rsidRPr="00FD0125">
        <w:rPr>
          <w:rFonts w:asciiTheme="minorHAnsi" w:hAnsiTheme="minorHAnsi"/>
          <w:sz w:val="22"/>
          <w:szCs w:val="22"/>
        </w:rPr>
        <w:t xml:space="preserve"> </w:t>
      </w:r>
      <w:r>
        <w:rPr>
          <w:rFonts w:asciiTheme="minorHAnsi" w:hAnsiTheme="minorHAnsi"/>
          <w:sz w:val="22"/>
          <w:szCs w:val="22"/>
        </w:rPr>
        <w:t>of 9</w:t>
      </w:r>
      <w:r w:rsidRPr="00FD0125">
        <w:rPr>
          <w:rFonts w:asciiTheme="minorHAnsi" w:hAnsiTheme="minorHAnsi"/>
          <w:sz w:val="22"/>
          <w:szCs w:val="22"/>
        </w:rPr>
        <w:t xml:space="preserve">% during the year (excluding the World </w:t>
      </w:r>
      <w:r w:rsidRPr="00D57785">
        <w:rPr>
          <w:rFonts w:asciiTheme="minorHAnsi" w:hAnsiTheme="minorHAnsi"/>
          <w:sz w:val="22"/>
          <w:szCs w:val="22"/>
        </w:rPr>
        <w:t>Cup)</w:t>
      </w:r>
      <w:r>
        <w:rPr>
          <w:rFonts w:asciiTheme="minorHAnsi" w:hAnsiTheme="minorHAnsi"/>
          <w:sz w:val="22"/>
          <w:szCs w:val="22"/>
        </w:rPr>
        <w:t>, while t</w:t>
      </w:r>
      <w:r w:rsidRPr="00D57785">
        <w:rPr>
          <w:rFonts w:asciiTheme="minorHAnsi" w:hAnsiTheme="minorHAnsi"/>
          <w:sz w:val="22"/>
          <w:szCs w:val="22"/>
        </w:rPr>
        <w:t xml:space="preserve">he number of online bettors using Sportsbet as </w:t>
      </w:r>
      <w:r w:rsidR="005F0CD8">
        <w:rPr>
          <w:rFonts w:asciiTheme="minorHAnsi" w:hAnsiTheme="minorHAnsi"/>
          <w:sz w:val="22"/>
          <w:szCs w:val="22"/>
        </w:rPr>
        <w:t xml:space="preserve">their </w:t>
      </w:r>
      <w:r w:rsidRPr="00D57785">
        <w:rPr>
          <w:rFonts w:asciiTheme="minorHAnsi" w:hAnsiTheme="minorHAnsi"/>
          <w:sz w:val="22"/>
          <w:szCs w:val="22"/>
        </w:rPr>
        <w:t xml:space="preserve">main mobile account </w:t>
      </w:r>
      <w:r w:rsidR="001E713C">
        <w:rPr>
          <w:rFonts w:asciiTheme="minorHAnsi" w:hAnsiTheme="minorHAnsi"/>
          <w:sz w:val="22"/>
          <w:szCs w:val="22"/>
        </w:rPr>
        <w:t xml:space="preserve">of choice </w:t>
      </w:r>
      <w:r w:rsidRPr="00D57785">
        <w:rPr>
          <w:rFonts w:asciiTheme="minorHAnsi" w:hAnsiTheme="minorHAnsi"/>
          <w:sz w:val="22"/>
          <w:szCs w:val="22"/>
        </w:rPr>
        <w:t xml:space="preserve">remains almost twice that of our nearest competitor. </w:t>
      </w:r>
    </w:p>
    <w:p w14:paraId="3E4569C1" w14:textId="77777777" w:rsidR="002008F7" w:rsidRPr="0026633D" w:rsidRDefault="002008F7" w:rsidP="002008F7">
      <w:pPr>
        <w:spacing w:after="160" w:line="259" w:lineRule="auto"/>
        <w:jc w:val="both"/>
        <w:rPr>
          <w:rFonts w:ascii="Calibri" w:hAnsi="Calibri" w:cs="Calibri"/>
          <w:b/>
          <w:sz w:val="22"/>
          <w:szCs w:val="22"/>
        </w:rPr>
      </w:pPr>
      <w:r w:rsidRPr="0026633D">
        <w:rPr>
          <w:rFonts w:ascii="Calibri" w:hAnsi="Calibri" w:cs="Calibri"/>
          <w:b/>
          <w:sz w:val="22"/>
          <w:szCs w:val="22"/>
        </w:rPr>
        <w:t>The US</w:t>
      </w:r>
    </w:p>
    <w:p w14:paraId="07F6ED0E" w14:textId="7639CB9F" w:rsidR="002008F7" w:rsidRPr="0026633D" w:rsidRDefault="00413D81" w:rsidP="002008F7">
      <w:pPr>
        <w:spacing w:after="160" w:line="259" w:lineRule="auto"/>
        <w:jc w:val="both"/>
        <w:rPr>
          <w:rFonts w:ascii="Calibri" w:hAnsi="Calibri" w:cs="Calibri"/>
          <w:sz w:val="22"/>
          <w:szCs w:val="22"/>
        </w:rPr>
      </w:pPr>
      <w:r w:rsidRPr="00676F2F">
        <w:rPr>
          <w:rFonts w:ascii="Calibri" w:hAnsi="Calibri" w:cs="Calibri"/>
          <w:sz w:val="22"/>
          <w:szCs w:val="22"/>
        </w:rPr>
        <w:t>The growth opportunity in the US has continued to unfold quickly during 2019. We have been encouraged by the pace of regulation to date, with 14 individual states having now passed sports betting legislation</w:t>
      </w:r>
      <w:r w:rsidR="002008F7" w:rsidRPr="0026633D">
        <w:rPr>
          <w:rFonts w:ascii="Calibri" w:hAnsi="Calibri" w:cs="Calibri"/>
          <w:sz w:val="22"/>
          <w:szCs w:val="22"/>
        </w:rPr>
        <w:t xml:space="preserve">. These </w:t>
      </w:r>
      <w:r w:rsidR="009E543A">
        <w:rPr>
          <w:rFonts w:ascii="Calibri" w:hAnsi="Calibri" w:cs="Calibri"/>
          <w:sz w:val="22"/>
          <w:szCs w:val="22"/>
        </w:rPr>
        <w:t>14</w:t>
      </w:r>
      <w:r w:rsidR="009E543A" w:rsidRPr="0026633D">
        <w:rPr>
          <w:rFonts w:ascii="Calibri" w:hAnsi="Calibri" w:cs="Calibri"/>
          <w:sz w:val="22"/>
          <w:szCs w:val="22"/>
        </w:rPr>
        <w:t xml:space="preserve"> </w:t>
      </w:r>
      <w:r w:rsidR="002008F7" w:rsidRPr="0026633D">
        <w:rPr>
          <w:rFonts w:ascii="Calibri" w:hAnsi="Calibri" w:cs="Calibri"/>
          <w:sz w:val="22"/>
          <w:szCs w:val="22"/>
        </w:rPr>
        <w:t xml:space="preserve">states </w:t>
      </w:r>
      <w:r w:rsidR="00B8721B">
        <w:rPr>
          <w:rFonts w:ascii="Calibri" w:hAnsi="Calibri" w:cs="Calibri"/>
          <w:sz w:val="22"/>
          <w:szCs w:val="22"/>
        </w:rPr>
        <w:t xml:space="preserve">account for </w:t>
      </w:r>
      <w:r w:rsidR="00012A96">
        <w:rPr>
          <w:rFonts w:ascii="Calibri" w:hAnsi="Calibri" w:cs="Calibri"/>
          <w:sz w:val="22"/>
          <w:szCs w:val="22"/>
        </w:rPr>
        <w:t>c.</w:t>
      </w:r>
      <w:r w:rsidR="001324DB">
        <w:rPr>
          <w:rFonts w:ascii="Calibri" w:hAnsi="Calibri" w:cs="Calibri"/>
          <w:sz w:val="22"/>
          <w:szCs w:val="22"/>
        </w:rPr>
        <w:t>24</w:t>
      </w:r>
      <w:r w:rsidR="002008F7" w:rsidRPr="0026633D">
        <w:rPr>
          <w:rFonts w:ascii="Calibri" w:hAnsi="Calibri" w:cs="Calibri"/>
          <w:sz w:val="22"/>
          <w:szCs w:val="22"/>
        </w:rPr>
        <w:t xml:space="preserve">% of the US population and with more states </w:t>
      </w:r>
      <w:r w:rsidR="00B8721B">
        <w:rPr>
          <w:rFonts w:ascii="Calibri" w:hAnsi="Calibri" w:cs="Calibri"/>
          <w:sz w:val="22"/>
          <w:szCs w:val="22"/>
        </w:rPr>
        <w:t xml:space="preserve">expected </w:t>
      </w:r>
      <w:r w:rsidR="002008F7" w:rsidRPr="0026633D">
        <w:rPr>
          <w:rFonts w:ascii="Calibri" w:hAnsi="Calibri" w:cs="Calibri"/>
          <w:sz w:val="22"/>
          <w:szCs w:val="22"/>
        </w:rPr>
        <w:t xml:space="preserve">to follow, we are now increasingly confident that the total US addressable market for our products </w:t>
      </w:r>
      <w:r w:rsidR="00B121ED">
        <w:rPr>
          <w:rFonts w:ascii="Calibri" w:hAnsi="Calibri" w:cs="Calibri"/>
          <w:sz w:val="22"/>
          <w:szCs w:val="22"/>
        </w:rPr>
        <w:t>could</w:t>
      </w:r>
      <w:r w:rsidR="00B8721B">
        <w:rPr>
          <w:rFonts w:ascii="Calibri" w:hAnsi="Calibri" w:cs="Calibri"/>
          <w:sz w:val="22"/>
          <w:szCs w:val="22"/>
        </w:rPr>
        <w:t xml:space="preserve"> </w:t>
      </w:r>
      <w:r w:rsidR="00B121ED">
        <w:rPr>
          <w:rFonts w:ascii="Calibri" w:hAnsi="Calibri" w:cs="Calibri"/>
          <w:sz w:val="22"/>
          <w:szCs w:val="22"/>
        </w:rPr>
        <w:t xml:space="preserve">exceed </w:t>
      </w:r>
      <w:r w:rsidR="002008F7" w:rsidRPr="0026633D">
        <w:rPr>
          <w:rFonts w:ascii="Calibri" w:hAnsi="Calibri" w:cs="Calibri"/>
          <w:sz w:val="22"/>
          <w:szCs w:val="22"/>
        </w:rPr>
        <w:t xml:space="preserve">$10bn. </w:t>
      </w:r>
    </w:p>
    <w:p w14:paraId="26F0E0B1" w14:textId="75324DC1" w:rsidR="002008F7" w:rsidRPr="0026633D" w:rsidRDefault="002008F7" w:rsidP="002008F7">
      <w:pPr>
        <w:spacing w:after="160" w:line="259" w:lineRule="auto"/>
        <w:jc w:val="both"/>
        <w:rPr>
          <w:rFonts w:ascii="Calibri" w:hAnsi="Calibri" w:cs="Calibri"/>
          <w:sz w:val="22"/>
          <w:szCs w:val="22"/>
        </w:rPr>
      </w:pPr>
      <w:r w:rsidRPr="005D39F7">
        <w:rPr>
          <w:rFonts w:ascii="Calibri" w:hAnsi="Calibri" w:cs="Calibri"/>
          <w:sz w:val="22"/>
          <w:szCs w:val="22"/>
        </w:rPr>
        <w:t xml:space="preserve">To take advantage of this opportunity, we continue to believe that </w:t>
      </w:r>
      <w:r w:rsidR="005D39F7" w:rsidRPr="002D5494">
        <w:rPr>
          <w:rFonts w:ascii="Calibri" w:hAnsi="Calibri" w:cs="Calibri"/>
          <w:sz w:val="22"/>
          <w:szCs w:val="22"/>
        </w:rPr>
        <w:t>certainty of</w:t>
      </w:r>
      <w:r w:rsidRPr="005D39F7">
        <w:rPr>
          <w:rFonts w:ascii="Calibri" w:hAnsi="Calibri" w:cs="Calibri"/>
          <w:sz w:val="22"/>
          <w:szCs w:val="22"/>
        </w:rPr>
        <w:t xml:space="preserve"> market access in each state is key</w:t>
      </w:r>
      <w:r w:rsidR="002E18E9">
        <w:rPr>
          <w:rFonts w:ascii="Calibri" w:hAnsi="Calibri" w:cs="Calibri"/>
          <w:sz w:val="22"/>
          <w:szCs w:val="22"/>
        </w:rPr>
        <w:t>, ideally via “first skin” access agreements</w:t>
      </w:r>
      <w:r w:rsidRPr="005D39F7">
        <w:rPr>
          <w:rFonts w:ascii="Calibri" w:hAnsi="Calibri" w:cs="Calibri"/>
          <w:sz w:val="22"/>
          <w:szCs w:val="22"/>
        </w:rPr>
        <w:t xml:space="preserve">. First skin refers to having </w:t>
      </w:r>
      <w:r w:rsidR="002E18E9">
        <w:rPr>
          <w:rFonts w:ascii="Calibri" w:hAnsi="Calibri" w:cs="Calibri"/>
          <w:sz w:val="22"/>
          <w:szCs w:val="22"/>
        </w:rPr>
        <w:t xml:space="preserve">the right </w:t>
      </w:r>
      <w:r w:rsidRPr="005D39F7">
        <w:rPr>
          <w:rFonts w:ascii="Calibri" w:hAnsi="Calibri" w:cs="Calibri"/>
          <w:sz w:val="22"/>
          <w:szCs w:val="22"/>
        </w:rPr>
        <w:t xml:space="preserve">to </w:t>
      </w:r>
      <w:r w:rsidR="002E18E9">
        <w:rPr>
          <w:rFonts w:ascii="Calibri" w:hAnsi="Calibri" w:cs="Calibri"/>
          <w:sz w:val="22"/>
          <w:szCs w:val="22"/>
        </w:rPr>
        <w:t xml:space="preserve">use </w:t>
      </w:r>
      <w:r w:rsidRPr="005D39F7">
        <w:rPr>
          <w:rFonts w:ascii="Calibri" w:hAnsi="Calibri" w:cs="Calibri"/>
          <w:sz w:val="22"/>
          <w:szCs w:val="22"/>
        </w:rPr>
        <w:t>the first online/mobile licen</w:t>
      </w:r>
      <w:r w:rsidR="00C001FC">
        <w:rPr>
          <w:rFonts w:ascii="Calibri" w:hAnsi="Calibri" w:cs="Calibri"/>
          <w:sz w:val="22"/>
          <w:szCs w:val="22"/>
        </w:rPr>
        <w:t>c</w:t>
      </w:r>
      <w:r w:rsidRPr="005D39F7">
        <w:rPr>
          <w:rFonts w:ascii="Calibri" w:hAnsi="Calibri" w:cs="Calibri"/>
          <w:sz w:val="22"/>
          <w:szCs w:val="22"/>
        </w:rPr>
        <w:t xml:space="preserve">e that a land-based partner is granted in a particular state. Some states have </w:t>
      </w:r>
      <w:r w:rsidR="00B8721B" w:rsidRPr="005D39F7">
        <w:rPr>
          <w:rFonts w:ascii="Calibri" w:hAnsi="Calibri" w:cs="Calibri"/>
          <w:sz w:val="22"/>
          <w:szCs w:val="22"/>
        </w:rPr>
        <w:t xml:space="preserve">only </w:t>
      </w:r>
      <w:r w:rsidRPr="005D39F7">
        <w:rPr>
          <w:rFonts w:ascii="Calibri" w:hAnsi="Calibri" w:cs="Calibri"/>
          <w:sz w:val="22"/>
          <w:szCs w:val="22"/>
        </w:rPr>
        <w:t xml:space="preserve">granted one skin per operator, for example Michigan, which is why securing first skin access is a priority. </w:t>
      </w:r>
      <w:r w:rsidRPr="00A028FD">
        <w:rPr>
          <w:rFonts w:ascii="Calibri" w:hAnsi="Calibri"/>
          <w:sz w:val="22"/>
        </w:rPr>
        <w:t xml:space="preserve">We recently </w:t>
      </w:r>
      <w:r w:rsidR="00B121ED" w:rsidRPr="004070FF">
        <w:rPr>
          <w:rFonts w:ascii="Calibri" w:hAnsi="Calibri"/>
          <w:sz w:val="22"/>
        </w:rPr>
        <w:t>secure</w:t>
      </w:r>
      <w:r w:rsidR="00703EBE" w:rsidRPr="004070FF">
        <w:rPr>
          <w:rFonts w:ascii="Calibri" w:hAnsi="Calibri"/>
          <w:sz w:val="22"/>
        </w:rPr>
        <w:t>d</w:t>
      </w:r>
      <w:r w:rsidR="00B121ED" w:rsidRPr="00A028FD">
        <w:rPr>
          <w:rFonts w:ascii="Calibri" w:hAnsi="Calibri"/>
          <w:sz w:val="22"/>
        </w:rPr>
        <w:t xml:space="preserve"> </w:t>
      </w:r>
      <w:r w:rsidRPr="00A028FD">
        <w:rPr>
          <w:rFonts w:ascii="Calibri" w:hAnsi="Calibri"/>
          <w:sz w:val="22"/>
        </w:rPr>
        <w:t xml:space="preserve">additional first skin market access deals with The </w:t>
      </w:r>
      <w:proofErr w:type="spellStart"/>
      <w:r w:rsidRPr="00A028FD">
        <w:rPr>
          <w:rFonts w:ascii="Calibri" w:hAnsi="Calibri"/>
          <w:sz w:val="22"/>
        </w:rPr>
        <w:t>Cordish</w:t>
      </w:r>
      <w:proofErr w:type="spellEnd"/>
      <w:r w:rsidRPr="00A028FD">
        <w:rPr>
          <w:rFonts w:ascii="Calibri" w:hAnsi="Calibri"/>
          <w:sz w:val="22"/>
        </w:rPr>
        <w:t xml:space="preserve"> Company in Maryland and Twin River in Colorado</w:t>
      </w:r>
      <w:r w:rsidRPr="00703EBE">
        <w:rPr>
          <w:rFonts w:ascii="Calibri" w:hAnsi="Calibri"/>
          <w:sz w:val="22"/>
        </w:rPr>
        <w:t xml:space="preserve">. </w:t>
      </w:r>
      <w:r w:rsidR="00703EBE">
        <w:rPr>
          <w:rFonts w:ascii="Calibri" w:hAnsi="Calibri"/>
          <w:sz w:val="22"/>
        </w:rPr>
        <w:t>We now have first skin market access deals in 15</w:t>
      </w:r>
      <w:r w:rsidRPr="005D39F7">
        <w:rPr>
          <w:rFonts w:ascii="Calibri" w:hAnsi="Calibri" w:cs="Calibri"/>
          <w:sz w:val="22"/>
          <w:szCs w:val="22"/>
        </w:rPr>
        <w:t xml:space="preserve"> US states. </w:t>
      </w:r>
      <w:r w:rsidR="00B8721B" w:rsidRPr="005D39F7">
        <w:rPr>
          <w:rFonts w:ascii="Calibri" w:hAnsi="Calibri" w:cs="Calibri"/>
          <w:sz w:val="22"/>
          <w:szCs w:val="22"/>
        </w:rPr>
        <w:t xml:space="preserve">Looking ahead, </w:t>
      </w:r>
      <w:r w:rsidRPr="005D39F7">
        <w:rPr>
          <w:rFonts w:ascii="Calibri" w:hAnsi="Calibri" w:cs="Calibri"/>
          <w:sz w:val="22"/>
          <w:szCs w:val="22"/>
        </w:rPr>
        <w:t xml:space="preserve">we believe that the strength of our market share performance to date </w:t>
      </w:r>
      <w:r w:rsidR="00E62573">
        <w:rPr>
          <w:rFonts w:ascii="Calibri" w:hAnsi="Calibri" w:cs="Calibri"/>
          <w:sz w:val="22"/>
          <w:szCs w:val="22"/>
        </w:rPr>
        <w:t>will</w:t>
      </w:r>
      <w:r w:rsidR="00B8721B" w:rsidRPr="005D39F7">
        <w:rPr>
          <w:rFonts w:ascii="Calibri" w:hAnsi="Calibri" w:cs="Calibri"/>
          <w:sz w:val="22"/>
          <w:szCs w:val="22"/>
        </w:rPr>
        <w:t xml:space="preserve"> </w:t>
      </w:r>
      <w:r w:rsidRPr="005D39F7">
        <w:rPr>
          <w:rFonts w:ascii="Calibri" w:hAnsi="Calibri" w:cs="Calibri"/>
          <w:sz w:val="22"/>
          <w:szCs w:val="22"/>
        </w:rPr>
        <w:t xml:space="preserve">make us an attractive </w:t>
      </w:r>
      <w:r w:rsidR="00E62573">
        <w:rPr>
          <w:rFonts w:ascii="Calibri" w:hAnsi="Calibri" w:cs="Calibri"/>
          <w:sz w:val="22"/>
          <w:szCs w:val="22"/>
        </w:rPr>
        <w:t xml:space="preserve">potential </w:t>
      </w:r>
      <w:r w:rsidRPr="005D39F7">
        <w:rPr>
          <w:rFonts w:ascii="Calibri" w:hAnsi="Calibri" w:cs="Calibri"/>
          <w:sz w:val="22"/>
          <w:szCs w:val="22"/>
        </w:rPr>
        <w:t>partner in further states.</w:t>
      </w:r>
    </w:p>
    <w:p w14:paraId="01E8BF65" w14:textId="29490DD5" w:rsidR="002008F7" w:rsidRPr="0026633D" w:rsidRDefault="002008F7" w:rsidP="002008F7">
      <w:pPr>
        <w:spacing w:before="120" w:after="120"/>
        <w:jc w:val="both"/>
        <w:rPr>
          <w:rFonts w:ascii="Calibri" w:hAnsi="Calibri" w:cs="Calibri"/>
          <w:sz w:val="22"/>
          <w:szCs w:val="22"/>
        </w:rPr>
      </w:pPr>
      <w:r w:rsidRPr="0026633D">
        <w:rPr>
          <w:rFonts w:ascii="Calibri" w:hAnsi="Calibri" w:cs="Calibri"/>
          <w:sz w:val="22"/>
          <w:szCs w:val="22"/>
        </w:rPr>
        <w:t xml:space="preserve">During 2019, we successfully leveraged our key US assets to acquire 285,000 additional </w:t>
      </w:r>
      <w:r w:rsidR="00B121ED">
        <w:rPr>
          <w:rFonts w:ascii="Calibri" w:hAnsi="Calibri" w:cs="Calibri"/>
          <w:sz w:val="22"/>
          <w:szCs w:val="22"/>
        </w:rPr>
        <w:t xml:space="preserve">sports betting </w:t>
      </w:r>
      <w:r w:rsidRPr="0026633D">
        <w:rPr>
          <w:rFonts w:ascii="Calibri" w:hAnsi="Calibri" w:cs="Calibri"/>
          <w:sz w:val="22"/>
          <w:szCs w:val="22"/>
        </w:rPr>
        <w:t xml:space="preserve">customers, bringing our total US sports-betting customer base to over 350,000. Those key assets are: </w:t>
      </w:r>
    </w:p>
    <w:p w14:paraId="5903380B" w14:textId="77777777" w:rsidR="002008F7" w:rsidRDefault="002008F7" w:rsidP="00CD1403">
      <w:pPr>
        <w:pStyle w:val="ListParagraph"/>
        <w:numPr>
          <w:ilvl w:val="0"/>
          <w:numId w:val="21"/>
        </w:numPr>
        <w:spacing w:before="120" w:after="120"/>
        <w:jc w:val="both"/>
        <w:rPr>
          <w:rFonts w:cs="Calibri"/>
        </w:rPr>
      </w:pPr>
      <w:r w:rsidRPr="0026633D">
        <w:rPr>
          <w:rFonts w:cs="Calibri"/>
          <w:b/>
        </w:rPr>
        <w:t>A strong starting position</w:t>
      </w:r>
      <w:r w:rsidRPr="0026633D">
        <w:rPr>
          <w:rFonts w:cs="Calibri"/>
        </w:rPr>
        <w:t xml:space="preserve"> with established businesses in the US performing strongly, growing contribution and absorbing a portion of the cost base. </w:t>
      </w:r>
    </w:p>
    <w:p w14:paraId="05521449" w14:textId="678AF6BA" w:rsidR="00F930C0" w:rsidRDefault="002008F7" w:rsidP="00CD1403">
      <w:pPr>
        <w:pStyle w:val="ListParagraph"/>
        <w:numPr>
          <w:ilvl w:val="0"/>
          <w:numId w:val="21"/>
        </w:numPr>
        <w:spacing w:before="120" w:after="120"/>
        <w:jc w:val="both"/>
        <w:rPr>
          <w:rFonts w:cs="Calibri"/>
        </w:rPr>
      </w:pPr>
      <w:r w:rsidRPr="00F930C0">
        <w:rPr>
          <w:rFonts w:cs="Calibri"/>
          <w:b/>
        </w:rPr>
        <w:t>A US database of 8.5 million</w:t>
      </w:r>
      <w:r w:rsidRPr="00F930C0">
        <w:rPr>
          <w:rFonts w:cs="Calibri"/>
        </w:rPr>
        <w:t xml:space="preserve"> </w:t>
      </w:r>
      <w:r w:rsidRPr="00F930C0">
        <w:rPr>
          <w:rFonts w:cs="Calibri"/>
          <w:b/>
        </w:rPr>
        <w:t>customers</w:t>
      </w:r>
      <w:r w:rsidR="00336CDD" w:rsidRPr="00F930C0">
        <w:rPr>
          <w:rFonts w:cs="Calibri"/>
        </w:rPr>
        <w:t>,</w:t>
      </w:r>
      <w:r w:rsidRPr="00F930C0">
        <w:rPr>
          <w:rFonts w:cs="Calibri"/>
        </w:rPr>
        <w:t xml:space="preserve"> a rich source of customer cross sell; 42% of our sports betting customers have come from the D</w:t>
      </w:r>
      <w:r w:rsidR="00C001FC" w:rsidRPr="00F930C0">
        <w:rPr>
          <w:rFonts w:cs="Calibri"/>
        </w:rPr>
        <w:t xml:space="preserve">aily </w:t>
      </w:r>
      <w:r w:rsidRPr="00F930C0">
        <w:rPr>
          <w:rFonts w:cs="Calibri"/>
        </w:rPr>
        <w:t>F</w:t>
      </w:r>
      <w:r w:rsidR="00C001FC" w:rsidRPr="00F930C0">
        <w:rPr>
          <w:rFonts w:cs="Calibri"/>
        </w:rPr>
        <w:t xml:space="preserve">antasy </w:t>
      </w:r>
      <w:r w:rsidRPr="00F930C0">
        <w:rPr>
          <w:rFonts w:cs="Calibri"/>
        </w:rPr>
        <w:t>S</w:t>
      </w:r>
      <w:r w:rsidR="00C001FC" w:rsidRPr="00F930C0">
        <w:rPr>
          <w:rFonts w:cs="Calibri"/>
        </w:rPr>
        <w:t>ports</w:t>
      </w:r>
      <w:r w:rsidRPr="00F930C0">
        <w:rPr>
          <w:rFonts w:cs="Calibri"/>
        </w:rPr>
        <w:t xml:space="preserve"> database to date and cross sell into the New Jersey casino has accelerated significantly since we embedded gaming content into our sports app.</w:t>
      </w:r>
      <w:r w:rsidR="009A5056" w:rsidRPr="00F930C0">
        <w:rPr>
          <w:rFonts w:cs="Calibri"/>
        </w:rPr>
        <w:t xml:space="preserve"> We rolled out our online casino product in Pennsylvania in January 2020 and the early trends to date have been very encouraging.</w:t>
      </w:r>
    </w:p>
    <w:p w14:paraId="22861148" w14:textId="759AA056" w:rsidR="002008F7" w:rsidRPr="00F930C0" w:rsidRDefault="002008F7" w:rsidP="00CD1403">
      <w:pPr>
        <w:pStyle w:val="ListParagraph"/>
        <w:numPr>
          <w:ilvl w:val="0"/>
          <w:numId w:val="21"/>
        </w:numPr>
        <w:spacing w:before="120" w:after="120"/>
        <w:jc w:val="both"/>
        <w:rPr>
          <w:rFonts w:cs="Calibri"/>
        </w:rPr>
      </w:pPr>
      <w:r w:rsidRPr="00F930C0">
        <w:rPr>
          <w:rFonts w:cs="Calibri"/>
          <w:b/>
        </w:rPr>
        <w:t>The FanDuel brand</w:t>
      </w:r>
      <w:r w:rsidRPr="00F930C0">
        <w:rPr>
          <w:rFonts w:cs="Calibri"/>
        </w:rPr>
        <w:t xml:space="preserve"> which resonates strongly, benefitting from a marketing investment of $130m during 2019 </w:t>
      </w:r>
      <w:r w:rsidR="00B8721B" w:rsidRPr="00F930C0">
        <w:rPr>
          <w:rFonts w:cs="Calibri"/>
        </w:rPr>
        <w:t xml:space="preserve">alone </w:t>
      </w:r>
      <w:r w:rsidRPr="00F930C0">
        <w:rPr>
          <w:rFonts w:cs="Calibri"/>
        </w:rPr>
        <w:t xml:space="preserve">and over $600m to date. In the sportsbook markets in which we currently operate, FanDuel has the highest unaided brand awareness and leadership in </w:t>
      </w:r>
      <w:r w:rsidR="00373010" w:rsidRPr="00F930C0">
        <w:rPr>
          <w:rFonts w:cs="Calibri"/>
        </w:rPr>
        <w:t>G</w:t>
      </w:r>
      <w:r w:rsidRPr="00F930C0">
        <w:rPr>
          <w:rFonts w:cs="Calibri"/>
        </w:rPr>
        <w:t xml:space="preserve">oogle search trends, highlighting how the brand has mass appeal beyond its traditional DFS base. </w:t>
      </w:r>
      <w:r w:rsidRPr="00373010">
        <w:t>This has ultimately resulted in a very attractive</w:t>
      </w:r>
      <w:r w:rsidR="00B121ED" w:rsidRPr="00373010">
        <w:t xml:space="preserve"> average</w:t>
      </w:r>
      <w:r w:rsidRPr="00373010">
        <w:t xml:space="preserve"> customer acquisition cost</w:t>
      </w:r>
      <w:r w:rsidR="000561F4" w:rsidRPr="00F930C0">
        <w:rPr>
          <w:vertAlign w:val="superscript"/>
        </w:rPr>
        <w:t>8</w:t>
      </w:r>
      <w:r w:rsidRPr="00373010">
        <w:t xml:space="preserve"> of </w:t>
      </w:r>
      <w:r w:rsidR="009A5056" w:rsidRPr="00676F2F">
        <w:t>less than $250</w:t>
      </w:r>
      <w:r w:rsidRPr="001C4C9B">
        <w:t xml:space="preserve"> since</w:t>
      </w:r>
      <w:r w:rsidRPr="00373010">
        <w:t xml:space="preserve"> the sportsbook was launched.</w:t>
      </w:r>
    </w:p>
    <w:p w14:paraId="0C51B6C6" w14:textId="5C1AEAD7" w:rsidR="002008F7" w:rsidRPr="00573C8D" w:rsidRDefault="002008F7" w:rsidP="00CD1403">
      <w:pPr>
        <w:pStyle w:val="ListParagraph"/>
        <w:numPr>
          <w:ilvl w:val="0"/>
          <w:numId w:val="21"/>
        </w:numPr>
        <w:spacing w:before="120" w:after="120"/>
        <w:jc w:val="both"/>
        <w:rPr>
          <w:rFonts w:cs="Calibri"/>
        </w:rPr>
      </w:pPr>
      <w:r w:rsidRPr="0026633D">
        <w:rPr>
          <w:rFonts w:cs="Calibri"/>
          <w:b/>
        </w:rPr>
        <w:lastRenderedPageBreak/>
        <w:t xml:space="preserve">A </w:t>
      </w:r>
      <w:r>
        <w:rPr>
          <w:rFonts w:cs="Calibri"/>
          <w:b/>
        </w:rPr>
        <w:t>high</w:t>
      </w:r>
      <w:r w:rsidRPr="0026633D">
        <w:rPr>
          <w:rFonts w:cs="Calibri"/>
          <w:b/>
        </w:rPr>
        <w:t xml:space="preserve"> quality and </w:t>
      </w:r>
      <w:r>
        <w:rPr>
          <w:rFonts w:cs="Calibri"/>
          <w:b/>
        </w:rPr>
        <w:t xml:space="preserve">broad </w:t>
      </w:r>
      <w:r w:rsidR="00B8721B">
        <w:rPr>
          <w:rFonts w:cs="Calibri"/>
          <w:b/>
        </w:rPr>
        <w:t xml:space="preserve">product </w:t>
      </w:r>
      <w:r>
        <w:rPr>
          <w:rFonts w:cs="Calibri"/>
          <w:b/>
        </w:rPr>
        <w:t>range</w:t>
      </w:r>
      <w:r w:rsidRPr="0026633D">
        <w:rPr>
          <w:rFonts w:cs="Calibri"/>
          <w:b/>
        </w:rPr>
        <w:t xml:space="preserve"> </w:t>
      </w:r>
      <w:r w:rsidR="003117D5">
        <w:rPr>
          <w:rFonts w:cs="Calibri"/>
        </w:rPr>
        <w:t xml:space="preserve">which </w:t>
      </w:r>
      <w:r w:rsidRPr="0026633D">
        <w:rPr>
          <w:rFonts w:cs="Calibri"/>
        </w:rPr>
        <w:t>we continue to innovate. We were the first operator to offer same game parlay betting and continue to be the only operator to offer it on NFL games. In addition, the integration of our risk and trading function</w:t>
      </w:r>
      <w:r w:rsidR="00B8721B">
        <w:rPr>
          <w:rFonts w:cs="Calibri"/>
        </w:rPr>
        <w:t>s</w:t>
      </w:r>
      <w:r w:rsidRPr="0026633D">
        <w:rPr>
          <w:rFonts w:cs="Calibri"/>
        </w:rPr>
        <w:t xml:space="preserve"> with our global business allows us </w:t>
      </w:r>
      <w:r w:rsidR="00B8721B">
        <w:rPr>
          <w:rFonts w:cs="Calibri"/>
        </w:rPr>
        <w:t xml:space="preserve">to </w:t>
      </w:r>
      <w:r w:rsidRPr="0026633D">
        <w:rPr>
          <w:rFonts w:cs="Calibri"/>
        </w:rPr>
        <w:t xml:space="preserve">offer significantly more betting markets than our competitors. </w:t>
      </w:r>
    </w:p>
    <w:p w14:paraId="35DD8593" w14:textId="051C9781" w:rsidR="002008F7" w:rsidRPr="00BC10A6" w:rsidRDefault="002008F7" w:rsidP="00CD1403">
      <w:pPr>
        <w:pStyle w:val="ListParagraph"/>
        <w:numPr>
          <w:ilvl w:val="0"/>
          <w:numId w:val="21"/>
        </w:numPr>
        <w:spacing w:before="120" w:after="120"/>
        <w:jc w:val="both"/>
        <w:rPr>
          <w:rFonts w:cs="Calibri"/>
        </w:rPr>
      </w:pPr>
      <w:r w:rsidRPr="0026633D">
        <w:rPr>
          <w:rFonts w:cs="Calibri"/>
          <w:b/>
        </w:rPr>
        <w:t>A team that has true scale;</w:t>
      </w:r>
      <w:r w:rsidRPr="0026633D">
        <w:rPr>
          <w:rFonts w:cs="Calibri"/>
        </w:rPr>
        <w:t xml:space="preserve"> our </w:t>
      </w:r>
      <w:r w:rsidR="00B121ED">
        <w:rPr>
          <w:rFonts w:cs="Calibri"/>
        </w:rPr>
        <w:t xml:space="preserve">US </w:t>
      </w:r>
      <w:r w:rsidRPr="0026633D">
        <w:rPr>
          <w:rFonts w:cs="Calibri"/>
        </w:rPr>
        <w:t xml:space="preserve">team </w:t>
      </w:r>
      <w:r w:rsidR="00E62573">
        <w:rPr>
          <w:rFonts w:cs="Calibri"/>
        </w:rPr>
        <w:t xml:space="preserve">now </w:t>
      </w:r>
      <w:r w:rsidRPr="0026633D">
        <w:rPr>
          <w:rFonts w:cs="Calibri"/>
        </w:rPr>
        <w:t>n</w:t>
      </w:r>
      <w:r w:rsidRPr="00BC10A6">
        <w:rPr>
          <w:rFonts w:cs="Calibri"/>
        </w:rPr>
        <w:t>umbers over 1</w:t>
      </w:r>
      <w:r w:rsidR="00E62573">
        <w:rPr>
          <w:rFonts w:cs="Calibri"/>
        </w:rPr>
        <w:t>,</w:t>
      </w:r>
      <w:r w:rsidRPr="00BC10A6">
        <w:rPr>
          <w:rFonts w:cs="Calibri"/>
        </w:rPr>
        <w:t>00</w:t>
      </w:r>
      <w:r w:rsidR="00E62573">
        <w:rPr>
          <w:rFonts w:cs="Calibri"/>
        </w:rPr>
        <w:t>0</w:t>
      </w:r>
      <w:r w:rsidRPr="00BC10A6">
        <w:rPr>
          <w:rFonts w:cs="Calibri"/>
        </w:rPr>
        <w:t xml:space="preserve">. This scale is unrivalled in the US online market. </w:t>
      </w:r>
      <w:r w:rsidR="00994C2B">
        <w:rPr>
          <w:rFonts w:cs="Calibri"/>
        </w:rPr>
        <w:t>Over 70</w:t>
      </w:r>
      <w:r w:rsidR="00B121ED">
        <w:rPr>
          <w:rFonts w:cs="Calibri"/>
        </w:rPr>
        <w:t xml:space="preserve"> </w:t>
      </w:r>
      <w:r w:rsidR="003117D5">
        <w:rPr>
          <w:rFonts w:cs="Calibri"/>
        </w:rPr>
        <w:t>experienced employees from Flutter’s global team have joined our US business over the last 18 months.</w:t>
      </w:r>
    </w:p>
    <w:p w14:paraId="0E5A225C" w14:textId="07A9FA17" w:rsidR="002008F7" w:rsidRPr="0026633D" w:rsidRDefault="003117D5" w:rsidP="002008F7">
      <w:pPr>
        <w:spacing w:before="120" w:after="120"/>
        <w:jc w:val="both"/>
        <w:rPr>
          <w:rFonts w:ascii="Calibri" w:hAnsi="Calibri" w:cs="Calibri"/>
          <w:sz w:val="22"/>
          <w:szCs w:val="22"/>
        </w:rPr>
      </w:pPr>
      <w:r>
        <w:rPr>
          <w:rFonts w:ascii="Calibri" w:hAnsi="Calibri" w:cs="Calibri"/>
          <w:sz w:val="22"/>
          <w:szCs w:val="22"/>
        </w:rPr>
        <w:t xml:space="preserve">The </w:t>
      </w:r>
      <w:r w:rsidR="002008F7" w:rsidRPr="0026633D">
        <w:rPr>
          <w:rFonts w:ascii="Calibri" w:hAnsi="Calibri" w:cs="Calibri"/>
          <w:sz w:val="22"/>
          <w:szCs w:val="22"/>
        </w:rPr>
        <w:t>combination of favourable customer acquisition economics</w:t>
      </w:r>
      <w:r>
        <w:rPr>
          <w:rFonts w:ascii="Calibri" w:hAnsi="Calibri" w:cs="Calibri"/>
          <w:sz w:val="22"/>
          <w:szCs w:val="22"/>
        </w:rPr>
        <w:t xml:space="preserve"> </w:t>
      </w:r>
      <w:r w:rsidR="000561F4">
        <w:rPr>
          <w:rFonts w:ascii="Calibri" w:hAnsi="Calibri" w:cs="Calibri"/>
          <w:sz w:val="22"/>
          <w:szCs w:val="22"/>
        </w:rPr>
        <w:t>and</w:t>
      </w:r>
      <w:r>
        <w:rPr>
          <w:rFonts w:ascii="Calibri" w:hAnsi="Calibri" w:cs="Calibri"/>
          <w:sz w:val="22"/>
          <w:szCs w:val="22"/>
        </w:rPr>
        <w:t xml:space="preserve"> our </w:t>
      </w:r>
      <w:r w:rsidR="002008F7" w:rsidRPr="0026633D">
        <w:rPr>
          <w:rFonts w:ascii="Calibri" w:hAnsi="Calibri" w:cs="Calibri"/>
          <w:sz w:val="22"/>
          <w:szCs w:val="22"/>
        </w:rPr>
        <w:t xml:space="preserve">leading product offering means that we have experienced </w:t>
      </w:r>
      <w:r w:rsidR="00AA7AF0">
        <w:rPr>
          <w:rFonts w:ascii="Calibri" w:hAnsi="Calibri" w:cs="Calibri"/>
          <w:sz w:val="22"/>
          <w:szCs w:val="22"/>
        </w:rPr>
        <w:t xml:space="preserve">average </w:t>
      </w:r>
      <w:r w:rsidR="002008F7" w:rsidRPr="0026633D">
        <w:rPr>
          <w:rFonts w:ascii="Calibri" w:hAnsi="Calibri" w:cs="Calibri"/>
          <w:sz w:val="22"/>
          <w:szCs w:val="22"/>
        </w:rPr>
        <w:t xml:space="preserve">customer payback </w:t>
      </w:r>
      <w:r w:rsidR="00D634BB">
        <w:rPr>
          <w:rFonts w:ascii="Calibri" w:hAnsi="Calibri" w:cs="Calibri"/>
          <w:sz w:val="22"/>
          <w:szCs w:val="22"/>
        </w:rPr>
        <w:t xml:space="preserve">of less than </w:t>
      </w:r>
      <w:r w:rsidR="002008F7" w:rsidRPr="0026633D">
        <w:rPr>
          <w:rFonts w:ascii="Calibri" w:hAnsi="Calibri" w:cs="Calibri"/>
          <w:sz w:val="22"/>
          <w:szCs w:val="22"/>
        </w:rPr>
        <w:t>12 months</w:t>
      </w:r>
      <w:r w:rsidRPr="003117D5">
        <w:rPr>
          <w:rFonts w:ascii="Calibri" w:hAnsi="Calibri" w:cs="Calibri"/>
          <w:sz w:val="22"/>
          <w:szCs w:val="22"/>
        </w:rPr>
        <w:t xml:space="preserve"> </w:t>
      </w:r>
      <w:r w:rsidRPr="0026633D">
        <w:rPr>
          <w:rFonts w:ascii="Calibri" w:hAnsi="Calibri" w:cs="Calibri"/>
          <w:sz w:val="22"/>
          <w:szCs w:val="22"/>
        </w:rPr>
        <w:t>in New Jersey</w:t>
      </w:r>
      <w:r w:rsidR="002008F7" w:rsidRPr="0026633D">
        <w:rPr>
          <w:rFonts w:ascii="Calibri" w:hAnsi="Calibri" w:cs="Calibri"/>
          <w:sz w:val="22"/>
          <w:szCs w:val="22"/>
        </w:rPr>
        <w:t xml:space="preserve">, benefitting from cross-sell to casino. Furthermore, we believe that the standalone New Jersey sportsbook </w:t>
      </w:r>
      <w:r w:rsidR="00D96E65">
        <w:rPr>
          <w:rFonts w:ascii="Calibri" w:hAnsi="Calibri" w:cs="Calibri"/>
          <w:sz w:val="22"/>
          <w:szCs w:val="22"/>
        </w:rPr>
        <w:t>will</w:t>
      </w:r>
      <w:r w:rsidR="00D96E65" w:rsidRPr="0026633D">
        <w:rPr>
          <w:rFonts w:ascii="Calibri" w:hAnsi="Calibri" w:cs="Calibri"/>
          <w:sz w:val="22"/>
          <w:szCs w:val="22"/>
        </w:rPr>
        <w:t xml:space="preserve"> </w:t>
      </w:r>
      <w:r w:rsidR="002008F7" w:rsidRPr="0026633D">
        <w:rPr>
          <w:rFonts w:ascii="Calibri" w:hAnsi="Calibri" w:cs="Calibri"/>
          <w:sz w:val="22"/>
          <w:szCs w:val="22"/>
        </w:rPr>
        <w:t>be structurally contribution positive in 2020</w:t>
      </w:r>
      <w:r w:rsidR="00D96E65">
        <w:rPr>
          <w:rFonts w:ascii="Calibri" w:hAnsi="Calibri" w:cs="Calibri"/>
          <w:sz w:val="22"/>
          <w:szCs w:val="22"/>
        </w:rPr>
        <w:t xml:space="preserve">. </w:t>
      </w:r>
      <w:r w:rsidR="002008F7" w:rsidRPr="0026633D">
        <w:rPr>
          <w:rFonts w:ascii="Calibri" w:hAnsi="Calibri" w:cs="Calibri"/>
          <w:sz w:val="22"/>
          <w:szCs w:val="22"/>
        </w:rPr>
        <w:t xml:space="preserve"> </w:t>
      </w:r>
    </w:p>
    <w:p w14:paraId="32E4E19D" w14:textId="34ECEA29" w:rsidR="002008F7" w:rsidRPr="0026633D" w:rsidRDefault="002008F7" w:rsidP="002008F7">
      <w:pPr>
        <w:spacing w:before="120" w:after="120"/>
        <w:jc w:val="both"/>
        <w:rPr>
          <w:rFonts w:ascii="Calibri" w:hAnsi="Calibri" w:cs="Calibri"/>
          <w:sz w:val="22"/>
          <w:szCs w:val="22"/>
        </w:rPr>
      </w:pPr>
      <w:r w:rsidRPr="0026633D">
        <w:rPr>
          <w:rFonts w:ascii="Calibri" w:hAnsi="Calibri" w:cs="Calibri"/>
          <w:sz w:val="22"/>
          <w:szCs w:val="22"/>
        </w:rPr>
        <w:t xml:space="preserve">In 2020, we expect to go live online in at least </w:t>
      </w:r>
      <w:r w:rsidR="00012A96">
        <w:rPr>
          <w:rFonts w:ascii="Calibri" w:hAnsi="Calibri" w:cs="Calibri"/>
          <w:sz w:val="22"/>
          <w:szCs w:val="22"/>
        </w:rPr>
        <w:t>three</w:t>
      </w:r>
      <w:r w:rsidRPr="0026633D">
        <w:rPr>
          <w:rFonts w:ascii="Calibri" w:hAnsi="Calibri" w:cs="Calibri"/>
          <w:sz w:val="22"/>
          <w:szCs w:val="22"/>
        </w:rPr>
        <w:t xml:space="preserve"> additional states (</w:t>
      </w:r>
      <w:r w:rsidR="000A0FD5" w:rsidRPr="0026633D">
        <w:rPr>
          <w:rFonts w:ascii="Calibri" w:hAnsi="Calibri" w:cs="Calibri"/>
          <w:sz w:val="22"/>
          <w:szCs w:val="22"/>
        </w:rPr>
        <w:t>Colorado</w:t>
      </w:r>
      <w:r w:rsidR="000A0FD5">
        <w:rPr>
          <w:rFonts w:ascii="Calibri" w:hAnsi="Calibri" w:cs="Calibri"/>
          <w:sz w:val="22"/>
          <w:szCs w:val="22"/>
        </w:rPr>
        <w:t>,</w:t>
      </w:r>
      <w:r w:rsidR="000A0FD5" w:rsidRPr="0026633D">
        <w:rPr>
          <w:rFonts w:ascii="Calibri" w:hAnsi="Calibri" w:cs="Calibri"/>
          <w:sz w:val="22"/>
          <w:szCs w:val="22"/>
        </w:rPr>
        <w:t xml:space="preserve"> </w:t>
      </w:r>
      <w:r w:rsidRPr="0026633D">
        <w:rPr>
          <w:rFonts w:ascii="Calibri" w:hAnsi="Calibri" w:cs="Calibri"/>
          <w:sz w:val="22"/>
          <w:szCs w:val="22"/>
        </w:rPr>
        <w:t>Tennessee and</w:t>
      </w:r>
      <w:r w:rsidR="000A0FD5" w:rsidRPr="000A0FD5">
        <w:rPr>
          <w:rFonts w:ascii="Calibri" w:hAnsi="Calibri" w:cs="Calibri"/>
          <w:sz w:val="22"/>
          <w:szCs w:val="22"/>
        </w:rPr>
        <w:t xml:space="preserve"> </w:t>
      </w:r>
      <w:r w:rsidR="000A0FD5" w:rsidRPr="0026633D">
        <w:rPr>
          <w:rFonts w:ascii="Calibri" w:hAnsi="Calibri" w:cs="Calibri"/>
          <w:sz w:val="22"/>
          <w:szCs w:val="22"/>
        </w:rPr>
        <w:t>Iowa</w:t>
      </w:r>
      <w:r w:rsidRPr="0026633D">
        <w:rPr>
          <w:rFonts w:ascii="Calibri" w:hAnsi="Calibri" w:cs="Calibri"/>
          <w:sz w:val="22"/>
          <w:szCs w:val="22"/>
        </w:rPr>
        <w:t>)</w:t>
      </w:r>
      <w:r>
        <w:rPr>
          <w:rFonts w:ascii="Calibri" w:hAnsi="Calibri" w:cs="Calibri"/>
          <w:sz w:val="22"/>
          <w:szCs w:val="22"/>
        </w:rPr>
        <w:t xml:space="preserve"> and we </w:t>
      </w:r>
      <w:r w:rsidRPr="0026633D">
        <w:rPr>
          <w:rFonts w:ascii="Calibri" w:hAnsi="Calibri" w:cs="Calibri"/>
          <w:sz w:val="22"/>
          <w:szCs w:val="22"/>
        </w:rPr>
        <w:t xml:space="preserve">also plan to progress our work on our </w:t>
      </w:r>
      <w:r w:rsidR="00AA7AF0">
        <w:rPr>
          <w:rFonts w:ascii="Calibri" w:hAnsi="Calibri" w:cs="Calibri"/>
          <w:sz w:val="22"/>
          <w:szCs w:val="22"/>
        </w:rPr>
        <w:t xml:space="preserve">proprietary </w:t>
      </w:r>
      <w:r w:rsidRPr="0026633D">
        <w:rPr>
          <w:rFonts w:ascii="Calibri" w:hAnsi="Calibri" w:cs="Calibri"/>
          <w:sz w:val="22"/>
          <w:szCs w:val="22"/>
        </w:rPr>
        <w:t xml:space="preserve">technology stack, utilising </w:t>
      </w:r>
      <w:r w:rsidR="000561F4">
        <w:rPr>
          <w:rFonts w:ascii="Calibri" w:hAnsi="Calibri" w:cs="Calibri"/>
          <w:sz w:val="22"/>
          <w:szCs w:val="22"/>
        </w:rPr>
        <w:t>G</w:t>
      </w:r>
      <w:r w:rsidR="000561F4" w:rsidRPr="0026633D">
        <w:rPr>
          <w:rFonts w:ascii="Calibri" w:hAnsi="Calibri" w:cs="Calibri"/>
          <w:sz w:val="22"/>
          <w:szCs w:val="22"/>
        </w:rPr>
        <w:t xml:space="preserve">roup </w:t>
      </w:r>
      <w:r w:rsidRPr="0026633D">
        <w:rPr>
          <w:rFonts w:ascii="Calibri" w:hAnsi="Calibri" w:cs="Calibri"/>
          <w:sz w:val="22"/>
          <w:szCs w:val="22"/>
        </w:rPr>
        <w:t>assets to ensure we have sufficient scale and flexibility to deal with individual state requirements</w:t>
      </w:r>
      <w:r>
        <w:rPr>
          <w:rFonts w:ascii="Calibri" w:hAnsi="Calibri" w:cs="Calibri"/>
          <w:sz w:val="22"/>
          <w:szCs w:val="22"/>
        </w:rPr>
        <w:t>.</w:t>
      </w:r>
      <w:r w:rsidR="002D5494">
        <w:rPr>
          <w:rFonts w:ascii="Calibri" w:hAnsi="Calibri" w:cs="Calibri"/>
          <w:sz w:val="22"/>
          <w:szCs w:val="22"/>
        </w:rPr>
        <w:t xml:space="preserve"> </w:t>
      </w:r>
    </w:p>
    <w:p w14:paraId="11B014BC" w14:textId="39DA1C47" w:rsidR="002008F7" w:rsidRPr="0026633D" w:rsidRDefault="00D9301B" w:rsidP="002008F7">
      <w:pPr>
        <w:spacing w:before="120" w:after="120"/>
        <w:jc w:val="both"/>
        <w:rPr>
          <w:rFonts w:ascii="Calibri" w:hAnsi="Calibri" w:cs="Calibri"/>
          <w:b/>
          <w:sz w:val="22"/>
          <w:szCs w:val="22"/>
        </w:rPr>
      </w:pPr>
      <w:r>
        <w:rPr>
          <w:rFonts w:ascii="Calibri" w:hAnsi="Calibri" w:cs="Calibri"/>
          <w:b/>
          <w:sz w:val="22"/>
          <w:szCs w:val="22"/>
        </w:rPr>
        <w:t>Balance sheet strength</w:t>
      </w:r>
    </w:p>
    <w:p w14:paraId="2B183BD4" w14:textId="05294AEE" w:rsidR="002008F7" w:rsidRPr="0026633D" w:rsidRDefault="002008F7" w:rsidP="002008F7">
      <w:pPr>
        <w:spacing w:after="120"/>
        <w:jc w:val="both"/>
        <w:rPr>
          <w:rFonts w:asciiTheme="minorHAnsi" w:hAnsiTheme="minorHAnsi"/>
          <w:sz w:val="22"/>
          <w:szCs w:val="22"/>
        </w:rPr>
      </w:pPr>
      <w:r w:rsidRPr="0026633D">
        <w:rPr>
          <w:rFonts w:asciiTheme="minorHAnsi" w:hAnsiTheme="minorHAnsi"/>
          <w:sz w:val="22"/>
          <w:szCs w:val="22"/>
        </w:rPr>
        <w:t xml:space="preserve">The ongoing strength of the Group’s balance sheet has meant that we have been very well positioned to take advantage of market opportunities as they arise. Following the acquisition of a 58% stake in FanDuel during 2018, we announced the acquisition of a 51% stake in Adjarabet in early 2019 and then the proposed transformational combination with The Stars Group in October. Our strong balance sheet has been a key </w:t>
      </w:r>
      <w:r w:rsidR="00336CDD">
        <w:rPr>
          <w:rFonts w:asciiTheme="minorHAnsi" w:hAnsiTheme="minorHAnsi"/>
          <w:sz w:val="22"/>
          <w:szCs w:val="22"/>
        </w:rPr>
        <w:t xml:space="preserve">enabler and </w:t>
      </w:r>
      <w:r w:rsidR="00D9301B">
        <w:rPr>
          <w:rFonts w:asciiTheme="minorHAnsi" w:hAnsiTheme="minorHAnsi"/>
          <w:sz w:val="22"/>
          <w:szCs w:val="22"/>
        </w:rPr>
        <w:t>an</w:t>
      </w:r>
      <w:r w:rsidR="00336CDD">
        <w:rPr>
          <w:rFonts w:asciiTheme="minorHAnsi" w:hAnsiTheme="minorHAnsi"/>
          <w:sz w:val="22"/>
          <w:szCs w:val="22"/>
        </w:rPr>
        <w:t xml:space="preserve"> asset during the </w:t>
      </w:r>
      <w:r w:rsidRPr="0026633D">
        <w:rPr>
          <w:rFonts w:asciiTheme="minorHAnsi" w:hAnsiTheme="minorHAnsi"/>
          <w:sz w:val="22"/>
          <w:szCs w:val="22"/>
        </w:rPr>
        <w:t xml:space="preserve">negotiation of each deal. </w:t>
      </w:r>
    </w:p>
    <w:p w14:paraId="5BBBEB16" w14:textId="4C473240" w:rsidR="002008F7" w:rsidRPr="0026633D" w:rsidRDefault="002008F7" w:rsidP="002008F7">
      <w:pPr>
        <w:spacing w:after="120"/>
        <w:jc w:val="both"/>
        <w:rPr>
          <w:rFonts w:asciiTheme="minorHAnsi" w:hAnsiTheme="minorHAnsi"/>
          <w:sz w:val="22"/>
          <w:szCs w:val="22"/>
        </w:rPr>
      </w:pPr>
      <w:r w:rsidRPr="0026633D">
        <w:rPr>
          <w:rFonts w:asciiTheme="minorHAnsi" w:hAnsiTheme="minorHAnsi"/>
          <w:sz w:val="22"/>
          <w:szCs w:val="22"/>
        </w:rPr>
        <w:t>With this in mind, the Group continues to target a medium-term leverage range of between 1x and 2x net debt to EBITDA</w:t>
      </w:r>
      <w:r w:rsidR="00EA3F18" w:rsidRPr="00E877C8">
        <w:rPr>
          <w:rFonts w:asciiTheme="minorHAnsi" w:hAnsiTheme="minorHAnsi"/>
          <w:sz w:val="22"/>
          <w:szCs w:val="22"/>
          <w:vertAlign w:val="superscript"/>
        </w:rPr>
        <w:t>2</w:t>
      </w:r>
      <w:r w:rsidRPr="0026633D">
        <w:rPr>
          <w:rFonts w:asciiTheme="minorHAnsi" w:hAnsiTheme="minorHAnsi"/>
          <w:sz w:val="22"/>
          <w:szCs w:val="22"/>
        </w:rPr>
        <w:t>. Over the last 12 months the Group has progressed towards this leverage target via (</w:t>
      </w:r>
      <w:proofErr w:type="spellStart"/>
      <w:r w:rsidRPr="0026633D">
        <w:rPr>
          <w:rFonts w:asciiTheme="minorHAnsi" w:hAnsiTheme="minorHAnsi"/>
          <w:sz w:val="22"/>
          <w:szCs w:val="22"/>
        </w:rPr>
        <w:t>i</w:t>
      </w:r>
      <w:proofErr w:type="spellEnd"/>
      <w:r w:rsidRPr="0026633D">
        <w:rPr>
          <w:rFonts w:asciiTheme="minorHAnsi" w:hAnsiTheme="minorHAnsi"/>
          <w:sz w:val="22"/>
          <w:szCs w:val="22"/>
        </w:rPr>
        <w:t xml:space="preserve">) continued investment in growing our US business, (ii) </w:t>
      </w:r>
      <w:r w:rsidR="00336CDD">
        <w:rPr>
          <w:rFonts w:asciiTheme="minorHAnsi" w:hAnsiTheme="minorHAnsi"/>
          <w:sz w:val="22"/>
          <w:szCs w:val="22"/>
        </w:rPr>
        <w:t xml:space="preserve">enhanced </w:t>
      </w:r>
      <w:r w:rsidRPr="0026633D">
        <w:rPr>
          <w:rFonts w:asciiTheme="minorHAnsi" w:hAnsiTheme="minorHAnsi"/>
          <w:sz w:val="22"/>
          <w:szCs w:val="22"/>
        </w:rPr>
        <w:t>returns to shareholders and (iii) the acquisition of the Adjarabet</w:t>
      </w:r>
      <w:r>
        <w:rPr>
          <w:rFonts w:asciiTheme="minorHAnsi" w:hAnsiTheme="minorHAnsi"/>
          <w:sz w:val="22"/>
          <w:szCs w:val="22"/>
        </w:rPr>
        <w:t xml:space="preserve"> stake</w:t>
      </w:r>
      <w:r w:rsidRPr="0026633D">
        <w:rPr>
          <w:rFonts w:asciiTheme="minorHAnsi" w:hAnsiTheme="minorHAnsi"/>
          <w:sz w:val="22"/>
          <w:szCs w:val="22"/>
        </w:rPr>
        <w:t>. As a result, at 31 December 2019 the Group had net debt of £</w:t>
      </w:r>
      <w:r w:rsidR="009E543A" w:rsidRPr="0026633D">
        <w:rPr>
          <w:rFonts w:asciiTheme="minorHAnsi" w:hAnsiTheme="minorHAnsi"/>
          <w:sz w:val="22"/>
          <w:szCs w:val="22"/>
        </w:rPr>
        <w:t>26</w:t>
      </w:r>
      <w:r w:rsidR="00E52894">
        <w:rPr>
          <w:rFonts w:asciiTheme="minorHAnsi" w:hAnsiTheme="minorHAnsi"/>
          <w:sz w:val="22"/>
          <w:szCs w:val="22"/>
        </w:rPr>
        <w:t>5</w:t>
      </w:r>
      <w:r w:rsidR="009E543A" w:rsidRPr="0026633D">
        <w:rPr>
          <w:rFonts w:asciiTheme="minorHAnsi" w:hAnsiTheme="minorHAnsi"/>
          <w:sz w:val="22"/>
          <w:szCs w:val="22"/>
        </w:rPr>
        <w:t>m</w:t>
      </w:r>
      <w:r w:rsidRPr="0026633D">
        <w:rPr>
          <w:rFonts w:asciiTheme="minorHAnsi" w:hAnsiTheme="minorHAnsi"/>
          <w:sz w:val="22"/>
          <w:szCs w:val="22"/>
        </w:rPr>
        <w:t xml:space="preserve"> representing 0.7 times underlying EBITDA</w:t>
      </w:r>
      <w:r w:rsidR="00EA3F18" w:rsidRPr="00676F2F">
        <w:rPr>
          <w:rFonts w:asciiTheme="minorHAnsi" w:hAnsiTheme="minorHAnsi"/>
          <w:sz w:val="22"/>
          <w:szCs w:val="22"/>
          <w:vertAlign w:val="superscript"/>
        </w:rPr>
        <w:t>1,2</w:t>
      </w:r>
      <w:r w:rsidRPr="0026633D">
        <w:rPr>
          <w:rFonts w:asciiTheme="minorHAnsi" w:hAnsiTheme="minorHAnsi"/>
          <w:sz w:val="22"/>
          <w:szCs w:val="22"/>
        </w:rPr>
        <w:t xml:space="preserve">. </w:t>
      </w:r>
    </w:p>
    <w:p w14:paraId="5336983D" w14:textId="113F26C1" w:rsidR="002008F7" w:rsidRPr="00FD0125" w:rsidRDefault="002008F7" w:rsidP="002008F7">
      <w:pPr>
        <w:spacing w:after="120"/>
        <w:jc w:val="both"/>
        <w:rPr>
          <w:rFonts w:asciiTheme="minorHAnsi" w:hAnsiTheme="minorHAnsi"/>
          <w:sz w:val="22"/>
          <w:szCs w:val="22"/>
        </w:rPr>
      </w:pPr>
      <w:r w:rsidRPr="0026633D">
        <w:rPr>
          <w:rFonts w:asciiTheme="minorHAnsi" w:hAnsiTheme="minorHAnsi"/>
          <w:sz w:val="22"/>
          <w:szCs w:val="22"/>
        </w:rPr>
        <w:t>The proposed combination with The Stars Group will see the Group</w:t>
      </w:r>
      <w:r>
        <w:rPr>
          <w:rFonts w:asciiTheme="minorHAnsi" w:hAnsiTheme="minorHAnsi"/>
          <w:sz w:val="22"/>
          <w:szCs w:val="22"/>
        </w:rPr>
        <w:t>’s</w:t>
      </w:r>
      <w:r w:rsidRPr="0026633D">
        <w:rPr>
          <w:rFonts w:asciiTheme="minorHAnsi" w:hAnsiTheme="minorHAnsi"/>
          <w:sz w:val="22"/>
          <w:szCs w:val="22"/>
        </w:rPr>
        <w:t xml:space="preserve"> leverage ratio increase to c</w:t>
      </w:r>
      <w:r w:rsidR="00012A96">
        <w:rPr>
          <w:rFonts w:asciiTheme="minorHAnsi" w:hAnsiTheme="minorHAnsi"/>
          <w:sz w:val="22"/>
          <w:szCs w:val="22"/>
        </w:rPr>
        <w:t>.</w:t>
      </w:r>
      <w:r w:rsidRPr="0026633D">
        <w:rPr>
          <w:rFonts w:asciiTheme="minorHAnsi" w:hAnsiTheme="minorHAnsi"/>
          <w:sz w:val="22"/>
          <w:szCs w:val="22"/>
        </w:rPr>
        <w:t xml:space="preserve"> 3.5 times proforma</w:t>
      </w:r>
      <w:r w:rsidR="00045E83">
        <w:rPr>
          <w:rFonts w:asciiTheme="minorHAnsi" w:hAnsiTheme="minorHAnsi"/>
          <w:sz w:val="22"/>
          <w:szCs w:val="22"/>
          <w:vertAlign w:val="superscript"/>
        </w:rPr>
        <w:t>4</w:t>
      </w:r>
      <w:r w:rsidR="00045E83">
        <w:rPr>
          <w:rFonts w:asciiTheme="minorHAnsi" w:hAnsiTheme="minorHAnsi"/>
          <w:sz w:val="22"/>
          <w:szCs w:val="22"/>
        </w:rPr>
        <w:t xml:space="preserve"> </w:t>
      </w:r>
      <w:r w:rsidRPr="0026633D">
        <w:rPr>
          <w:rFonts w:asciiTheme="minorHAnsi" w:hAnsiTheme="minorHAnsi"/>
          <w:sz w:val="22"/>
          <w:szCs w:val="22"/>
        </w:rPr>
        <w:t>underlying EBITDA</w:t>
      </w:r>
      <w:r w:rsidR="00EA3F18" w:rsidRPr="00676F2F">
        <w:rPr>
          <w:rFonts w:asciiTheme="minorHAnsi" w:hAnsiTheme="minorHAnsi"/>
          <w:sz w:val="22"/>
          <w:szCs w:val="22"/>
          <w:vertAlign w:val="superscript"/>
        </w:rPr>
        <w:t>1,2</w:t>
      </w:r>
      <w:r w:rsidRPr="0026633D">
        <w:rPr>
          <w:rFonts w:asciiTheme="minorHAnsi" w:hAnsiTheme="minorHAnsi"/>
          <w:sz w:val="22"/>
          <w:szCs w:val="22"/>
        </w:rPr>
        <w:t xml:space="preserve"> post completion, above our target range. As such, we are proposing </w:t>
      </w:r>
      <w:r w:rsidR="00D9301B">
        <w:rPr>
          <w:rFonts w:asciiTheme="minorHAnsi" w:hAnsiTheme="minorHAnsi"/>
          <w:sz w:val="22"/>
          <w:szCs w:val="22"/>
        </w:rPr>
        <w:t>maintaining</w:t>
      </w:r>
      <w:r w:rsidR="00D9301B" w:rsidRPr="0026633D">
        <w:rPr>
          <w:rFonts w:asciiTheme="minorHAnsi" w:hAnsiTheme="minorHAnsi"/>
          <w:sz w:val="22"/>
          <w:szCs w:val="22"/>
        </w:rPr>
        <w:t xml:space="preserve"> </w:t>
      </w:r>
      <w:r w:rsidRPr="0026633D">
        <w:rPr>
          <w:rFonts w:asciiTheme="minorHAnsi" w:hAnsiTheme="minorHAnsi"/>
          <w:sz w:val="22"/>
          <w:szCs w:val="22"/>
        </w:rPr>
        <w:t xml:space="preserve">our annual ordinary </w:t>
      </w:r>
      <w:r w:rsidRPr="006E41E4">
        <w:rPr>
          <w:rFonts w:asciiTheme="minorHAnsi" w:hAnsiTheme="minorHAnsi"/>
          <w:sz w:val="22"/>
          <w:szCs w:val="22"/>
        </w:rPr>
        <w:t xml:space="preserve">dividend at </w:t>
      </w:r>
      <w:r w:rsidRPr="00A028FD">
        <w:rPr>
          <w:rFonts w:asciiTheme="minorHAnsi" w:hAnsiTheme="minorHAnsi"/>
          <w:sz w:val="22"/>
        </w:rPr>
        <w:t>200p</w:t>
      </w:r>
      <w:r w:rsidRPr="006E41E4">
        <w:rPr>
          <w:rFonts w:asciiTheme="minorHAnsi" w:hAnsiTheme="minorHAnsi"/>
          <w:sz w:val="22"/>
          <w:szCs w:val="22"/>
        </w:rPr>
        <w:t xml:space="preserve"> per share until the</w:t>
      </w:r>
      <w:r w:rsidRPr="0026633D">
        <w:rPr>
          <w:rFonts w:asciiTheme="minorHAnsi" w:hAnsiTheme="minorHAnsi"/>
          <w:sz w:val="22"/>
          <w:szCs w:val="22"/>
        </w:rPr>
        <w:t xml:space="preserve"> </w:t>
      </w:r>
      <w:r>
        <w:rPr>
          <w:rFonts w:asciiTheme="minorHAnsi" w:hAnsiTheme="minorHAnsi"/>
          <w:sz w:val="22"/>
          <w:szCs w:val="22"/>
        </w:rPr>
        <w:t>Group’s net debt to EBITDA</w:t>
      </w:r>
      <w:r w:rsidR="00EA3F18" w:rsidRPr="00676F2F">
        <w:rPr>
          <w:rFonts w:asciiTheme="minorHAnsi" w:hAnsiTheme="minorHAnsi"/>
          <w:sz w:val="22"/>
          <w:szCs w:val="22"/>
          <w:vertAlign w:val="superscript"/>
        </w:rPr>
        <w:t>2</w:t>
      </w:r>
      <w:r>
        <w:rPr>
          <w:rFonts w:asciiTheme="minorHAnsi" w:hAnsiTheme="minorHAnsi"/>
          <w:sz w:val="22"/>
          <w:szCs w:val="22"/>
        </w:rPr>
        <w:t xml:space="preserve"> returns</w:t>
      </w:r>
      <w:r w:rsidRPr="0026633D">
        <w:rPr>
          <w:rFonts w:asciiTheme="minorHAnsi" w:hAnsiTheme="minorHAnsi"/>
          <w:sz w:val="22"/>
          <w:szCs w:val="22"/>
        </w:rPr>
        <w:t xml:space="preserve"> below 2x</w:t>
      </w:r>
      <w:r w:rsidRPr="00FD0125">
        <w:rPr>
          <w:rFonts w:asciiTheme="minorHAnsi" w:hAnsiTheme="minorHAnsi"/>
          <w:sz w:val="22"/>
          <w:szCs w:val="22"/>
        </w:rPr>
        <w:t xml:space="preserve">. </w:t>
      </w:r>
    </w:p>
    <w:p w14:paraId="707B2F8D" w14:textId="77777777" w:rsidR="002008F7" w:rsidRPr="00FD0125" w:rsidRDefault="002008F7" w:rsidP="002008F7">
      <w:pPr>
        <w:spacing w:after="120"/>
        <w:jc w:val="both"/>
        <w:rPr>
          <w:rFonts w:asciiTheme="minorHAnsi" w:hAnsiTheme="minorHAnsi"/>
          <w:b/>
          <w:sz w:val="22"/>
          <w:szCs w:val="22"/>
        </w:rPr>
      </w:pPr>
      <w:r w:rsidRPr="00FD0125">
        <w:rPr>
          <w:rFonts w:asciiTheme="minorHAnsi" w:hAnsiTheme="minorHAnsi"/>
          <w:b/>
          <w:sz w:val="22"/>
          <w:szCs w:val="22"/>
        </w:rPr>
        <w:t>Stars Group combination update</w:t>
      </w:r>
    </w:p>
    <w:p w14:paraId="7A39B6CE" w14:textId="3EBE784E" w:rsidR="009A5056" w:rsidRDefault="002008F7" w:rsidP="002008F7">
      <w:pPr>
        <w:spacing w:after="120"/>
        <w:jc w:val="both"/>
        <w:rPr>
          <w:rFonts w:asciiTheme="minorHAnsi" w:hAnsiTheme="minorHAnsi"/>
          <w:sz w:val="22"/>
          <w:szCs w:val="22"/>
        </w:rPr>
      </w:pPr>
      <w:r w:rsidRPr="00FD0125">
        <w:rPr>
          <w:rFonts w:asciiTheme="minorHAnsi" w:hAnsiTheme="minorHAnsi"/>
          <w:sz w:val="22"/>
          <w:szCs w:val="22"/>
        </w:rPr>
        <w:t xml:space="preserve">We have commenced our integration planning work ahead of our proposed merger with The Stars Group and remain excited about the opportunities that the deal will create for the Group. </w:t>
      </w:r>
      <w:r w:rsidR="009A5056">
        <w:rPr>
          <w:rFonts w:asciiTheme="minorHAnsi" w:hAnsiTheme="minorHAnsi"/>
          <w:sz w:val="22"/>
          <w:szCs w:val="22"/>
        </w:rPr>
        <w:t xml:space="preserve">In Australia, the </w:t>
      </w:r>
      <w:r w:rsidR="009A5056" w:rsidRPr="00676F2F">
        <w:rPr>
          <w:rFonts w:asciiTheme="minorHAnsi" w:hAnsiTheme="minorHAnsi"/>
          <w:sz w:val="22"/>
          <w:szCs w:val="22"/>
        </w:rPr>
        <w:t xml:space="preserve">Australian Competition </w:t>
      </w:r>
      <w:r w:rsidR="00012A96">
        <w:rPr>
          <w:rFonts w:asciiTheme="minorHAnsi" w:hAnsiTheme="minorHAnsi"/>
          <w:sz w:val="22"/>
          <w:szCs w:val="22"/>
        </w:rPr>
        <w:t xml:space="preserve">and </w:t>
      </w:r>
      <w:r w:rsidR="009A5056" w:rsidRPr="00676F2F">
        <w:rPr>
          <w:rFonts w:asciiTheme="minorHAnsi" w:hAnsiTheme="minorHAnsi"/>
          <w:sz w:val="22"/>
          <w:szCs w:val="22"/>
        </w:rPr>
        <w:t>Consumer Commission</w:t>
      </w:r>
      <w:r w:rsidR="009A5056">
        <w:rPr>
          <w:rFonts w:asciiTheme="minorHAnsi" w:hAnsiTheme="minorHAnsi"/>
          <w:sz w:val="22"/>
          <w:szCs w:val="22"/>
        </w:rPr>
        <w:t xml:space="preserve"> has confirmed that it has granted its informal approval. </w:t>
      </w:r>
      <w:r w:rsidR="009A5056" w:rsidRPr="0097584F">
        <w:rPr>
          <w:rFonts w:asciiTheme="minorHAnsi" w:hAnsiTheme="minorHAnsi"/>
          <w:sz w:val="22"/>
          <w:szCs w:val="22"/>
        </w:rPr>
        <w:t>The proposed transaction remains subject to approval by the Australian Foreign Investment Review Board as well as further international regulatory bodies</w:t>
      </w:r>
      <w:r w:rsidR="009A5056">
        <w:rPr>
          <w:rFonts w:asciiTheme="minorHAnsi" w:hAnsiTheme="minorHAnsi"/>
          <w:sz w:val="22"/>
          <w:szCs w:val="22"/>
        </w:rPr>
        <w:t xml:space="preserve"> in Australia.</w:t>
      </w:r>
      <w:r w:rsidR="009A5056" w:rsidRPr="00FD0125">
        <w:rPr>
          <w:rFonts w:asciiTheme="minorHAnsi" w:hAnsiTheme="minorHAnsi"/>
          <w:sz w:val="22"/>
          <w:szCs w:val="22"/>
        </w:rPr>
        <w:t xml:space="preserve"> </w:t>
      </w:r>
    </w:p>
    <w:p w14:paraId="40DC3ACB" w14:textId="7FD71223" w:rsidR="002008F7" w:rsidRPr="00FD0125" w:rsidRDefault="002008F7" w:rsidP="002008F7">
      <w:pPr>
        <w:spacing w:after="120"/>
        <w:jc w:val="both"/>
        <w:rPr>
          <w:rFonts w:asciiTheme="minorHAnsi" w:hAnsiTheme="minorHAnsi"/>
          <w:sz w:val="22"/>
          <w:szCs w:val="22"/>
        </w:rPr>
      </w:pPr>
      <w:r w:rsidRPr="00FD0125">
        <w:rPr>
          <w:rFonts w:asciiTheme="minorHAnsi" w:hAnsiTheme="minorHAnsi"/>
          <w:sz w:val="22"/>
          <w:szCs w:val="22"/>
        </w:rPr>
        <w:t xml:space="preserve">We are continuing to work with the various competition authorities </w:t>
      </w:r>
      <w:r w:rsidR="009A5056">
        <w:rPr>
          <w:rFonts w:asciiTheme="minorHAnsi" w:hAnsiTheme="minorHAnsi"/>
          <w:sz w:val="22"/>
          <w:szCs w:val="22"/>
        </w:rPr>
        <w:t xml:space="preserve">elsewhere </w:t>
      </w:r>
      <w:r w:rsidRPr="00FD0125">
        <w:rPr>
          <w:rFonts w:asciiTheme="minorHAnsi" w:hAnsiTheme="minorHAnsi"/>
          <w:sz w:val="22"/>
          <w:szCs w:val="22"/>
        </w:rPr>
        <w:t>globally to obtain the necessary approvals ahead of completion of the transaction.</w:t>
      </w:r>
      <w:r w:rsidR="009A5056">
        <w:rPr>
          <w:rFonts w:asciiTheme="minorHAnsi" w:hAnsiTheme="minorHAnsi"/>
          <w:sz w:val="22"/>
          <w:szCs w:val="22"/>
        </w:rPr>
        <w:t xml:space="preserve"> </w:t>
      </w:r>
      <w:r w:rsidRPr="00FD0125">
        <w:rPr>
          <w:rFonts w:asciiTheme="minorHAnsi" w:hAnsiTheme="minorHAnsi"/>
          <w:sz w:val="22"/>
          <w:szCs w:val="22"/>
        </w:rPr>
        <w:t xml:space="preserve">We still expect that the completion date will be in either Q2 or Q3 2020. </w:t>
      </w:r>
    </w:p>
    <w:p w14:paraId="7889F694" w14:textId="29B0B689" w:rsidR="00BF2ECC" w:rsidRDefault="00BF2ECC">
      <w:pPr>
        <w:widowControl/>
        <w:autoSpaceDE/>
        <w:autoSpaceDN/>
        <w:adjustRightInd/>
        <w:rPr>
          <w:rFonts w:asciiTheme="minorHAnsi" w:hAnsiTheme="minorHAnsi"/>
          <w:b/>
          <w:u w:val="single"/>
        </w:rPr>
      </w:pPr>
    </w:p>
    <w:p w14:paraId="5F32214F" w14:textId="7B577125" w:rsidR="005E127C" w:rsidRDefault="005E127C">
      <w:pPr>
        <w:widowControl/>
        <w:autoSpaceDE/>
        <w:autoSpaceDN/>
        <w:adjustRightInd/>
        <w:rPr>
          <w:rFonts w:asciiTheme="minorHAnsi" w:hAnsiTheme="minorHAnsi"/>
          <w:b/>
          <w:u w:val="single"/>
        </w:rPr>
      </w:pPr>
      <w:r>
        <w:rPr>
          <w:rFonts w:asciiTheme="minorHAnsi" w:hAnsiTheme="minorHAnsi"/>
          <w:b/>
          <w:u w:val="single"/>
        </w:rPr>
        <w:br w:type="page"/>
      </w:r>
    </w:p>
    <w:p w14:paraId="3D1062B1" w14:textId="77777777" w:rsidR="00324B39" w:rsidRPr="00172F8A" w:rsidRDefault="00324B39" w:rsidP="00324B39">
      <w:pPr>
        <w:spacing w:after="120"/>
        <w:jc w:val="both"/>
        <w:rPr>
          <w:rFonts w:asciiTheme="minorHAnsi" w:hAnsiTheme="minorHAnsi"/>
          <w:b/>
          <w:u w:val="single"/>
        </w:rPr>
      </w:pPr>
      <w:r w:rsidRPr="00172F8A">
        <w:rPr>
          <w:rFonts w:asciiTheme="minorHAnsi" w:hAnsiTheme="minorHAnsi"/>
          <w:b/>
          <w:u w:val="single"/>
        </w:rPr>
        <w:lastRenderedPageBreak/>
        <w:t>Operating and Financial Review</w:t>
      </w:r>
    </w:p>
    <w:p w14:paraId="38A701A2" w14:textId="3A8003EA" w:rsidR="00324B39" w:rsidRDefault="00324B39" w:rsidP="00324B39">
      <w:pPr>
        <w:spacing w:after="120"/>
        <w:jc w:val="both"/>
        <w:rPr>
          <w:rFonts w:asciiTheme="minorHAnsi" w:hAnsiTheme="minorHAnsi"/>
          <w:b/>
          <w:sz w:val="22"/>
          <w:szCs w:val="22"/>
        </w:rPr>
      </w:pPr>
      <w:r w:rsidRPr="008D5F7B">
        <w:rPr>
          <w:rFonts w:asciiTheme="minorHAnsi" w:hAnsiTheme="minorHAnsi"/>
          <w:b/>
          <w:sz w:val="22"/>
          <w:szCs w:val="22"/>
        </w:rPr>
        <w:t>Group</w:t>
      </w:r>
      <w:r w:rsidR="003F4984">
        <w:rPr>
          <w:rFonts w:asciiTheme="minorHAnsi" w:hAnsiTheme="minorHAnsi"/>
          <w:b/>
          <w:sz w:val="22"/>
          <w:szCs w:val="22"/>
        </w:rPr>
        <w:t xml:space="preserve"> Income Statement</w:t>
      </w:r>
    </w:p>
    <w:tbl>
      <w:tblPr>
        <w:tblW w:w="9498" w:type="dxa"/>
        <w:tblInd w:w="-5" w:type="dxa"/>
        <w:tblLayout w:type="fixed"/>
        <w:tblCellMar>
          <w:left w:w="57" w:type="dxa"/>
          <w:right w:w="227" w:type="dxa"/>
        </w:tblCellMar>
        <w:tblLook w:val="04A0" w:firstRow="1" w:lastRow="0" w:firstColumn="1" w:lastColumn="0" w:noHBand="0" w:noVBand="1"/>
      </w:tblPr>
      <w:tblGrid>
        <w:gridCol w:w="2977"/>
        <w:gridCol w:w="992"/>
        <w:gridCol w:w="993"/>
        <w:gridCol w:w="992"/>
        <w:gridCol w:w="992"/>
        <w:gridCol w:w="1276"/>
        <w:gridCol w:w="1276"/>
      </w:tblGrid>
      <w:tr w:rsidR="00E31E4C" w:rsidRPr="00443C47" w14:paraId="6BC4EBF9" w14:textId="7E2897D8" w:rsidTr="00CE5CB2">
        <w:trPr>
          <w:trHeight w:val="615"/>
        </w:trPr>
        <w:tc>
          <w:tcPr>
            <w:tcW w:w="2977" w:type="dxa"/>
            <w:tcBorders>
              <w:top w:val="single" w:sz="4" w:space="0" w:color="auto"/>
              <w:left w:val="single" w:sz="4" w:space="0" w:color="auto"/>
              <w:bottom w:val="single" w:sz="4" w:space="0" w:color="auto"/>
              <w:right w:val="nil"/>
            </w:tcBorders>
          </w:tcPr>
          <w:p w14:paraId="79F67BD0" w14:textId="77777777" w:rsidR="00E31E4C" w:rsidRPr="00443C47"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84"/>
              <w:jc w:val="both"/>
              <w:rPr>
                <w:rFonts w:asciiTheme="minorHAnsi" w:hAnsiTheme="minorHAnsi" w:cs="Times New Roman"/>
                <w:b/>
                <w:lang w:eastAsia="en-IE"/>
              </w:rPr>
            </w:pPr>
            <w:r>
              <w:rPr>
                <w:rFonts w:asciiTheme="minorHAnsi" w:hAnsiTheme="minorHAnsi" w:cs="Times New Roman"/>
                <w:b/>
                <w:lang w:eastAsia="en-IE"/>
              </w:rPr>
              <w:t>£m</w:t>
            </w:r>
          </w:p>
          <w:p w14:paraId="7FF8E434" w14:textId="69F806D4" w:rsidR="00E31E4C" w:rsidRPr="00C83C07"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i/>
                <w:sz w:val="18"/>
                <w:szCs w:val="18"/>
                <w:lang w:eastAsia="en-IE"/>
              </w:rPr>
            </w:pPr>
          </w:p>
        </w:tc>
        <w:tc>
          <w:tcPr>
            <w:tcW w:w="992" w:type="dxa"/>
            <w:tcBorders>
              <w:top w:val="single" w:sz="4" w:space="0" w:color="auto"/>
              <w:left w:val="nil"/>
              <w:bottom w:val="single" w:sz="4" w:space="0" w:color="auto"/>
            </w:tcBorders>
            <w:shd w:val="clear" w:color="auto" w:fill="auto"/>
          </w:tcPr>
          <w:p w14:paraId="5CA202EF" w14:textId="388F0975" w:rsidR="00E31E4C" w:rsidRPr="006D3B6C"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 xml:space="preserve"> </w:t>
            </w:r>
            <w:r w:rsidRPr="006D3B6C">
              <w:rPr>
                <w:rFonts w:asciiTheme="minorHAnsi" w:hAnsiTheme="minorHAnsi" w:cs="Times New Roman"/>
                <w:b/>
                <w:lang w:eastAsia="en-IE"/>
              </w:rPr>
              <w:t>201</w:t>
            </w:r>
            <w:r>
              <w:rPr>
                <w:rFonts w:asciiTheme="minorHAnsi" w:hAnsiTheme="minorHAnsi" w:cs="Times New Roman"/>
                <w:b/>
                <w:lang w:eastAsia="en-IE"/>
              </w:rPr>
              <w:t>9</w:t>
            </w:r>
          </w:p>
          <w:p w14:paraId="4E5764BD" w14:textId="77777777" w:rsidR="00E31E4C" w:rsidRPr="006D3B6C"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6D3B6C">
              <w:rPr>
                <w:rFonts w:asciiTheme="minorHAnsi" w:hAnsiTheme="minorHAnsi" w:cs="Times New Roman"/>
                <w:b/>
                <w:lang w:eastAsia="en-IE"/>
              </w:rPr>
              <w:t>£m</w:t>
            </w:r>
          </w:p>
        </w:tc>
        <w:tc>
          <w:tcPr>
            <w:tcW w:w="993" w:type="dxa"/>
            <w:tcBorders>
              <w:top w:val="single" w:sz="4" w:space="0" w:color="auto"/>
              <w:left w:val="nil"/>
              <w:bottom w:val="single" w:sz="4" w:space="0" w:color="auto"/>
            </w:tcBorders>
          </w:tcPr>
          <w:p w14:paraId="634AE305" w14:textId="18A2CC94" w:rsidR="00E31E4C" w:rsidRPr="006D3B6C"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 xml:space="preserve"> </w:t>
            </w:r>
            <w:r w:rsidRPr="006D3B6C">
              <w:rPr>
                <w:rFonts w:asciiTheme="minorHAnsi" w:hAnsiTheme="minorHAnsi" w:cs="Times New Roman"/>
                <w:b/>
                <w:lang w:eastAsia="en-IE"/>
              </w:rPr>
              <w:t>201</w:t>
            </w:r>
            <w:r>
              <w:rPr>
                <w:rFonts w:asciiTheme="minorHAnsi" w:hAnsiTheme="minorHAnsi" w:cs="Times New Roman"/>
                <w:b/>
                <w:lang w:eastAsia="en-IE"/>
              </w:rPr>
              <w:t>9</w:t>
            </w:r>
          </w:p>
          <w:p w14:paraId="4AD997D6" w14:textId="77777777" w:rsidR="00E31E4C"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6D3B6C">
              <w:rPr>
                <w:rFonts w:asciiTheme="minorHAnsi" w:hAnsiTheme="minorHAnsi" w:cs="Times New Roman"/>
                <w:b/>
                <w:lang w:eastAsia="en-IE"/>
              </w:rPr>
              <w:t>£m</w:t>
            </w:r>
            <w:r>
              <w:rPr>
                <w:rFonts w:asciiTheme="minorHAnsi" w:hAnsiTheme="minorHAnsi" w:cs="Times New Roman"/>
                <w:b/>
                <w:lang w:eastAsia="en-IE"/>
              </w:rPr>
              <w:t xml:space="preserve"> </w:t>
            </w:r>
          </w:p>
          <w:p w14:paraId="42A8F7C5" w14:textId="0C2BE221" w:rsidR="00E31E4C"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(pre IFRS 16)</w:t>
            </w:r>
          </w:p>
        </w:tc>
        <w:tc>
          <w:tcPr>
            <w:tcW w:w="992" w:type="dxa"/>
            <w:tcBorders>
              <w:top w:val="single" w:sz="4" w:space="0" w:color="auto"/>
              <w:left w:val="nil"/>
              <w:bottom w:val="single" w:sz="4" w:space="0" w:color="auto"/>
              <w:right w:val="nil"/>
            </w:tcBorders>
            <w:shd w:val="clear" w:color="auto" w:fill="auto"/>
          </w:tcPr>
          <w:p w14:paraId="38E0823E" w14:textId="76AC516A" w:rsidR="00E31E4C" w:rsidRPr="006D3B6C"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 xml:space="preserve"> </w:t>
            </w:r>
            <w:r w:rsidRPr="006D3B6C">
              <w:rPr>
                <w:rFonts w:asciiTheme="minorHAnsi" w:hAnsiTheme="minorHAnsi" w:cs="Times New Roman"/>
                <w:b/>
                <w:lang w:eastAsia="en-IE"/>
              </w:rPr>
              <w:t>201</w:t>
            </w:r>
            <w:r>
              <w:rPr>
                <w:rFonts w:asciiTheme="minorHAnsi" w:hAnsiTheme="minorHAnsi" w:cs="Times New Roman"/>
                <w:b/>
                <w:lang w:eastAsia="en-IE"/>
              </w:rPr>
              <w:t>8</w:t>
            </w:r>
          </w:p>
          <w:p w14:paraId="5A09AC55" w14:textId="77777777" w:rsidR="00E31E4C"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6D3B6C">
              <w:rPr>
                <w:rFonts w:asciiTheme="minorHAnsi" w:hAnsiTheme="minorHAnsi" w:cs="Times New Roman"/>
                <w:b/>
                <w:lang w:eastAsia="en-IE"/>
              </w:rPr>
              <w:t>£m</w:t>
            </w:r>
          </w:p>
          <w:p w14:paraId="17F15320" w14:textId="05069B81" w:rsidR="00E31E4C" w:rsidRPr="006D3B6C"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b/>
                <w:lang w:eastAsia="en-IE"/>
              </w:rPr>
              <w:t xml:space="preserve"> </w:t>
            </w:r>
          </w:p>
        </w:tc>
        <w:tc>
          <w:tcPr>
            <w:tcW w:w="992" w:type="dxa"/>
            <w:tcBorders>
              <w:top w:val="single" w:sz="4" w:space="0" w:color="auto"/>
              <w:left w:val="nil"/>
              <w:bottom w:val="single" w:sz="4" w:space="0" w:color="auto"/>
              <w:right w:val="nil"/>
            </w:tcBorders>
          </w:tcPr>
          <w:p w14:paraId="7023414B" w14:textId="0B2D9307" w:rsidR="00E31E4C" w:rsidRPr="00443C47"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 xml:space="preserve"> </w:t>
            </w:r>
            <w:r w:rsidRPr="00443C47">
              <w:rPr>
                <w:rFonts w:asciiTheme="minorHAnsi" w:hAnsiTheme="minorHAnsi" w:cs="Times New Roman"/>
                <w:b/>
                <w:lang w:eastAsia="en-IE"/>
              </w:rPr>
              <w:t>Change</w:t>
            </w:r>
          </w:p>
          <w:p w14:paraId="62A11137" w14:textId="77777777" w:rsidR="00E31E4C"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443C47">
              <w:rPr>
                <w:rFonts w:asciiTheme="minorHAnsi" w:hAnsiTheme="minorHAnsi" w:cs="Times New Roman"/>
                <w:b/>
                <w:lang w:eastAsia="en-IE"/>
              </w:rPr>
              <w:t>%</w:t>
            </w:r>
          </w:p>
          <w:p w14:paraId="138CBD01" w14:textId="581E6317" w:rsidR="00C001FC" w:rsidRPr="00443C47" w:rsidRDefault="00C001F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(pre IFRS 16)</w:t>
            </w:r>
          </w:p>
        </w:tc>
        <w:tc>
          <w:tcPr>
            <w:tcW w:w="1276" w:type="dxa"/>
            <w:tcBorders>
              <w:top w:val="single" w:sz="4" w:space="0" w:color="auto"/>
              <w:left w:val="nil"/>
              <w:bottom w:val="single" w:sz="4" w:space="0" w:color="auto"/>
              <w:right w:val="nil"/>
            </w:tcBorders>
          </w:tcPr>
          <w:p w14:paraId="4D0FAE7D" w14:textId="77777777" w:rsidR="00E31E4C" w:rsidRDefault="00E31E4C" w:rsidP="00E31E4C">
            <w:pPr>
              <w:pStyle w:val="HTMLPreformatted"/>
              <w:spacing w:line="256" w:lineRule="auto"/>
              <w:jc w:val="right"/>
              <w:rPr>
                <w:rFonts w:asciiTheme="minorHAnsi" w:hAnsiTheme="minorHAnsi" w:cs="Times New Roman"/>
                <w:b/>
                <w:lang w:eastAsia="en-IE"/>
              </w:rPr>
            </w:pPr>
            <w:r>
              <w:rPr>
                <w:rFonts w:asciiTheme="minorHAnsi" w:hAnsiTheme="minorHAnsi" w:cs="Times New Roman"/>
                <w:b/>
                <w:lang w:eastAsia="en-IE"/>
              </w:rPr>
              <w:t>Proforma</w:t>
            </w:r>
            <w:r>
              <w:rPr>
                <w:rFonts w:asciiTheme="minorHAnsi" w:hAnsiTheme="minorHAnsi" w:cs="Times New Roman"/>
                <w:b/>
                <w:vertAlign w:val="superscript"/>
                <w:lang w:eastAsia="en-IE"/>
              </w:rPr>
              <w:t>4</w:t>
            </w:r>
            <w:r>
              <w:rPr>
                <w:rFonts w:asciiTheme="minorHAnsi" w:hAnsiTheme="minorHAnsi" w:cs="Times New Roman"/>
                <w:b/>
                <w:lang w:eastAsia="en-IE"/>
              </w:rPr>
              <w:t xml:space="preserve">  CC</w:t>
            </w:r>
            <w:r>
              <w:rPr>
                <w:rFonts w:asciiTheme="minorHAnsi" w:hAnsiTheme="minorHAnsi" w:cs="Times New Roman"/>
                <w:b/>
                <w:vertAlign w:val="superscript"/>
                <w:lang w:eastAsia="en-IE"/>
              </w:rPr>
              <w:t>3</w:t>
            </w:r>
            <w:r>
              <w:rPr>
                <w:rFonts w:asciiTheme="minorHAnsi" w:hAnsiTheme="minorHAnsi" w:cs="Times New Roman"/>
                <w:b/>
                <w:lang w:eastAsia="en-IE"/>
              </w:rPr>
              <w:t xml:space="preserve"> </w:t>
            </w:r>
          </w:p>
          <w:p w14:paraId="6A0B3E84" w14:textId="6DA5D703" w:rsidR="00E31E4C"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Change %</w:t>
            </w:r>
          </w:p>
        </w:tc>
        <w:tc>
          <w:tcPr>
            <w:tcW w:w="1276" w:type="dxa"/>
            <w:tcBorders>
              <w:top w:val="single" w:sz="4" w:space="0" w:color="auto"/>
              <w:left w:val="nil"/>
              <w:bottom w:val="single" w:sz="4" w:space="0" w:color="auto"/>
              <w:right w:val="single" w:sz="4" w:space="0" w:color="auto"/>
            </w:tcBorders>
            <w:shd w:val="clear" w:color="auto" w:fill="auto"/>
          </w:tcPr>
          <w:p w14:paraId="7FC60BF0" w14:textId="2B5153DE" w:rsidR="00E31E4C" w:rsidRPr="00443C47"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Adjusted for tax and regulatory changes</w:t>
            </w:r>
            <w:r>
              <w:rPr>
                <w:rFonts w:asciiTheme="minorHAnsi" w:hAnsiTheme="minorHAnsi" w:cs="Times New Roman"/>
                <w:b/>
                <w:vertAlign w:val="superscript"/>
                <w:lang w:eastAsia="en-IE"/>
              </w:rPr>
              <w:t>7</w:t>
            </w:r>
            <w:r>
              <w:rPr>
                <w:rFonts w:asciiTheme="minorHAnsi" w:hAnsiTheme="minorHAnsi" w:cs="Times New Roman"/>
                <w:b/>
                <w:lang w:eastAsia="en-IE"/>
              </w:rPr>
              <w:t xml:space="preserve"> YoY</w:t>
            </w:r>
          </w:p>
        </w:tc>
      </w:tr>
      <w:tr w:rsidR="00E31E4C" w:rsidRPr="00CA2404" w14:paraId="3CA57593" w14:textId="64A1B0A5" w:rsidTr="00CE5CB2">
        <w:trPr>
          <w:trHeight w:val="70"/>
        </w:trPr>
        <w:tc>
          <w:tcPr>
            <w:tcW w:w="2977" w:type="dxa"/>
            <w:tcBorders>
              <w:top w:val="nil"/>
              <w:left w:val="single" w:sz="4" w:space="0" w:color="auto"/>
              <w:bottom w:val="nil"/>
              <w:right w:val="nil"/>
            </w:tcBorders>
          </w:tcPr>
          <w:p w14:paraId="7C9D9DF9" w14:textId="77777777" w:rsidR="00E31E4C" w:rsidRPr="00CA2404"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992" w:type="dxa"/>
            <w:tcBorders>
              <w:top w:val="nil"/>
              <w:left w:val="nil"/>
              <w:bottom w:val="nil"/>
            </w:tcBorders>
            <w:shd w:val="clear" w:color="auto" w:fill="auto"/>
          </w:tcPr>
          <w:p w14:paraId="45C256AA" w14:textId="77777777" w:rsidR="00E31E4C" w:rsidRPr="00CA2404"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sz w:val="6"/>
                <w:szCs w:val="6"/>
                <w:lang w:eastAsia="en-IE"/>
              </w:rPr>
            </w:pPr>
          </w:p>
        </w:tc>
        <w:tc>
          <w:tcPr>
            <w:tcW w:w="993" w:type="dxa"/>
            <w:tcBorders>
              <w:top w:val="nil"/>
              <w:left w:val="nil"/>
              <w:bottom w:val="nil"/>
            </w:tcBorders>
          </w:tcPr>
          <w:p w14:paraId="23D8FFD9" w14:textId="77777777" w:rsidR="00E31E4C" w:rsidRPr="00CA2404"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2" w:type="dxa"/>
            <w:tcBorders>
              <w:top w:val="nil"/>
              <w:left w:val="nil"/>
              <w:bottom w:val="nil"/>
              <w:right w:val="nil"/>
            </w:tcBorders>
            <w:shd w:val="clear" w:color="auto" w:fill="auto"/>
          </w:tcPr>
          <w:p w14:paraId="4B837F50" w14:textId="6736293D" w:rsidR="00E31E4C" w:rsidRPr="00CA2404"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2" w:type="dxa"/>
            <w:tcBorders>
              <w:top w:val="nil"/>
              <w:left w:val="nil"/>
              <w:bottom w:val="nil"/>
              <w:right w:val="nil"/>
            </w:tcBorders>
          </w:tcPr>
          <w:p w14:paraId="0EB80BD0" w14:textId="77777777" w:rsidR="00E31E4C" w:rsidRPr="00CA2404"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276" w:type="dxa"/>
            <w:tcBorders>
              <w:top w:val="nil"/>
              <w:left w:val="nil"/>
              <w:bottom w:val="nil"/>
              <w:right w:val="nil"/>
            </w:tcBorders>
          </w:tcPr>
          <w:p w14:paraId="24A9ED30" w14:textId="77777777" w:rsidR="00E31E4C" w:rsidRPr="00CA2404"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276" w:type="dxa"/>
            <w:tcBorders>
              <w:top w:val="nil"/>
              <w:left w:val="nil"/>
              <w:bottom w:val="nil"/>
              <w:right w:val="single" w:sz="4" w:space="0" w:color="auto"/>
            </w:tcBorders>
            <w:shd w:val="clear" w:color="auto" w:fill="auto"/>
          </w:tcPr>
          <w:p w14:paraId="21DD2A1E" w14:textId="4C6A4A1C" w:rsidR="00E31E4C" w:rsidRPr="00CA2404"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E31E4C" w:rsidRPr="00CA2404" w14:paraId="2367280D" w14:textId="42A5265B" w:rsidTr="00CE5CB2">
        <w:trPr>
          <w:trHeight w:val="70"/>
        </w:trPr>
        <w:tc>
          <w:tcPr>
            <w:tcW w:w="2977" w:type="dxa"/>
            <w:tcBorders>
              <w:top w:val="nil"/>
              <w:left w:val="single" w:sz="4" w:space="0" w:color="auto"/>
              <w:bottom w:val="nil"/>
              <w:right w:val="nil"/>
            </w:tcBorders>
          </w:tcPr>
          <w:p w14:paraId="329C567B" w14:textId="77777777" w:rsidR="00E31E4C" w:rsidRPr="00CA2404"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r>
              <w:rPr>
                <w:rFonts w:asciiTheme="minorHAnsi" w:hAnsiTheme="minorHAnsi" w:cs="Times New Roman"/>
                <w:lang w:eastAsia="en-IE"/>
              </w:rPr>
              <w:t>Sports revenue</w:t>
            </w:r>
          </w:p>
        </w:tc>
        <w:tc>
          <w:tcPr>
            <w:tcW w:w="992" w:type="dxa"/>
            <w:tcBorders>
              <w:top w:val="nil"/>
              <w:left w:val="nil"/>
              <w:bottom w:val="nil"/>
            </w:tcBorders>
            <w:shd w:val="clear" w:color="auto" w:fill="auto"/>
          </w:tcPr>
          <w:p w14:paraId="32AE6A80" w14:textId="71AF1837" w:rsidR="00E31E4C" w:rsidRPr="00D42709"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1,667</w:t>
            </w:r>
          </w:p>
        </w:tc>
        <w:tc>
          <w:tcPr>
            <w:tcW w:w="993" w:type="dxa"/>
            <w:tcBorders>
              <w:top w:val="nil"/>
              <w:left w:val="nil"/>
              <w:bottom w:val="nil"/>
            </w:tcBorders>
          </w:tcPr>
          <w:p w14:paraId="4F9B07C7" w14:textId="13079CCC" w:rsidR="00E31E4C" w:rsidRPr="00D42709"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1,667</w:t>
            </w:r>
          </w:p>
        </w:tc>
        <w:tc>
          <w:tcPr>
            <w:tcW w:w="992" w:type="dxa"/>
            <w:tcBorders>
              <w:top w:val="nil"/>
              <w:left w:val="nil"/>
              <w:bottom w:val="nil"/>
              <w:right w:val="nil"/>
            </w:tcBorders>
            <w:shd w:val="clear" w:color="auto" w:fill="auto"/>
          </w:tcPr>
          <w:p w14:paraId="683884B8" w14:textId="56DBF6E1" w:rsidR="00E31E4C" w:rsidRPr="005C0FA7"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D42709">
              <w:rPr>
                <w:rFonts w:asciiTheme="minorHAnsi" w:hAnsiTheme="minorHAnsi" w:cs="Times New Roman"/>
                <w:lang w:eastAsia="en-IE"/>
              </w:rPr>
              <w:t>1,47</w:t>
            </w:r>
            <w:r>
              <w:rPr>
                <w:rFonts w:asciiTheme="minorHAnsi" w:hAnsiTheme="minorHAnsi" w:cs="Times New Roman"/>
                <w:lang w:eastAsia="en-IE"/>
              </w:rPr>
              <w:t>4</w:t>
            </w:r>
          </w:p>
        </w:tc>
        <w:tc>
          <w:tcPr>
            <w:tcW w:w="992" w:type="dxa"/>
            <w:tcBorders>
              <w:top w:val="nil"/>
              <w:left w:val="nil"/>
              <w:bottom w:val="nil"/>
              <w:right w:val="nil"/>
            </w:tcBorders>
          </w:tcPr>
          <w:p w14:paraId="5B4866FA" w14:textId="564B5489" w:rsidR="00E31E4C" w:rsidRPr="006F1689"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+13%</w:t>
            </w:r>
          </w:p>
        </w:tc>
        <w:tc>
          <w:tcPr>
            <w:tcW w:w="1276" w:type="dxa"/>
            <w:tcBorders>
              <w:top w:val="nil"/>
              <w:left w:val="nil"/>
              <w:bottom w:val="nil"/>
              <w:right w:val="nil"/>
            </w:tcBorders>
          </w:tcPr>
          <w:p w14:paraId="7A2F176E" w14:textId="0E36739F" w:rsidR="00E31E4C" w:rsidRPr="006F1689"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+10%</w:t>
            </w:r>
          </w:p>
        </w:tc>
        <w:tc>
          <w:tcPr>
            <w:tcW w:w="1276" w:type="dxa"/>
            <w:tcBorders>
              <w:top w:val="nil"/>
              <w:left w:val="nil"/>
              <w:bottom w:val="nil"/>
              <w:right w:val="single" w:sz="4" w:space="0" w:color="auto"/>
            </w:tcBorders>
            <w:shd w:val="clear" w:color="auto" w:fill="auto"/>
          </w:tcPr>
          <w:p w14:paraId="2DB56818" w14:textId="25FD1C30" w:rsidR="00E31E4C" w:rsidRPr="006F1689"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r>
      <w:tr w:rsidR="00E31E4C" w:rsidRPr="00CA2404" w14:paraId="506CFE39" w14:textId="7CF4EAF7" w:rsidTr="00CE5CB2">
        <w:trPr>
          <w:trHeight w:val="70"/>
        </w:trPr>
        <w:tc>
          <w:tcPr>
            <w:tcW w:w="2977" w:type="dxa"/>
            <w:tcBorders>
              <w:top w:val="nil"/>
              <w:left w:val="single" w:sz="4" w:space="0" w:color="auto"/>
              <w:bottom w:val="nil"/>
              <w:right w:val="nil"/>
            </w:tcBorders>
          </w:tcPr>
          <w:p w14:paraId="47785190" w14:textId="77777777" w:rsidR="00E31E4C" w:rsidRPr="00CA2404"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r>
              <w:rPr>
                <w:rFonts w:asciiTheme="minorHAnsi" w:hAnsiTheme="minorHAnsi" w:cs="Times New Roman"/>
                <w:lang w:eastAsia="en-IE"/>
              </w:rPr>
              <w:t>Gaming revenue</w:t>
            </w:r>
          </w:p>
        </w:tc>
        <w:tc>
          <w:tcPr>
            <w:tcW w:w="992" w:type="dxa"/>
            <w:tcBorders>
              <w:top w:val="nil"/>
              <w:left w:val="nil"/>
              <w:bottom w:val="single" w:sz="4" w:space="0" w:color="auto"/>
            </w:tcBorders>
            <w:shd w:val="clear" w:color="auto" w:fill="auto"/>
          </w:tcPr>
          <w:p w14:paraId="6DDDEF28" w14:textId="6540E2A0" w:rsidR="00E31E4C" w:rsidRPr="00D42709"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sidRPr="0052199D">
              <w:rPr>
                <w:rFonts w:asciiTheme="minorHAnsi" w:hAnsiTheme="minorHAnsi" w:cs="Times New Roman"/>
                <w:lang w:eastAsia="en-IE"/>
              </w:rPr>
              <w:t>473</w:t>
            </w:r>
          </w:p>
        </w:tc>
        <w:tc>
          <w:tcPr>
            <w:tcW w:w="993" w:type="dxa"/>
            <w:tcBorders>
              <w:top w:val="nil"/>
              <w:left w:val="nil"/>
              <w:bottom w:val="single" w:sz="4" w:space="0" w:color="auto"/>
            </w:tcBorders>
          </w:tcPr>
          <w:p w14:paraId="7F9E86C2" w14:textId="2616F2C9" w:rsidR="00E31E4C"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52199D">
              <w:rPr>
                <w:rFonts w:asciiTheme="minorHAnsi" w:hAnsiTheme="minorHAnsi" w:cs="Times New Roman"/>
                <w:lang w:eastAsia="en-IE"/>
              </w:rPr>
              <w:t>473</w:t>
            </w:r>
          </w:p>
        </w:tc>
        <w:tc>
          <w:tcPr>
            <w:tcW w:w="992" w:type="dxa"/>
            <w:tcBorders>
              <w:top w:val="nil"/>
              <w:left w:val="nil"/>
              <w:bottom w:val="single" w:sz="4" w:space="0" w:color="auto"/>
              <w:right w:val="nil"/>
            </w:tcBorders>
            <w:shd w:val="clear" w:color="auto" w:fill="auto"/>
          </w:tcPr>
          <w:p w14:paraId="762CB64F" w14:textId="098648AB" w:rsidR="00E31E4C" w:rsidRPr="00CA2404"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Pr>
                <w:rFonts w:asciiTheme="minorHAnsi" w:hAnsiTheme="minorHAnsi" w:cs="Times New Roman"/>
                <w:lang w:eastAsia="en-IE"/>
              </w:rPr>
              <w:t>399</w:t>
            </w:r>
          </w:p>
        </w:tc>
        <w:tc>
          <w:tcPr>
            <w:tcW w:w="992" w:type="dxa"/>
            <w:tcBorders>
              <w:top w:val="nil"/>
              <w:left w:val="nil"/>
              <w:bottom w:val="single" w:sz="4" w:space="0" w:color="auto"/>
              <w:right w:val="nil"/>
            </w:tcBorders>
          </w:tcPr>
          <w:p w14:paraId="2C5ADA61" w14:textId="22F6FD4A" w:rsidR="00E31E4C" w:rsidRPr="006F1689"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sidRPr="002C201B">
              <w:rPr>
                <w:rFonts w:asciiTheme="minorHAnsi" w:hAnsiTheme="minorHAnsi" w:cs="Times New Roman"/>
                <w:lang w:eastAsia="en-IE"/>
              </w:rPr>
              <w:t>+19%</w:t>
            </w:r>
          </w:p>
        </w:tc>
        <w:tc>
          <w:tcPr>
            <w:tcW w:w="1276" w:type="dxa"/>
            <w:tcBorders>
              <w:top w:val="nil"/>
              <w:left w:val="nil"/>
              <w:bottom w:val="single" w:sz="4" w:space="0" w:color="auto"/>
              <w:right w:val="nil"/>
            </w:tcBorders>
          </w:tcPr>
          <w:p w14:paraId="2EC9932A" w14:textId="59FE5308" w:rsidR="00E31E4C" w:rsidRPr="006F1689"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Pr>
                <w:rFonts w:asciiTheme="minorHAnsi" w:hAnsiTheme="minorHAnsi" w:cs="Times New Roman"/>
                <w:lang w:eastAsia="en-IE"/>
              </w:rPr>
              <w:t>+6%</w:t>
            </w:r>
          </w:p>
        </w:tc>
        <w:tc>
          <w:tcPr>
            <w:tcW w:w="1276" w:type="dxa"/>
            <w:tcBorders>
              <w:top w:val="nil"/>
              <w:left w:val="nil"/>
              <w:bottom w:val="single" w:sz="4" w:space="0" w:color="auto"/>
              <w:right w:val="single" w:sz="4" w:space="0" w:color="auto"/>
            </w:tcBorders>
            <w:shd w:val="clear" w:color="auto" w:fill="auto"/>
          </w:tcPr>
          <w:p w14:paraId="0E0AD3D3" w14:textId="7BA2C76D" w:rsidR="00E31E4C" w:rsidRPr="006F1689" w:rsidRDefault="00E31E4C" w:rsidP="00E31E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F70880" w:rsidRPr="00443C47" w14:paraId="56A7E1D0" w14:textId="6A8E0292" w:rsidTr="00CE5CB2">
        <w:trPr>
          <w:trHeight w:val="93"/>
        </w:trPr>
        <w:tc>
          <w:tcPr>
            <w:tcW w:w="2977" w:type="dxa"/>
            <w:tcBorders>
              <w:top w:val="nil"/>
              <w:left w:val="single" w:sz="4" w:space="0" w:color="auto"/>
              <w:bottom w:val="nil"/>
              <w:right w:val="nil"/>
            </w:tcBorders>
          </w:tcPr>
          <w:p w14:paraId="0061AFDF" w14:textId="77777777" w:rsidR="00F70880" w:rsidRPr="004C7C0F"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C7C0F">
              <w:rPr>
                <w:rFonts w:asciiTheme="minorHAnsi" w:hAnsiTheme="minorHAnsi" w:cs="Times New Roman"/>
                <w:b/>
                <w:lang w:eastAsia="en-IE"/>
              </w:rPr>
              <w:t>Total revenue</w:t>
            </w:r>
          </w:p>
        </w:tc>
        <w:tc>
          <w:tcPr>
            <w:tcW w:w="992" w:type="dxa"/>
            <w:tcBorders>
              <w:top w:val="single" w:sz="4" w:space="0" w:color="auto"/>
              <w:left w:val="nil"/>
              <w:bottom w:val="nil"/>
            </w:tcBorders>
            <w:shd w:val="clear" w:color="auto" w:fill="auto"/>
          </w:tcPr>
          <w:p w14:paraId="3EA4A559" w14:textId="0542FCA7" w:rsidR="00F70880" w:rsidRPr="00D42709"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2,140</w:t>
            </w:r>
          </w:p>
        </w:tc>
        <w:tc>
          <w:tcPr>
            <w:tcW w:w="993" w:type="dxa"/>
            <w:tcBorders>
              <w:top w:val="single" w:sz="4" w:space="0" w:color="auto"/>
              <w:left w:val="nil"/>
              <w:bottom w:val="nil"/>
            </w:tcBorders>
          </w:tcPr>
          <w:p w14:paraId="6DA62EC9" w14:textId="596CD718" w:rsidR="00F70880" w:rsidRPr="00D42709"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2,140</w:t>
            </w:r>
          </w:p>
        </w:tc>
        <w:tc>
          <w:tcPr>
            <w:tcW w:w="992" w:type="dxa"/>
            <w:tcBorders>
              <w:top w:val="single" w:sz="4" w:space="0" w:color="auto"/>
              <w:left w:val="nil"/>
              <w:bottom w:val="nil"/>
              <w:right w:val="nil"/>
            </w:tcBorders>
            <w:shd w:val="clear" w:color="auto" w:fill="auto"/>
          </w:tcPr>
          <w:p w14:paraId="4D682F09" w14:textId="7FA4BAFB" w:rsidR="00F70880" w:rsidRPr="004C7C0F"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D42709">
              <w:rPr>
                <w:rFonts w:asciiTheme="minorHAnsi" w:hAnsiTheme="minorHAnsi" w:cs="Times New Roman"/>
                <w:b/>
                <w:lang w:eastAsia="en-IE"/>
              </w:rPr>
              <w:t>1,873</w:t>
            </w:r>
          </w:p>
        </w:tc>
        <w:tc>
          <w:tcPr>
            <w:tcW w:w="992" w:type="dxa"/>
            <w:tcBorders>
              <w:top w:val="single" w:sz="4" w:space="0" w:color="auto"/>
              <w:left w:val="nil"/>
              <w:bottom w:val="nil"/>
              <w:right w:val="nil"/>
            </w:tcBorders>
          </w:tcPr>
          <w:p w14:paraId="30E13D1E" w14:textId="785FBA79" w:rsidR="00F70880" w:rsidRPr="006F1689"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+14%</w:t>
            </w:r>
          </w:p>
        </w:tc>
        <w:tc>
          <w:tcPr>
            <w:tcW w:w="1276" w:type="dxa"/>
            <w:tcBorders>
              <w:top w:val="single" w:sz="4" w:space="0" w:color="auto"/>
              <w:left w:val="nil"/>
              <w:bottom w:val="nil"/>
              <w:right w:val="nil"/>
            </w:tcBorders>
          </w:tcPr>
          <w:p w14:paraId="01C1BE9B" w14:textId="0CC4438F" w:rsidR="00F70880" w:rsidRPr="006F1689"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+9%</w:t>
            </w:r>
          </w:p>
        </w:tc>
        <w:tc>
          <w:tcPr>
            <w:tcW w:w="1276" w:type="dxa"/>
            <w:tcBorders>
              <w:top w:val="single" w:sz="4" w:space="0" w:color="auto"/>
              <w:left w:val="nil"/>
              <w:bottom w:val="nil"/>
              <w:right w:val="single" w:sz="4" w:space="0" w:color="auto"/>
            </w:tcBorders>
            <w:shd w:val="clear" w:color="auto" w:fill="auto"/>
          </w:tcPr>
          <w:p w14:paraId="3159A1FB" w14:textId="6EAB8881" w:rsidR="00F70880" w:rsidRPr="00F70880" w:rsidRDefault="00980707"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highlight w:val="green"/>
                <w:lang w:eastAsia="en-IE"/>
              </w:rPr>
            </w:pPr>
            <w:r w:rsidRPr="00681121">
              <w:rPr>
                <w:rFonts w:asciiTheme="minorHAnsi" w:hAnsiTheme="minorHAnsi" w:cs="Times New Roman"/>
                <w:b/>
                <w:lang w:eastAsia="en-IE"/>
              </w:rPr>
              <w:t>+</w:t>
            </w:r>
            <w:r w:rsidR="000561F4" w:rsidRPr="00681121">
              <w:rPr>
                <w:rFonts w:asciiTheme="minorHAnsi" w:hAnsiTheme="minorHAnsi" w:cs="Times New Roman"/>
                <w:b/>
                <w:lang w:eastAsia="en-IE"/>
              </w:rPr>
              <w:t>1</w:t>
            </w:r>
            <w:r w:rsidR="000561F4">
              <w:rPr>
                <w:rFonts w:asciiTheme="minorHAnsi" w:hAnsiTheme="minorHAnsi" w:cs="Times New Roman"/>
                <w:b/>
                <w:lang w:eastAsia="en-IE"/>
              </w:rPr>
              <w:t>6</w:t>
            </w:r>
            <w:r w:rsidRPr="00681121">
              <w:rPr>
                <w:rFonts w:asciiTheme="minorHAnsi" w:hAnsiTheme="minorHAnsi" w:cs="Times New Roman"/>
                <w:b/>
                <w:lang w:eastAsia="en-IE"/>
              </w:rPr>
              <w:t>%</w:t>
            </w:r>
          </w:p>
        </w:tc>
      </w:tr>
      <w:tr w:rsidR="00F70880" w:rsidRPr="001F75A8" w14:paraId="7BBFD69B" w14:textId="210223A4" w:rsidTr="00CE5CB2">
        <w:trPr>
          <w:trHeight w:val="80"/>
        </w:trPr>
        <w:tc>
          <w:tcPr>
            <w:tcW w:w="2977" w:type="dxa"/>
            <w:tcBorders>
              <w:top w:val="nil"/>
              <w:left w:val="single" w:sz="4" w:space="0" w:color="auto"/>
              <w:bottom w:val="nil"/>
              <w:right w:val="nil"/>
            </w:tcBorders>
          </w:tcPr>
          <w:p w14:paraId="018EDB48" w14:textId="77777777" w:rsidR="00F70880" w:rsidRPr="00220D66"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992" w:type="dxa"/>
            <w:tcBorders>
              <w:top w:val="nil"/>
              <w:left w:val="nil"/>
              <w:bottom w:val="nil"/>
            </w:tcBorders>
            <w:shd w:val="clear" w:color="auto" w:fill="auto"/>
          </w:tcPr>
          <w:p w14:paraId="607F1027" w14:textId="77777777" w:rsidR="00F70880" w:rsidRPr="008D5F7B"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highlight w:val="yellow"/>
                <w:lang w:eastAsia="en-IE"/>
              </w:rPr>
            </w:pPr>
          </w:p>
        </w:tc>
        <w:tc>
          <w:tcPr>
            <w:tcW w:w="993" w:type="dxa"/>
            <w:tcBorders>
              <w:top w:val="nil"/>
              <w:left w:val="nil"/>
              <w:bottom w:val="nil"/>
            </w:tcBorders>
          </w:tcPr>
          <w:p w14:paraId="75F8696C" w14:textId="77777777" w:rsidR="00F70880" w:rsidRPr="00220D66"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992" w:type="dxa"/>
            <w:tcBorders>
              <w:top w:val="nil"/>
              <w:left w:val="nil"/>
              <w:bottom w:val="nil"/>
              <w:right w:val="nil"/>
            </w:tcBorders>
            <w:shd w:val="clear" w:color="auto" w:fill="auto"/>
          </w:tcPr>
          <w:p w14:paraId="059B8E73" w14:textId="1B5DBBC0" w:rsidR="00F70880" w:rsidRPr="00220D66"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992" w:type="dxa"/>
            <w:tcBorders>
              <w:top w:val="nil"/>
              <w:left w:val="nil"/>
              <w:bottom w:val="nil"/>
              <w:right w:val="nil"/>
            </w:tcBorders>
          </w:tcPr>
          <w:p w14:paraId="3BB48E65" w14:textId="77777777" w:rsidR="00F70880" w:rsidRPr="006C28DA"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highlight w:val="yellow"/>
                <w:lang w:eastAsia="en-IE"/>
              </w:rPr>
            </w:pPr>
          </w:p>
        </w:tc>
        <w:tc>
          <w:tcPr>
            <w:tcW w:w="1276" w:type="dxa"/>
            <w:tcBorders>
              <w:top w:val="nil"/>
              <w:left w:val="nil"/>
              <w:bottom w:val="nil"/>
              <w:right w:val="nil"/>
            </w:tcBorders>
          </w:tcPr>
          <w:p w14:paraId="77B6441B" w14:textId="77777777" w:rsidR="00F70880" w:rsidRPr="006C28DA"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highlight w:val="yellow"/>
                <w:lang w:eastAsia="en-IE"/>
              </w:rPr>
            </w:pPr>
          </w:p>
        </w:tc>
        <w:tc>
          <w:tcPr>
            <w:tcW w:w="1276" w:type="dxa"/>
            <w:tcBorders>
              <w:top w:val="nil"/>
              <w:left w:val="nil"/>
              <w:bottom w:val="nil"/>
              <w:right w:val="single" w:sz="4" w:space="0" w:color="auto"/>
            </w:tcBorders>
            <w:shd w:val="clear" w:color="auto" w:fill="auto"/>
          </w:tcPr>
          <w:p w14:paraId="3AFFA092" w14:textId="00B9EC98" w:rsidR="00F70880" w:rsidRPr="006C28DA"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highlight w:val="yellow"/>
                <w:lang w:eastAsia="en-IE"/>
              </w:rPr>
            </w:pPr>
          </w:p>
        </w:tc>
      </w:tr>
      <w:tr w:rsidR="00E877C8" w:rsidRPr="00443C47" w14:paraId="40A15327" w14:textId="1D547D7E" w:rsidTr="002D5494">
        <w:trPr>
          <w:trHeight w:val="70"/>
        </w:trPr>
        <w:tc>
          <w:tcPr>
            <w:tcW w:w="2977" w:type="dxa"/>
            <w:tcBorders>
              <w:top w:val="nil"/>
              <w:left w:val="single" w:sz="4" w:space="0" w:color="auto"/>
              <w:bottom w:val="nil"/>
              <w:right w:val="nil"/>
            </w:tcBorders>
          </w:tcPr>
          <w:p w14:paraId="0998E2C9" w14:textId="77777777" w:rsidR="00F70880" w:rsidRPr="00220D66"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Cost of sales</w:t>
            </w:r>
          </w:p>
        </w:tc>
        <w:tc>
          <w:tcPr>
            <w:tcW w:w="992" w:type="dxa"/>
            <w:tcBorders>
              <w:top w:val="nil"/>
              <w:left w:val="nil"/>
            </w:tcBorders>
            <w:shd w:val="clear" w:color="auto" w:fill="auto"/>
          </w:tcPr>
          <w:p w14:paraId="4940F0D7" w14:textId="21CC57F6" w:rsidR="00F70880" w:rsidRPr="008D5F7B"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highlight w:val="yellow"/>
                <w:lang w:eastAsia="en-IE"/>
              </w:rPr>
            </w:pPr>
            <w:r>
              <w:rPr>
                <w:rFonts w:asciiTheme="minorHAnsi" w:hAnsiTheme="minorHAnsi" w:cs="Times New Roman"/>
                <w:lang w:eastAsia="en-IE"/>
              </w:rPr>
              <w:t>(</w:t>
            </w:r>
            <w:r w:rsidRPr="0052199D">
              <w:rPr>
                <w:rFonts w:asciiTheme="minorHAnsi" w:hAnsiTheme="minorHAnsi" w:cs="Times New Roman"/>
                <w:lang w:eastAsia="en-IE"/>
              </w:rPr>
              <w:t>65</w:t>
            </w:r>
            <w:r w:rsidR="00860946">
              <w:rPr>
                <w:rFonts w:asciiTheme="minorHAnsi" w:hAnsiTheme="minorHAnsi" w:cs="Times New Roman"/>
                <w:lang w:eastAsia="en-IE"/>
              </w:rPr>
              <w:t>0</w:t>
            </w:r>
            <w:r>
              <w:rPr>
                <w:rFonts w:asciiTheme="minorHAnsi" w:hAnsiTheme="minorHAnsi" w:cs="Times New Roman"/>
                <w:lang w:eastAsia="en-IE"/>
              </w:rPr>
              <w:t>)</w:t>
            </w:r>
          </w:p>
        </w:tc>
        <w:tc>
          <w:tcPr>
            <w:tcW w:w="993" w:type="dxa"/>
            <w:tcBorders>
              <w:top w:val="nil"/>
              <w:left w:val="nil"/>
            </w:tcBorders>
          </w:tcPr>
          <w:p w14:paraId="247DD2D1" w14:textId="37574758" w:rsidR="00F70880" w:rsidRPr="00B34C87"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w:t>
            </w:r>
            <w:r w:rsidRPr="0052199D">
              <w:rPr>
                <w:rFonts w:asciiTheme="minorHAnsi" w:hAnsiTheme="minorHAnsi" w:cs="Times New Roman"/>
                <w:lang w:eastAsia="en-IE"/>
              </w:rPr>
              <w:t>65</w:t>
            </w:r>
            <w:r w:rsidR="00860946">
              <w:rPr>
                <w:rFonts w:asciiTheme="minorHAnsi" w:hAnsiTheme="minorHAnsi" w:cs="Times New Roman"/>
                <w:lang w:eastAsia="en-IE"/>
              </w:rPr>
              <w:t>0</w:t>
            </w:r>
            <w:r>
              <w:rPr>
                <w:rFonts w:asciiTheme="minorHAnsi" w:hAnsiTheme="minorHAnsi" w:cs="Times New Roman"/>
                <w:lang w:eastAsia="en-IE"/>
              </w:rPr>
              <w:t>)</w:t>
            </w:r>
          </w:p>
        </w:tc>
        <w:tc>
          <w:tcPr>
            <w:tcW w:w="992" w:type="dxa"/>
            <w:tcBorders>
              <w:top w:val="nil"/>
              <w:left w:val="nil"/>
              <w:right w:val="nil"/>
            </w:tcBorders>
            <w:shd w:val="clear" w:color="auto" w:fill="auto"/>
          </w:tcPr>
          <w:p w14:paraId="5B644E4E" w14:textId="55F148AC" w:rsidR="00F70880"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B34C87">
              <w:rPr>
                <w:rFonts w:asciiTheme="minorHAnsi" w:hAnsiTheme="minorHAnsi" w:cs="Times New Roman"/>
                <w:lang w:eastAsia="en-IE"/>
              </w:rPr>
              <w:t>(470)</w:t>
            </w:r>
          </w:p>
        </w:tc>
        <w:tc>
          <w:tcPr>
            <w:tcW w:w="992" w:type="dxa"/>
            <w:tcBorders>
              <w:top w:val="nil"/>
              <w:left w:val="nil"/>
              <w:right w:val="nil"/>
            </w:tcBorders>
          </w:tcPr>
          <w:p w14:paraId="321CFD40" w14:textId="2A58BFAE" w:rsidR="00F70880" w:rsidRPr="006C28DA"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highlight w:val="yellow"/>
                <w:lang w:eastAsia="en-IE"/>
              </w:rPr>
            </w:pPr>
            <w:r w:rsidRPr="002C201B">
              <w:rPr>
                <w:rFonts w:asciiTheme="minorHAnsi" w:hAnsiTheme="minorHAnsi" w:cs="Times New Roman"/>
                <w:lang w:eastAsia="en-IE"/>
              </w:rPr>
              <w:t>+3</w:t>
            </w:r>
            <w:r w:rsidR="00860946">
              <w:rPr>
                <w:rFonts w:asciiTheme="minorHAnsi" w:hAnsiTheme="minorHAnsi" w:cs="Times New Roman"/>
                <w:lang w:eastAsia="en-IE"/>
              </w:rPr>
              <w:t>8</w:t>
            </w:r>
            <w:r w:rsidRPr="002C201B">
              <w:rPr>
                <w:rFonts w:asciiTheme="minorHAnsi" w:hAnsiTheme="minorHAnsi" w:cs="Times New Roman"/>
                <w:lang w:eastAsia="en-IE"/>
              </w:rPr>
              <w:t>%</w:t>
            </w:r>
          </w:p>
        </w:tc>
        <w:tc>
          <w:tcPr>
            <w:tcW w:w="1276" w:type="dxa"/>
            <w:tcBorders>
              <w:top w:val="nil"/>
              <w:left w:val="nil"/>
              <w:right w:val="nil"/>
            </w:tcBorders>
          </w:tcPr>
          <w:p w14:paraId="41C331F6" w14:textId="29BE3F58" w:rsidR="00F70880" w:rsidRPr="006C28DA"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highlight w:val="yellow"/>
                <w:lang w:eastAsia="en-IE"/>
              </w:rPr>
            </w:pPr>
            <w:r>
              <w:rPr>
                <w:rFonts w:asciiTheme="minorHAnsi" w:hAnsiTheme="minorHAnsi" w:cs="Times New Roman"/>
                <w:lang w:eastAsia="en-IE"/>
              </w:rPr>
              <w:t>+3</w:t>
            </w:r>
            <w:r w:rsidR="00860946">
              <w:rPr>
                <w:rFonts w:asciiTheme="minorHAnsi" w:hAnsiTheme="minorHAnsi" w:cs="Times New Roman"/>
                <w:lang w:eastAsia="en-IE"/>
              </w:rPr>
              <w:t>2</w:t>
            </w:r>
            <w:r>
              <w:rPr>
                <w:rFonts w:asciiTheme="minorHAnsi" w:hAnsiTheme="minorHAnsi" w:cs="Times New Roman"/>
                <w:lang w:eastAsia="en-IE"/>
              </w:rPr>
              <w:t>%</w:t>
            </w:r>
          </w:p>
        </w:tc>
        <w:tc>
          <w:tcPr>
            <w:tcW w:w="1276" w:type="dxa"/>
            <w:tcBorders>
              <w:top w:val="nil"/>
              <w:left w:val="nil"/>
              <w:right w:val="single" w:sz="4" w:space="0" w:color="auto"/>
            </w:tcBorders>
            <w:shd w:val="clear" w:color="auto" w:fill="auto"/>
          </w:tcPr>
          <w:p w14:paraId="454D46C8" w14:textId="265FBC30" w:rsidR="00F70880" w:rsidRPr="006C28DA" w:rsidRDefault="00F70880" w:rsidP="00F7088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highlight w:val="yellow"/>
                <w:lang w:eastAsia="en-IE"/>
              </w:rPr>
            </w:pPr>
          </w:p>
        </w:tc>
      </w:tr>
      <w:tr w:rsidR="001949A2" w:rsidRPr="00443C47" w14:paraId="1FB8A6D4" w14:textId="77777777" w:rsidTr="002D5494">
        <w:trPr>
          <w:trHeight w:val="70"/>
        </w:trPr>
        <w:tc>
          <w:tcPr>
            <w:tcW w:w="2977" w:type="dxa"/>
            <w:tcBorders>
              <w:top w:val="nil"/>
              <w:left w:val="single" w:sz="4" w:space="0" w:color="auto"/>
              <w:bottom w:val="nil"/>
              <w:right w:val="nil"/>
            </w:tcBorders>
          </w:tcPr>
          <w:p w14:paraId="7A8A56B9" w14:textId="76310302" w:rsidR="001949A2" w:rsidRDefault="00AA396A"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i/>
                <w:sz w:val="18"/>
                <w:szCs w:val="18"/>
                <w:lang w:eastAsia="en-IE"/>
              </w:rPr>
              <w:t>Cost of sales as a % of net revenue</w:t>
            </w:r>
            <w:r w:rsidR="001949A2" w:rsidRPr="003648BE">
              <w:rPr>
                <w:rFonts w:asciiTheme="minorHAnsi" w:hAnsiTheme="minorHAnsi" w:cs="Times New Roman"/>
                <w:i/>
                <w:sz w:val="18"/>
                <w:szCs w:val="18"/>
                <w:lang w:eastAsia="en-IE"/>
              </w:rPr>
              <w:t xml:space="preserve"> </w:t>
            </w:r>
          </w:p>
        </w:tc>
        <w:tc>
          <w:tcPr>
            <w:tcW w:w="992" w:type="dxa"/>
            <w:tcBorders>
              <w:top w:val="nil"/>
              <w:left w:val="nil"/>
            </w:tcBorders>
            <w:shd w:val="clear" w:color="auto" w:fill="auto"/>
          </w:tcPr>
          <w:p w14:paraId="282DE906" w14:textId="30EB429E" w:rsidR="001949A2" w:rsidRDefault="00AA396A"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i/>
                <w:sz w:val="18"/>
                <w:szCs w:val="18"/>
                <w:lang w:eastAsia="en-IE"/>
              </w:rPr>
              <w:t>30.4</w:t>
            </w:r>
            <w:r w:rsidR="001949A2">
              <w:rPr>
                <w:rFonts w:asciiTheme="minorHAnsi" w:hAnsiTheme="minorHAnsi" w:cs="Times New Roman"/>
                <w:i/>
                <w:sz w:val="18"/>
                <w:szCs w:val="18"/>
                <w:lang w:eastAsia="en-IE"/>
              </w:rPr>
              <w:t>%</w:t>
            </w:r>
          </w:p>
        </w:tc>
        <w:tc>
          <w:tcPr>
            <w:tcW w:w="993" w:type="dxa"/>
            <w:tcBorders>
              <w:top w:val="nil"/>
              <w:left w:val="nil"/>
            </w:tcBorders>
          </w:tcPr>
          <w:p w14:paraId="045161BA" w14:textId="79FB5746" w:rsidR="001949A2" w:rsidRDefault="00AA396A"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i/>
                <w:sz w:val="18"/>
                <w:szCs w:val="18"/>
                <w:lang w:eastAsia="en-IE"/>
              </w:rPr>
              <w:t>30.4</w:t>
            </w:r>
            <w:r w:rsidR="001949A2" w:rsidRPr="00CE5CB2">
              <w:rPr>
                <w:rFonts w:asciiTheme="minorHAnsi" w:hAnsiTheme="minorHAnsi" w:cs="Times New Roman"/>
                <w:i/>
                <w:sz w:val="18"/>
                <w:szCs w:val="18"/>
                <w:lang w:eastAsia="en-IE"/>
              </w:rPr>
              <w:t>%</w:t>
            </w:r>
          </w:p>
        </w:tc>
        <w:tc>
          <w:tcPr>
            <w:tcW w:w="992" w:type="dxa"/>
            <w:tcBorders>
              <w:top w:val="nil"/>
              <w:left w:val="nil"/>
              <w:right w:val="nil"/>
            </w:tcBorders>
            <w:shd w:val="clear" w:color="auto" w:fill="auto"/>
          </w:tcPr>
          <w:p w14:paraId="411EC82E" w14:textId="03DEF8C8" w:rsidR="001949A2" w:rsidRPr="00B34C87" w:rsidRDefault="00AA396A"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i/>
                <w:sz w:val="18"/>
                <w:szCs w:val="18"/>
                <w:lang w:eastAsia="en-IE"/>
              </w:rPr>
              <w:t>25.1</w:t>
            </w:r>
            <w:r w:rsidR="001949A2" w:rsidRPr="00CE5CB2">
              <w:rPr>
                <w:rFonts w:asciiTheme="minorHAnsi" w:hAnsiTheme="minorHAnsi" w:cs="Times New Roman"/>
                <w:i/>
                <w:sz w:val="18"/>
                <w:szCs w:val="18"/>
                <w:lang w:eastAsia="en-IE"/>
              </w:rPr>
              <w:t>%</w:t>
            </w:r>
          </w:p>
        </w:tc>
        <w:tc>
          <w:tcPr>
            <w:tcW w:w="992" w:type="dxa"/>
            <w:tcBorders>
              <w:top w:val="nil"/>
              <w:left w:val="nil"/>
              <w:right w:val="nil"/>
            </w:tcBorders>
          </w:tcPr>
          <w:p w14:paraId="54F25B9C" w14:textId="3CB8F18D" w:rsidR="001949A2" w:rsidRPr="002C201B" w:rsidRDefault="00AA396A"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i/>
                <w:sz w:val="18"/>
                <w:szCs w:val="18"/>
                <w:lang w:eastAsia="en-IE"/>
              </w:rPr>
              <w:t>+530</w:t>
            </w:r>
            <w:r w:rsidR="001949A2" w:rsidRPr="00CE5CB2">
              <w:rPr>
                <w:rFonts w:asciiTheme="minorHAnsi" w:hAnsiTheme="minorHAnsi" w:cs="Times New Roman"/>
                <w:i/>
                <w:sz w:val="18"/>
                <w:szCs w:val="18"/>
                <w:lang w:eastAsia="en-IE"/>
              </w:rPr>
              <w:t>bps</w:t>
            </w:r>
          </w:p>
        </w:tc>
        <w:tc>
          <w:tcPr>
            <w:tcW w:w="1276" w:type="dxa"/>
            <w:tcBorders>
              <w:top w:val="nil"/>
              <w:left w:val="nil"/>
              <w:right w:val="nil"/>
            </w:tcBorders>
          </w:tcPr>
          <w:p w14:paraId="70B153C6" w14:textId="67D3A049" w:rsidR="001949A2" w:rsidRDefault="00AA396A"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i/>
                <w:sz w:val="18"/>
                <w:szCs w:val="18"/>
                <w:lang w:eastAsia="en-IE"/>
              </w:rPr>
              <w:t>+</w:t>
            </w:r>
            <w:r w:rsidR="001949A2">
              <w:rPr>
                <w:rFonts w:asciiTheme="minorHAnsi" w:hAnsiTheme="minorHAnsi" w:cs="Times New Roman"/>
                <w:i/>
                <w:sz w:val="18"/>
                <w:szCs w:val="18"/>
                <w:lang w:eastAsia="en-IE"/>
              </w:rPr>
              <w:t>5</w:t>
            </w:r>
            <w:r>
              <w:rPr>
                <w:rFonts w:asciiTheme="minorHAnsi" w:hAnsiTheme="minorHAnsi" w:cs="Times New Roman"/>
                <w:i/>
                <w:sz w:val="18"/>
                <w:szCs w:val="18"/>
                <w:lang w:eastAsia="en-IE"/>
              </w:rPr>
              <w:t>40</w:t>
            </w:r>
            <w:r w:rsidR="001949A2">
              <w:rPr>
                <w:rFonts w:asciiTheme="minorHAnsi" w:hAnsiTheme="minorHAnsi" w:cs="Times New Roman"/>
                <w:i/>
                <w:sz w:val="18"/>
                <w:szCs w:val="18"/>
                <w:lang w:eastAsia="en-IE"/>
              </w:rPr>
              <w:t>bps</w:t>
            </w:r>
          </w:p>
        </w:tc>
        <w:tc>
          <w:tcPr>
            <w:tcW w:w="1276" w:type="dxa"/>
            <w:tcBorders>
              <w:top w:val="nil"/>
              <w:left w:val="nil"/>
              <w:right w:val="single" w:sz="4" w:space="0" w:color="auto"/>
            </w:tcBorders>
            <w:shd w:val="clear" w:color="auto" w:fill="auto"/>
          </w:tcPr>
          <w:p w14:paraId="5DE7C68B" w14:textId="77777777"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highlight w:val="yellow"/>
                <w:lang w:eastAsia="en-IE"/>
              </w:rPr>
            </w:pPr>
          </w:p>
        </w:tc>
      </w:tr>
      <w:tr w:rsidR="00E877C8" w:rsidRPr="00443C47" w14:paraId="061D2AE2" w14:textId="5032D016" w:rsidTr="002D5494">
        <w:trPr>
          <w:trHeight w:val="70"/>
        </w:trPr>
        <w:tc>
          <w:tcPr>
            <w:tcW w:w="2977" w:type="dxa"/>
            <w:tcBorders>
              <w:top w:val="nil"/>
              <w:left w:val="single" w:sz="4" w:space="0" w:color="auto"/>
              <w:bottom w:val="nil"/>
              <w:right w:val="nil"/>
            </w:tcBorders>
          </w:tcPr>
          <w:p w14:paraId="07FFD99C" w14:textId="77777777" w:rsidR="001949A2" w:rsidRPr="00E40E55"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992" w:type="dxa"/>
            <w:tcBorders>
              <w:left w:val="nil"/>
              <w:bottom w:val="nil"/>
            </w:tcBorders>
            <w:shd w:val="clear" w:color="auto" w:fill="auto"/>
          </w:tcPr>
          <w:p w14:paraId="7D4BF25C" w14:textId="77777777" w:rsidR="001949A2" w:rsidRPr="008D5F7B"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highlight w:val="yellow"/>
                <w:lang w:eastAsia="en-IE"/>
              </w:rPr>
            </w:pPr>
          </w:p>
        </w:tc>
        <w:tc>
          <w:tcPr>
            <w:tcW w:w="993" w:type="dxa"/>
            <w:tcBorders>
              <w:left w:val="nil"/>
              <w:bottom w:val="nil"/>
            </w:tcBorders>
          </w:tcPr>
          <w:p w14:paraId="3CEB05BC" w14:textId="77777777" w:rsidR="001949A2" w:rsidRPr="00E40E55"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2" w:type="dxa"/>
            <w:tcBorders>
              <w:left w:val="nil"/>
              <w:bottom w:val="nil"/>
              <w:right w:val="nil"/>
            </w:tcBorders>
            <w:shd w:val="clear" w:color="auto" w:fill="auto"/>
          </w:tcPr>
          <w:p w14:paraId="659DB891" w14:textId="0A0D57B9" w:rsidR="001949A2" w:rsidRPr="00E40E55"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2" w:type="dxa"/>
            <w:tcBorders>
              <w:left w:val="nil"/>
              <w:bottom w:val="nil"/>
              <w:right w:val="nil"/>
            </w:tcBorders>
          </w:tcPr>
          <w:p w14:paraId="6EBE8A55" w14:textId="77777777"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highlight w:val="yellow"/>
                <w:lang w:eastAsia="en-IE"/>
              </w:rPr>
            </w:pPr>
          </w:p>
        </w:tc>
        <w:tc>
          <w:tcPr>
            <w:tcW w:w="1276" w:type="dxa"/>
            <w:tcBorders>
              <w:left w:val="nil"/>
              <w:bottom w:val="nil"/>
              <w:right w:val="nil"/>
            </w:tcBorders>
          </w:tcPr>
          <w:p w14:paraId="2BA28112" w14:textId="77777777"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highlight w:val="yellow"/>
                <w:lang w:eastAsia="en-IE"/>
              </w:rPr>
            </w:pPr>
          </w:p>
        </w:tc>
        <w:tc>
          <w:tcPr>
            <w:tcW w:w="1276" w:type="dxa"/>
            <w:tcBorders>
              <w:left w:val="nil"/>
              <w:bottom w:val="nil"/>
              <w:right w:val="single" w:sz="4" w:space="0" w:color="auto"/>
            </w:tcBorders>
            <w:shd w:val="clear" w:color="auto" w:fill="auto"/>
          </w:tcPr>
          <w:p w14:paraId="5B69D4FF" w14:textId="786090DE"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highlight w:val="yellow"/>
                <w:lang w:eastAsia="en-IE"/>
              </w:rPr>
            </w:pPr>
          </w:p>
        </w:tc>
      </w:tr>
      <w:tr w:rsidR="001949A2" w:rsidRPr="00443C47" w14:paraId="45F3796C" w14:textId="00BB6108" w:rsidTr="00CE5CB2">
        <w:trPr>
          <w:trHeight w:val="70"/>
        </w:trPr>
        <w:tc>
          <w:tcPr>
            <w:tcW w:w="2977" w:type="dxa"/>
            <w:tcBorders>
              <w:top w:val="nil"/>
              <w:left w:val="single" w:sz="4" w:space="0" w:color="auto"/>
              <w:bottom w:val="nil"/>
              <w:right w:val="nil"/>
            </w:tcBorders>
          </w:tcPr>
          <w:p w14:paraId="2802D753" w14:textId="77777777" w:rsidR="001949A2" w:rsidRPr="004C7C0F"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C7C0F">
              <w:rPr>
                <w:rFonts w:asciiTheme="minorHAnsi" w:hAnsiTheme="minorHAnsi" w:cs="Times New Roman"/>
                <w:b/>
                <w:lang w:eastAsia="en-IE"/>
              </w:rPr>
              <w:t>Gross profit</w:t>
            </w:r>
          </w:p>
        </w:tc>
        <w:tc>
          <w:tcPr>
            <w:tcW w:w="992" w:type="dxa"/>
            <w:tcBorders>
              <w:top w:val="nil"/>
              <w:left w:val="nil"/>
              <w:bottom w:val="nil"/>
            </w:tcBorders>
            <w:shd w:val="clear" w:color="auto" w:fill="auto"/>
          </w:tcPr>
          <w:p w14:paraId="100B5FF9" w14:textId="0290D13D" w:rsidR="001949A2" w:rsidRPr="008D5F7B"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highlight w:val="yellow"/>
                <w:lang w:eastAsia="en-IE"/>
              </w:rPr>
            </w:pPr>
            <w:r w:rsidRPr="0052199D">
              <w:rPr>
                <w:rFonts w:asciiTheme="minorHAnsi" w:hAnsiTheme="minorHAnsi" w:cs="Times New Roman"/>
                <w:b/>
                <w:lang w:eastAsia="en-IE"/>
              </w:rPr>
              <w:t>1,4</w:t>
            </w:r>
            <w:r>
              <w:rPr>
                <w:rFonts w:asciiTheme="minorHAnsi" w:hAnsiTheme="minorHAnsi" w:cs="Times New Roman"/>
                <w:b/>
                <w:lang w:eastAsia="en-IE"/>
              </w:rPr>
              <w:t>90</w:t>
            </w:r>
          </w:p>
        </w:tc>
        <w:tc>
          <w:tcPr>
            <w:tcW w:w="993" w:type="dxa"/>
            <w:tcBorders>
              <w:top w:val="nil"/>
              <w:left w:val="nil"/>
              <w:bottom w:val="nil"/>
            </w:tcBorders>
          </w:tcPr>
          <w:p w14:paraId="2274071F" w14:textId="08B7C277" w:rsidR="001949A2" w:rsidRPr="006F1689"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52199D">
              <w:rPr>
                <w:rFonts w:asciiTheme="minorHAnsi" w:hAnsiTheme="minorHAnsi" w:cs="Times New Roman"/>
                <w:b/>
                <w:lang w:eastAsia="en-IE"/>
              </w:rPr>
              <w:t>1,4</w:t>
            </w:r>
            <w:r>
              <w:rPr>
                <w:rFonts w:asciiTheme="minorHAnsi" w:hAnsiTheme="minorHAnsi" w:cs="Times New Roman"/>
                <w:b/>
                <w:lang w:eastAsia="en-IE"/>
              </w:rPr>
              <w:t>90</w:t>
            </w:r>
          </w:p>
        </w:tc>
        <w:tc>
          <w:tcPr>
            <w:tcW w:w="992" w:type="dxa"/>
            <w:tcBorders>
              <w:top w:val="nil"/>
              <w:left w:val="nil"/>
              <w:bottom w:val="nil"/>
              <w:right w:val="nil"/>
            </w:tcBorders>
            <w:shd w:val="clear" w:color="auto" w:fill="auto"/>
          </w:tcPr>
          <w:p w14:paraId="1F6D9E9D" w14:textId="1F47D99C" w:rsidR="001949A2" w:rsidRPr="004C7C0F"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6F1689">
              <w:rPr>
                <w:rFonts w:asciiTheme="minorHAnsi" w:hAnsiTheme="minorHAnsi" w:cs="Times New Roman"/>
                <w:b/>
                <w:lang w:eastAsia="en-IE"/>
              </w:rPr>
              <w:t>1,403</w:t>
            </w:r>
          </w:p>
        </w:tc>
        <w:tc>
          <w:tcPr>
            <w:tcW w:w="992" w:type="dxa"/>
            <w:tcBorders>
              <w:top w:val="nil"/>
              <w:left w:val="nil"/>
              <w:bottom w:val="nil"/>
              <w:right w:val="nil"/>
            </w:tcBorders>
          </w:tcPr>
          <w:p w14:paraId="4B6AA7A1" w14:textId="0A2897CD" w:rsidR="001949A2" w:rsidRPr="006F1689"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+6%</w:t>
            </w:r>
          </w:p>
        </w:tc>
        <w:tc>
          <w:tcPr>
            <w:tcW w:w="1276" w:type="dxa"/>
            <w:tcBorders>
              <w:top w:val="nil"/>
              <w:left w:val="nil"/>
              <w:bottom w:val="nil"/>
              <w:right w:val="nil"/>
            </w:tcBorders>
          </w:tcPr>
          <w:p w14:paraId="386C0AC6" w14:textId="709F77C4" w:rsidR="001949A2" w:rsidRPr="006F1689"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w:t>
            </w:r>
          </w:p>
        </w:tc>
        <w:tc>
          <w:tcPr>
            <w:tcW w:w="1276" w:type="dxa"/>
            <w:tcBorders>
              <w:top w:val="nil"/>
              <w:left w:val="nil"/>
              <w:bottom w:val="nil"/>
              <w:right w:val="single" w:sz="4" w:space="0" w:color="auto"/>
            </w:tcBorders>
            <w:shd w:val="clear" w:color="auto" w:fill="auto"/>
          </w:tcPr>
          <w:p w14:paraId="01EB9659" w14:textId="143E6316" w:rsidR="001949A2" w:rsidRPr="006F1689"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p>
        </w:tc>
      </w:tr>
      <w:tr w:rsidR="001949A2" w:rsidRPr="00E40E55" w14:paraId="327BC170" w14:textId="415CF076" w:rsidTr="00CE5CB2">
        <w:trPr>
          <w:trHeight w:val="70"/>
        </w:trPr>
        <w:tc>
          <w:tcPr>
            <w:tcW w:w="2977" w:type="dxa"/>
            <w:tcBorders>
              <w:top w:val="nil"/>
              <w:left w:val="single" w:sz="4" w:space="0" w:color="auto"/>
              <w:bottom w:val="nil"/>
              <w:right w:val="nil"/>
            </w:tcBorders>
          </w:tcPr>
          <w:p w14:paraId="02F6EBD9" w14:textId="77777777" w:rsidR="001949A2" w:rsidRPr="00E40E55"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992" w:type="dxa"/>
            <w:tcBorders>
              <w:top w:val="nil"/>
              <w:left w:val="nil"/>
              <w:bottom w:val="nil"/>
            </w:tcBorders>
            <w:shd w:val="clear" w:color="auto" w:fill="auto"/>
          </w:tcPr>
          <w:p w14:paraId="55C290DD" w14:textId="77777777" w:rsidR="001949A2" w:rsidRPr="008D5F7B"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highlight w:val="yellow"/>
                <w:lang w:eastAsia="en-IE"/>
              </w:rPr>
            </w:pPr>
          </w:p>
        </w:tc>
        <w:tc>
          <w:tcPr>
            <w:tcW w:w="993" w:type="dxa"/>
            <w:tcBorders>
              <w:top w:val="nil"/>
              <w:left w:val="nil"/>
              <w:bottom w:val="nil"/>
            </w:tcBorders>
          </w:tcPr>
          <w:p w14:paraId="06D47453" w14:textId="77777777" w:rsidR="001949A2" w:rsidRPr="00E40E55"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2" w:type="dxa"/>
            <w:tcBorders>
              <w:top w:val="nil"/>
              <w:left w:val="nil"/>
              <w:bottom w:val="nil"/>
              <w:right w:val="nil"/>
            </w:tcBorders>
            <w:shd w:val="clear" w:color="auto" w:fill="auto"/>
          </w:tcPr>
          <w:p w14:paraId="243C4E7F" w14:textId="2A25CA73" w:rsidR="001949A2" w:rsidRPr="00E40E55"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2" w:type="dxa"/>
            <w:tcBorders>
              <w:top w:val="nil"/>
              <w:left w:val="nil"/>
              <w:bottom w:val="nil"/>
              <w:right w:val="nil"/>
            </w:tcBorders>
          </w:tcPr>
          <w:p w14:paraId="389C314F" w14:textId="77777777"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highlight w:val="yellow"/>
                <w:lang w:eastAsia="en-IE"/>
              </w:rPr>
            </w:pPr>
          </w:p>
        </w:tc>
        <w:tc>
          <w:tcPr>
            <w:tcW w:w="1276" w:type="dxa"/>
            <w:tcBorders>
              <w:top w:val="nil"/>
              <w:left w:val="nil"/>
              <w:bottom w:val="nil"/>
              <w:right w:val="nil"/>
            </w:tcBorders>
          </w:tcPr>
          <w:p w14:paraId="6FE6CBA9" w14:textId="77777777"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highlight w:val="yellow"/>
                <w:lang w:eastAsia="en-IE"/>
              </w:rPr>
            </w:pPr>
          </w:p>
        </w:tc>
        <w:tc>
          <w:tcPr>
            <w:tcW w:w="1276" w:type="dxa"/>
            <w:tcBorders>
              <w:top w:val="nil"/>
              <w:left w:val="nil"/>
              <w:bottom w:val="nil"/>
              <w:right w:val="single" w:sz="4" w:space="0" w:color="auto"/>
            </w:tcBorders>
            <w:shd w:val="clear" w:color="auto" w:fill="auto"/>
          </w:tcPr>
          <w:p w14:paraId="6CDB41E4" w14:textId="0B87B2E6"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highlight w:val="yellow"/>
                <w:lang w:eastAsia="en-IE"/>
              </w:rPr>
            </w:pPr>
          </w:p>
        </w:tc>
      </w:tr>
      <w:tr w:rsidR="001949A2" w:rsidRPr="00E40E55" w14:paraId="2A835CFC" w14:textId="799B2BD3" w:rsidTr="00CE5CB2">
        <w:trPr>
          <w:trHeight w:val="70"/>
        </w:trPr>
        <w:tc>
          <w:tcPr>
            <w:tcW w:w="2977" w:type="dxa"/>
            <w:tcBorders>
              <w:top w:val="nil"/>
              <w:left w:val="single" w:sz="4" w:space="0" w:color="auto"/>
              <w:bottom w:val="nil"/>
              <w:right w:val="nil"/>
            </w:tcBorders>
          </w:tcPr>
          <w:p w14:paraId="50B8B808" w14:textId="77777777" w:rsidR="001949A2" w:rsidRPr="00E40E55"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Sales and marketing</w:t>
            </w:r>
          </w:p>
        </w:tc>
        <w:tc>
          <w:tcPr>
            <w:tcW w:w="992" w:type="dxa"/>
            <w:tcBorders>
              <w:top w:val="nil"/>
              <w:left w:val="nil"/>
              <w:bottom w:val="nil"/>
            </w:tcBorders>
            <w:shd w:val="clear" w:color="auto" w:fill="auto"/>
          </w:tcPr>
          <w:p w14:paraId="5978FCA5" w14:textId="5E341FD4"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(46</w:t>
            </w:r>
            <w:r>
              <w:rPr>
                <w:rFonts w:asciiTheme="minorHAnsi" w:hAnsiTheme="minorHAnsi" w:cs="Times New Roman"/>
                <w:lang w:eastAsia="en-IE"/>
              </w:rPr>
              <w:t>5</w:t>
            </w:r>
            <w:r w:rsidRPr="00CE5CB2">
              <w:rPr>
                <w:rFonts w:asciiTheme="minorHAnsi" w:hAnsiTheme="minorHAnsi" w:cs="Times New Roman"/>
                <w:lang w:eastAsia="en-IE"/>
              </w:rPr>
              <w:t>)</w:t>
            </w:r>
          </w:p>
        </w:tc>
        <w:tc>
          <w:tcPr>
            <w:tcW w:w="993" w:type="dxa"/>
            <w:tcBorders>
              <w:top w:val="nil"/>
              <w:left w:val="nil"/>
              <w:bottom w:val="nil"/>
            </w:tcBorders>
          </w:tcPr>
          <w:p w14:paraId="6FBDEABD" w14:textId="10B5E049"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(46</w:t>
            </w:r>
            <w:r>
              <w:rPr>
                <w:rFonts w:asciiTheme="minorHAnsi" w:hAnsiTheme="minorHAnsi" w:cs="Times New Roman"/>
                <w:lang w:eastAsia="en-IE"/>
              </w:rPr>
              <w:t>5</w:t>
            </w:r>
            <w:r w:rsidRPr="00CE5CB2">
              <w:rPr>
                <w:rFonts w:asciiTheme="minorHAnsi" w:hAnsiTheme="minorHAnsi" w:cs="Times New Roman"/>
                <w:lang w:eastAsia="en-IE"/>
              </w:rPr>
              <w:t>)</w:t>
            </w:r>
          </w:p>
        </w:tc>
        <w:tc>
          <w:tcPr>
            <w:tcW w:w="992" w:type="dxa"/>
            <w:tcBorders>
              <w:top w:val="nil"/>
              <w:left w:val="nil"/>
              <w:bottom w:val="nil"/>
              <w:right w:val="nil"/>
            </w:tcBorders>
            <w:shd w:val="clear" w:color="auto" w:fill="auto"/>
          </w:tcPr>
          <w:p w14:paraId="11813BCF" w14:textId="1F7F3FC3"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(406)</w:t>
            </w:r>
          </w:p>
        </w:tc>
        <w:tc>
          <w:tcPr>
            <w:tcW w:w="992" w:type="dxa"/>
            <w:tcBorders>
              <w:top w:val="nil"/>
              <w:left w:val="nil"/>
              <w:bottom w:val="nil"/>
              <w:right w:val="nil"/>
            </w:tcBorders>
          </w:tcPr>
          <w:p w14:paraId="25E01CF6" w14:textId="051616C2"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+15%</w:t>
            </w:r>
          </w:p>
        </w:tc>
        <w:tc>
          <w:tcPr>
            <w:tcW w:w="1276" w:type="dxa"/>
            <w:tcBorders>
              <w:top w:val="nil"/>
              <w:left w:val="nil"/>
              <w:bottom w:val="nil"/>
              <w:right w:val="nil"/>
            </w:tcBorders>
          </w:tcPr>
          <w:p w14:paraId="5DEF03E5" w14:textId="2C6A02F3"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+7%</w:t>
            </w:r>
          </w:p>
        </w:tc>
        <w:tc>
          <w:tcPr>
            <w:tcW w:w="1276" w:type="dxa"/>
            <w:tcBorders>
              <w:top w:val="nil"/>
              <w:left w:val="nil"/>
              <w:bottom w:val="nil"/>
              <w:right w:val="single" w:sz="4" w:space="0" w:color="auto"/>
            </w:tcBorders>
            <w:shd w:val="clear" w:color="auto" w:fill="auto"/>
          </w:tcPr>
          <w:p w14:paraId="71DC4657" w14:textId="042015BF"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r>
      <w:tr w:rsidR="00A841A7" w:rsidRPr="00E40E55" w14:paraId="72EC765F" w14:textId="77777777" w:rsidTr="00CE5CB2">
        <w:trPr>
          <w:trHeight w:val="70"/>
        </w:trPr>
        <w:tc>
          <w:tcPr>
            <w:tcW w:w="2977" w:type="dxa"/>
            <w:tcBorders>
              <w:top w:val="nil"/>
              <w:left w:val="single" w:sz="4" w:space="0" w:color="auto"/>
              <w:bottom w:val="nil"/>
              <w:right w:val="nil"/>
            </w:tcBorders>
          </w:tcPr>
          <w:p w14:paraId="549A510B" w14:textId="603687E4" w:rsidR="00A841A7" w:rsidRPr="002D5494" w:rsidRDefault="00A841A7"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2D5494">
              <w:rPr>
                <w:rFonts w:asciiTheme="minorHAnsi" w:hAnsiTheme="minorHAnsi" w:cs="Times New Roman"/>
                <w:b/>
                <w:lang w:eastAsia="en-IE"/>
              </w:rPr>
              <w:t>Contribution</w:t>
            </w:r>
          </w:p>
        </w:tc>
        <w:tc>
          <w:tcPr>
            <w:tcW w:w="992" w:type="dxa"/>
            <w:tcBorders>
              <w:top w:val="nil"/>
              <w:left w:val="nil"/>
              <w:bottom w:val="nil"/>
            </w:tcBorders>
            <w:shd w:val="clear" w:color="auto" w:fill="auto"/>
          </w:tcPr>
          <w:p w14:paraId="3F23F348" w14:textId="34E4A520" w:rsidR="00A841A7" w:rsidRPr="002D5494" w:rsidRDefault="00A841A7"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1,02</w:t>
            </w:r>
            <w:r w:rsidR="006E16E8">
              <w:rPr>
                <w:rFonts w:asciiTheme="minorHAnsi" w:hAnsiTheme="minorHAnsi" w:cs="Times New Roman"/>
                <w:b/>
                <w:lang w:eastAsia="en-IE"/>
              </w:rPr>
              <w:t>5</w:t>
            </w:r>
          </w:p>
        </w:tc>
        <w:tc>
          <w:tcPr>
            <w:tcW w:w="993" w:type="dxa"/>
            <w:tcBorders>
              <w:top w:val="nil"/>
              <w:left w:val="nil"/>
              <w:bottom w:val="nil"/>
            </w:tcBorders>
          </w:tcPr>
          <w:p w14:paraId="6138D44A" w14:textId="7D6ADB46" w:rsidR="00A841A7" w:rsidRPr="002D5494" w:rsidRDefault="00A841A7"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1,02</w:t>
            </w:r>
            <w:r w:rsidR="006E16E8">
              <w:rPr>
                <w:rFonts w:asciiTheme="minorHAnsi" w:hAnsiTheme="minorHAnsi" w:cs="Times New Roman"/>
                <w:b/>
                <w:lang w:eastAsia="en-IE"/>
              </w:rPr>
              <w:t>5</w:t>
            </w:r>
          </w:p>
        </w:tc>
        <w:tc>
          <w:tcPr>
            <w:tcW w:w="992" w:type="dxa"/>
            <w:tcBorders>
              <w:top w:val="nil"/>
              <w:left w:val="nil"/>
              <w:bottom w:val="nil"/>
              <w:right w:val="nil"/>
            </w:tcBorders>
            <w:shd w:val="clear" w:color="auto" w:fill="auto"/>
          </w:tcPr>
          <w:p w14:paraId="5C35117E" w14:textId="07A36C55" w:rsidR="00A841A7" w:rsidRPr="002D5494" w:rsidRDefault="00A841A7"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997</w:t>
            </w:r>
          </w:p>
        </w:tc>
        <w:tc>
          <w:tcPr>
            <w:tcW w:w="992" w:type="dxa"/>
            <w:tcBorders>
              <w:top w:val="nil"/>
              <w:left w:val="nil"/>
              <w:bottom w:val="nil"/>
              <w:right w:val="nil"/>
            </w:tcBorders>
          </w:tcPr>
          <w:p w14:paraId="7AECFD37" w14:textId="3F07073C" w:rsidR="00A841A7" w:rsidRPr="002D5494" w:rsidRDefault="00A841A7"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+3%</w:t>
            </w:r>
          </w:p>
        </w:tc>
        <w:tc>
          <w:tcPr>
            <w:tcW w:w="1276" w:type="dxa"/>
            <w:tcBorders>
              <w:top w:val="nil"/>
              <w:left w:val="nil"/>
              <w:bottom w:val="nil"/>
              <w:right w:val="nil"/>
            </w:tcBorders>
          </w:tcPr>
          <w:p w14:paraId="70BB1D24" w14:textId="736C523C" w:rsidR="00A841A7" w:rsidRPr="002D5494" w:rsidRDefault="00077EDF"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-2%</w:t>
            </w:r>
          </w:p>
        </w:tc>
        <w:tc>
          <w:tcPr>
            <w:tcW w:w="1276" w:type="dxa"/>
            <w:tcBorders>
              <w:top w:val="nil"/>
              <w:left w:val="nil"/>
              <w:bottom w:val="nil"/>
              <w:right w:val="single" w:sz="4" w:space="0" w:color="auto"/>
            </w:tcBorders>
            <w:shd w:val="clear" w:color="auto" w:fill="auto"/>
          </w:tcPr>
          <w:p w14:paraId="5559D926" w14:textId="77777777" w:rsidR="00A841A7" w:rsidRPr="002D5494" w:rsidRDefault="00A841A7"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p>
        </w:tc>
      </w:tr>
      <w:tr w:rsidR="006E16E8" w:rsidRPr="00E40E55" w14:paraId="33A0DCD1" w14:textId="77777777" w:rsidTr="00CE5CB2">
        <w:trPr>
          <w:trHeight w:val="70"/>
        </w:trPr>
        <w:tc>
          <w:tcPr>
            <w:tcW w:w="2977" w:type="dxa"/>
            <w:tcBorders>
              <w:top w:val="nil"/>
              <w:left w:val="single" w:sz="4" w:space="0" w:color="auto"/>
              <w:bottom w:val="nil"/>
              <w:right w:val="nil"/>
            </w:tcBorders>
          </w:tcPr>
          <w:p w14:paraId="6494CCB4" w14:textId="77777777" w:rsidR="006E16E8" w:rsidRPr="002D5494" w:rsidRDefault="006E16E8"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8"/>
                <w:szCs w:val="8"/>
                <w:lang w:eastAsia="en-IE"/>
              </w:rPr>
            </w:pPr>
          </w:p>
        </w:tc>
        <w:tc>
          <w:tcPr>
            <w:tcW w:w="992" w:type="dxa"/>
            <w:tcBorders>
              <w:top w:val="nil"/>
              <w:left w:val="nil"/>
              <w:bottom w:val="nil"/>
            </w:tcBorders>
            <w:shd w:val="clear" w:color="auto" w:fill="auto"/>
          </w:tcPr>
          <w:p w14:paraId="3B7E0A34" w14:textId="77777777" w:rsidR="006E16E8" w:rsidRPr="002D5494" w:rsidRDefault="006E16E8"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c>
          <w:tcPr>
            <w:tcW w:w="993" w:type="dxa"/>
            <w:tcBorders>
              <w:top w:val="nil"/>
              <w:left w:val="nil"/>
              <w:bottom w:val="nil"/>
            </w:tcBorders>
          </w:tcPr>
          <w:p w14:paraId="6D5A4D8C" w14:textId="77777777" w:rsidR="006E16E8" w:rsidRPr="002D5494" w:rsidRDefault="006E16E8"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c>
          <w:tcPr>
            <w:tcW w:w="992" w:type="dxa"/>
            <w:tcBorders>
              <w:top w:val="nil"/>
              <w:left w:val="nil"/>
              <w:bottom w:val="nil"/>
              <w:right w:val="nil"/>
            </w:tcBorders>
            <w:shd w:val="clear" w:color="auto" w:fill="auto"/>
          </w:tcPr>
          <w:p w14:paraId="3C5DD9D6" w14:textId="77777777" w:rsidR="006E16E8" w:rsidRPr="002D5494" w:rsidRDefault="006E16E8"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c>
          <w:tcPr>
            <w:tcW w:w="992" w:type="dxa"/>
            <w:tcBorders>
              <w:top w:val="nil"/>
              <w:left w:val="nil"/>
              <w:bottom w:val="nil"/>
              <w:right w:val="nil"/>
            </w:tcBorders>
          </w:tcPr>
          <w:p w14:paraId="777AC8D2" w14:textId="77777777" w:rsidR="006E16E8" w:rsidRPr="002D5494" w:rsidRDefault="006E16E8"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c>
          <w:tcPr>
            <w:tcW w:w="1276" w:type="dxa"/>
            <w:tcBorders>
              <w:top w:val="nil"/>
              <w:left w:val="nil"/>
              <w:bottom w:val="nil"/>
              <w:right w:val="nil"/>
            </w:tcBorders>
          </w:tcPr>
          <w:p w14:paraId="3C771793" w14:textId="77777777" w:rsidR="006E16E8" w:rsidRPr="002D5494" w:rsidRDefault="006E16E8"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c>
          <w:tcPr>
            <w:tcW w:w="1276" w:type="dxa"/>
            <w:tcBorders>
              <w:top w:val="nil"/>
              <w:left w:val="nil"/>
              <w:bottom w:val="nil"/>
              <w:right w:val="single" w:sz="4" w:space="0" w:color="auto"/>
            </w:tcBorders>
            <w:shd w:val="clear" w:color="auto" w:fill="auto"/>
          </w:tcPr>
          <w:p w14:paraId="3FD042D6" w14:textId="77777777" w:rsidR="006E16E8" w:rsidRPr="002D5494" w:rsidRDefault="006E16E8"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r>
      <w:tr w:rsidR="001949A2" w:rsidRPr="00E40E55" w14:paraId="7DA72045" w14:textId="35E6E946" w:rsidTr="00CE5CB2">
        <w:trPr>
          <w:trHeight w:val="70"/>
        </w:trPr>
        <w:tc>
          <w:tcPr>
            <w:tcW w:w="2977" w:type="dxa"/>
            <w:tcBorders>
              <w:top w:val="nil"/>
              <w:left w:val="single" w:sz="4" w:space="0" w:color="auto"/>
              <w:bottom w:val="nil"/>
              <w:right w:val="nil"/>
            </w:tcBorders>
          </w:tcPr>
          <w:p w14:paraId="0C930040" w14:textId="77777777" w:rsidR="001949A2" w:rsidRPr="00E40E55"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Product and technology</w:t>
            </w:r>
          </w:p>
        </w:tc>
        <w:tc>
          <w:tcPr>
            <w:tcW w:w="992" w:type="dxa"/>
            <w:tcBorders>
              <w:top w:val="nil"/>
              <w:left w:val="nil"/>
              <w:bottom w:val="nil"/>
            </w:tcBorders>
            <w:shd w:val="clear" w:color="auto" w:fill="auto"/>
          </w:tcPr>
          <w:p w14:paraId="7E7D3C69" w14:textId="79FFE11E" w:rsidR="001949A2" w:rsidRPr="00860946"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B0FFA">
              <w:rPr>
                <w:rFonts w:asciiTheme="minorHAnsi" w:hAnsiTheme="minorHAnsi" w:cs="Times New Roman"/>
                <w:lang w:eastAsia="en-IE"/>
              </w:rPr>
              <w:t>(166)</w:t>
            </w:r>
          </w:p>
        </w:tc>
        <w:tc>
          <w:tcPr>
            <w:tcW w:w="993" w:type="dxa"/>
            <w:tcBorders>
              <w:top w:val="nil"/>
              <w:left w:val="nil"/>
              <w:bottom w:val="nil"/>
            </w:tcBorders>
          </w:tcPr>
          <w:p w14:paraId="1F058475" w14:textId="44948284"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(171)</w:t>
            </w:r>
          </w:p>
        </w:tc>
        <w:tc>
          <w:tcPr>
            <w:tcW w:w="992" w:type="dxa"/>
            <w:tcBorders>
              <w:top w:val="nil"/>
              <w:left w:val="nil"/>
              <w:bottom w:val="nil"/>
              <w:right w:val="nil"/>
            </w:tcBorders>
            <w:shd w:val="clear" w:color="auto" w:fill="auto"/>
          </w:tcPr>
          <w:p w14:paraId="25838BF2" w14:textId="63E338C3"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(144)</w:t>
            </w:r>
          </w:p>
        </w:tc>
        <w:tc>
          <w:tcPr>
            <w:tcW w:w="992" w:type="dxa"/>
            <w:tcBorders>
              <w:top w:val="nil"/>
              <w:left w:val="nil"/>
              <w:bottom w:val="nil"/>
              <w:right w:val="nil"/>
            </w:tcBorders>
          </w:tcPr>
          <w:p w14:paraId="429C89DF" w14:textId="3B73B57E"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+19%</w:t>
            </w:r>
          </w:p>
        </w:tc>
        <w:tc>
          <w:tcPr>
            <w:tcW w:w="1276" w:type="dxa"/>
            <w:tcBorders>
              <w:top w:val="nil"/>
              <w:left w:val="nil"/>
              <w:bottom w:val="nil"/>
              <w:right w:val="nil"/>
            </w:tcBorders>
          </w:tcPr>
          <w:p w14:paraId="723BB2FE" w14:textId="1C1E25F6"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+9%</w:t>
            </w:r>
          </w:p>
        </w:tc>
        <w:tc>
          <w:tcPr>
            <w:tcW w:w="1276" w:type="dxa"/>
            <w:tcBorders>
              <w:top w:val="nil"/>
              <w:left w:val="nil"/>
              <w:bottom w:val="nil"/>
              <w:right w:val="single" w:sz="4" w:space="0" w:color="auto"/>
            </w:tcBorders>
            <w:shd w:val="clear" w:color="auto" w:fill="auto"/>
          </w:tcPr>
          <w:p w14:paraId="6E34E0F6" w14:textId="35755B48"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r>
      <w:tr w:rsidR="001949A2" w:rsidRPr="00E40E55" w14:paraId="15455587" w14:textId="0E23C55A" w:rsidTr="00CE5CB2">
        <w:trPr>
          <w:trHeight w:val="70"/>
        </w:trPr>
        <w:tc>
          <w:tcPr>
            <w:tcW w:w="2977" w:type="dxa"/>
            <w:tcBorders>
              <w:top w:val="nil"/>
              <w:left w:val="single" w:sz="4" w:space="0" w:color="auto"/>
              <w:bottom w:val="nil"/>
              <w:right w:val="nil"/>
            </w:tcBorders>
          </w:tcPr>
          <w:p w14:paraId="0F8DEE48" w14:textId="77777777" w:rsidR="001949A2" w:rsidRPr="00E40E55"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Operations</w:t>
            </w:r>
          </w:p>
        </w:tc>
        <w:tc>
          <w:tcPr>
            <w:tcW w:w="992" w:type="dxa"/>
            <w:tcBorders>
              <w:top w:val="nil"/>
              <w:left w:val="nil"/>
              <w:bottom w:val="nil"/>
            </w:tcBorders>
            <w:shd w:val="clear" w:color="auto" w:fill="auto"/>
          </w:tcPr>
          <w:p w14:paraId="52FAF355" w14:textId="686C289E" w:rsidR="001949A2" w:rsidRPr="00860946"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B0FFA">
              <w:rPr>
                <w:rFonts w:asciiTheme="minorHAnsi" w:hAnsiTheme="minorHAnsi" w:cs="Times New Roman"/>
                <w:lang w:eastAsia="en-IE"/>
              </w:rPr>
              <w:t>(378)</w:t>
            </w:r>
          </w:p>
        </w:tc>
        <w:tc>
          <w:tcPr>
            <w:tcW w:w="993" w:type="dxa"/>
            <w:tcBorders>
              <w:top w:val="nil"/>
              <w:left w:val="nil"/>
              <w:bottom w:val="nil"/>
            </w:tcBorders>
          </w:tcPr>
          <w:p w14:paraId="5D480FE1" w14:textId="185F24D2"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(40</w:t>
            </w:r>
            <w:r>
              <w:rPr>
                <w:rFonts w:asciiTheme="minorHAnsi" w:hAnsiTheme="minorHAnsi" w:cs="Times New Roman"/>
                <w:lang w:eastAsia="en-IE"/>
              </w:rPr>
              <w:t>9</w:t>
            </w:r>
            <w:r w:rsidRPr="00CE5CB2">
              <w:rPr>
                <w:rFonts w:asciiTheme="minorHAnsi" w:hAnsiTheme="minorHAnsi" w:cs="Times New Roman"/>
                <w:lang w:eastAsia="en-IE"/>
              </w:rPr>
              <w:t>)</w:t>
            </w:r>
          </w:p>
        </w:tc>
        <w:tc>
          <w:tcPr>
            <w:tcW w:w="992" w:type="dxa"/>
            <w:tcBorders>
              <w:top w:val="nil"/>
              <w:left w:val="nil"/>
              <w:bottom w:val="nil"/>
              <w:right w:val="nil"/>
            </w:tcBorders>
            <w:shd w:val="clear" w:color="auto" w:fill="auto"/>
          </w:tcPr>
          <w:p w14:paraId="0055E00B" w14:textId="31B73A65"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(343)</w:t>
            </w:r>
          </w:p>
        </w:tc>
        <w:tc>
          <w:tcPr>
            <w:tcW w:w="992" w:type="dxa"/>
            <w:tcBorders>
              <w:top w:val="nil"/>
              <w:left w:val="nil"/>
              <w:bottom w:val="nil"/>
              <w:right w:val="nil"/>
            </w:tcBorders>
          </w:tcPr>
          <w:p w14:paraId="7980C981" w14:textId="1514439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+1</w:t>
            </w:r>
            <w:r>
              <w:rPr>
                <w:rFonts w:asciiTheme="minorHAnsi" w:hAnsiTheme="minorHAnsi" w:cs="Times New Roman"/>
                <w:lang w:eastAsia="en-IE"/>
              </w:rPr>
              <w:t>9</w:t>
            </w:r>
            <w:r w:rsidRPr="00CE5CB2">
              <w:rPr>
                <w:rFonts w:asciiTheme="minorHAnsi" w:hAnsiTheme="minorHAnsi" w:cs="Times New Roman"/>
                <w:lang w:eastAsia="en-IE"/>
              </w:rPr>
              <w:t>%</w:t>
            </w:r>
          </w:p>
        </w:tc>
        <w:tc>
          <w:tcPr>
            <w:tcW w:w="1276" w:type="dxa"/>
            <w:tcBorders>
              <w:top w:val="nil"/>
              <w:left w:val="nil"/>
              <w:bottom w:val="nil"/>
              <w:right w:val="nil"/>
            </w:tcBorders>
          </w:tcPr>
          <w:p w14:paraId="211B5A3E" w14:textId="4571AD48"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+12%</w:t>
            </w:r>
          </w:p>
        </w:tc>
        <w:tc>
          <w:tcPr>
            <w:tcW w:w="1276" w:type="dxa"/>
            <w:tcBorders>
              <w:top w:val="nil"/>
              <w:left w:val="nil"/>
              <w:bottom w:val="nil"/>
              <w:right w:val="single" w:sz="4" w:space="0" w:color="auto"/>
            </w:tcBorders>
            <w:shd w:val="clear" w:color="auto" w:fill="auto"/>
          </w:tcPr>
          <w:p w14:paraId="31F814DE" w14:textId="774EB24E"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r>
      <w:tr w:rsidR="001949A2" w:rsidRPr="00E40E55" w14:paraId="0BEDF8F7" w14:textId="556E38F2" w:rsidTr="00CE5CB2">
        <w:trPr>
          <w:trHeight w:val="70"/>
        </w:trPr>
        <w:tc>
          <w:tcPr>
            <w:tcW w:w="2977" w:type="dxa"/>
            <w:tcBorders>
              <w:top w:val="nil"/>
              <w:left w:val="single" w:sz="4" w:space="0" w:color="auto"/>
              <w:bottom w:val="nil"/>
              <w:right w:val="nil"/>
            </w:tcBorders>
          </w:tcPr>
          <w:p w14:paraId="1FEEDD75" w14:textId="77777777" w:rsidR="001949A2" w:rsidRPr="00E40E55"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Central costs</w:t>
            </w:r>
          </w:p>
        </w:tc>
        <w:tc>
          <w:tcPr>
            <w:tcW w:w="992" w:type="dxa"/>
            <w:tcBorders>
              <w:top w:val="nil"/>
              <w:left w:val="nil"/>
              <w:bottom w:val="single" w:sz="4" w:space="0" w:color="auto"/>
            </w:tcBorders>
            <w:shd w:val="clear" w:color="auto" w:fill="auto"/>
          </w:tcPr>
          <w:p w14:paraId="29B29AEF" w14:textId="35116A30" w:rsidR="001949A2" w:rsidRPr="00860946"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B0FFA">
              <w:rPr>
                <w:rFonts w:asciiTheme="minorHAnsi" w:hAnsiTheme="minorHAnsi" w:cs="Times New Roman"/>
                <w:lang w:eastAsia="en-IE"/>
              </w:rPr>
              <w:t>(55)</w:t>
            </w:r>
          </w:p>
        </w:tc>
        <w:tc>
          <w:tcPr>
            <w:tcW w:w="993" w:type="dxa"/>
            <w:tcBorders>
              <w:top w:val="nil"/>
              <w:left w:val="nil"/>
              <w:bottom w:val="single" w:sz="4" w:space="0" w:color="auto"/>
            </w:tcBorders>
          </w:tcPr>
          <w:p w14:paraId="068DCFB1" w14:textId="47D0744F"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(60)</w:t>
            </w:r>
          </w:p>
        </w:tc>
        <w:tc>
          <w:tcPr>
            <w:tcW w:w="992" w:type="dxa"/>
            <w:tcBorders>
              <w:top w:val="nil"/>
              <w:left w:val="nil"/>
              <w:bottom w:val="single" w:sz="4" w:space="0" w:color="auto"/>
              <w:right w:val="nil"/>
            </w:tcBorders>
            <w:shd w:val="clear" w:color="auto" w:fill="auto"/>
          </w:tcPr>
          <w:p w14:paraId="43EE9CF7" w14:textId="309606C0"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(59)</w:t>
            </w:r>
          </w:p>
        </w:tc>
        <w:tc>
          <w:tcPr>
            <w:tcW w:w="992" w:type="dxa"/>
            <w:tcBorders>
              <w:top w:val="nil"/>
              <w:left w:val="nil"/>
              <w:bottom w:val="single" w:sz="4" w:space="0" w:color="auto"/>
              <w:right w:val="nil"/>
            </w:tcBorders>
          </w:tcPr>
          <w:p w14:paraId="340876EA" w14:textId="782394C4"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w:t>
            </w:r>
            <w:r>
              <w:rPr>
                <w:rFonts w:asciiTheme="minorHAnsi" w:hAnsiTheme="minorHAnsi" w:cs="Times New Roman"/>
                <w:lang w:eastAsia="en-IE"/>
              </w:rPr>
              <w:t>1</w:t>
            </w:r>
            <w:r w:rsidRPr="00CE5CB2">
              <w:rPr>
                <w:rFonts w:asciiTheme="minorHAnsi" w:hAnsiTheme="minorHAnsi" w:cs="Times New Roman"/>
                <w:lang w:eastAsia="en-IE"/>
              </w:rPr>
              <w:t>%</w:t>
            </w:r>
          </w:p>
        </w:tc>
        <w:tc>
          <w:tcPr>
            <w:tcW w:w="1276" w:type="dxa"/>
            <w:tcBorders>
              <w:top w:val="nil"/>
              <w:left w:val="nil"/>
              <w:bottom w:val="single" w:sz="4" w:space="0" w:color="auto"/>
              <w:right w:val="nil"/>
            </w:tcBorders>
          </w:tcPr>
          <w:p w14:paraId="0C05BD89" w14:textId="080F2189"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+2%</w:t>
            </w:r>
          </w:p>
        </w:tc>
        <w:tc>
          <w:tcPr>
            <w:tcW w:w="1276" w:type="dxa"/>
            <w:tcBorders>
              <w:top w:val="nil"/>
              <w:left w:val="nil"/>
              <w:bottom w:val="single" w:sz="4" w:space="0" w:color="auto"/>
              <w:right w:val="single" w:sz="4" w:space="0" w:color="auto"/>
            </w:tcBorders>
            <w:shd w:val="clear" w:color="auto" w:fill="auto"/>
          </w:tcPr>
          <w:p w14:paraId="398A5BBB" w14:textId="3161B266"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r>
      <w:tr w:rsidR="001949A2" w:rsidRPr="00E40E55" w14:paraId="3A77BB31" w14:textId="04A696F5" w:rsidTr="00CE5CB2">
        <w:trPr>
          <w:trHeight w:val="70"/>
        </w:trPr>
        <w:tc>
          <w:tcPr>
            <w:tcW w:w="2977" w:type="dxa"/>
            <w:tcBorders>
              <w:top w:val="nil"/>
              <w:left w:val="single" w:sz="4" w:space="0" w:color="auto"/>
              <w:bottom w:val="nil"/>
              <w:right w:val="nil"/>
            </w:tcBorders>
          </w:tcPr>
          <w:p w14:paraId="4374E203" w14:textId="7B52D5D2" w:rsidR="001949A2" w:rsidRPr="00E40E55" w:rsidRDefault="00FE1446"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 xml:space="preserve">Other </w:t>
            </w:r>
            <w:r w:rsidR="001949A2">
              <w:rPr>
                <w:rFonts w:asciiTheme="minorHAnsi" w:hAnsiTheme="minorHAnsi" w:cs="Times New Roman"/>
                <w:lang w:eastAsia="en-IE"/>
              </w:rPr>
              <w:t>operating costs</w:t>
            </w:r>
          </w:p>
        </w:tc>
        <w:tc>
          <w:tcPr>
            <w:tcW w:w="992" w:type="dxa"/>
            <w:tcBorders>
              <w:top w:val="single" w:sz="4" w:space="0" w:color="auto"/>
              <w:left w:val="nil"/>
              <w:bottom w:val="single" w:sz="4" w:space="0" w:color="auto"/>
            </w:tcBorders>
            <w:shd w:val="clear" w:color="auto" w:fill="auto"/>
          </w:tcPr>
          <w:p w14:paraId="760F7576" w14:textId="33E1D96B" w:rsidR="001949A2" w:rsidRPr="00860946"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B0FFA">
              <w:rPr>
                <w:rFonts w:asciiTheme="minorHAnsi" w:hAnsiTheme="minorHAnsi" w:cs="Times New Roman"/>
                <w:lang w:eastAsia="en-IE"/>
              </w:rPr>
              <w:t>(</w:t>
            </w:r>
            <w:r w:rsidR="00A03C49">
              <w:rPr>
                <w:rFonts w:asciiTheme="minorHAnsi" w:hAnsiTheme="minorHAnsi" w:cs="Times New Roman"/>
                <w:lang w:eastAsia="en-IE"/>
              </w:rPr>
              <w:t>599</w:t>
            </w:r>
            <w:r w:rsidRPr="000B0FFA">
              <w:rPr>
                <w:rFonts w:asciiTheme="minorHAnsi" w:hAnsiTheme="minorHAnsi" w:cs="Times New Roman"/>
                <w:lang w:eastAsia="en-IE"/>
              </w:rPr>
              <w:t>)</w:t>
            </w:r>
          </w:p>
        </w:tc>
        <w:tc>
          <w:tcPr>
            <w:tcW w:w="993" w:type="dxa"/>
            <w:tcBorders>
              <w:top w:val="single" w:sz="4" w:space="0" w:color="auto"/>
              <w:left w:val="nil"/>
              <w:bottom w:val="single" w:sz="4" w:space="0" w:color="auto"/>
            </w:tcBorders>
          </w:tcPr>
          <w:p w14:paraId="12500860" w14:textId="1C7BACA8"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w:t>
            </w:r>
            <w:r w:rsidR="006E16E8">
              <w:rPr>
                <w:rFonts w:asciiTheme="minorHAnsi" w:hAnsiTheme="minorHAnsi" w:cs="Times New Roman"/>
                <w:lang w:eastAsia="en-IE"/>
              </w:rPr>
              <w:t>639</w:t>
            </w:r>
            <w:r w:rsidRPr="00CE5CB2">
              <w:rPr>
                <w:rFonts w:asciiTheme="minorHAnsi" w:hAnsiTheme="minorHAnsi" w:cs="Times New Roman"/>
                <w:lang w:eastAsia="en-IE"/>
              </w:rPr>
              <w:t>)</w:t>
            </w:r>
          </w:p>
        </w:tc>
        <w:tc>
          <w:tcPr>
            <w:tcW w:w="992" w:type="dxa"/>
            <w:tcBorders>
              <w:top w:val="single" w:sz="4" w:space="0" w:color="auto"/>
              <w:left w:val="nil"/>
              <w:bottom w:val="single" w:sz="4" w:space="0" w:color="auto"/>
              <w:right w:val="nil"/>
            </w:tcBorders>
            <w:shd w:val="clear" w:color="auto" w:fill="auto"/>
          </w:tcPr>
          <w:p w14:paraId="4A1A310B" w14:textId="4F9B6ECA"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w:t>
            </w:r>
            <w:r w:rsidR="00B85493">
              <w:rPr>
                <w:rFonts w:asciiTheme="minorHAnsi" w:hAnsiTheme="minorHAnsi" w:cs="Times New Roman"/>
                <w:lang w:eastAsia="en-IE"/>
              </w:rPr>
              <w:t>546</w:t>
            </w:r>
            <w:r w:rsidRPr="00CE5CB2">
              <w:rPr>
                <w:rFonts w:asciiTheme="minorHAnsi" w:hAnsiTheme="minorHAnsi" w:cs="Times New Roman"/>
                <w:lang w:eastAsia="en-IE"/>
              </w:rPr>
              <w:t>)</w:t>
            </w:r>
          </w:p>
        </w:tc>
        <w:tc>
          <w:tcPr>
            <w:tcW w:w="992" w:type="dxa"/>
            <w:tcBorders>
              <w:top w:val="single" w:sz="4" w:space="0" w:color="auto"/>
              <w:left w:val="nil"/>
              <w:bottom w:val="single" w:sz="4" w:space="0" w:color="auto"/>
              <w:right w:val="nil"/>
            </w:tcBorders>
          </w:tcPr>
          <w:p w14:paraId="69D85287" w14:textId="34371644"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+1</w:t>
            </w:r>
            <w:r w:rsidR="00B85493">
              <w:rPr>
                <w:rFonts w:asciiTheme="minorHAnsi" w:hAnsiTheme="minorHAnsi" w:cs="Times New Roman"/>
                <w:lang w:eastAsia="en-IE"/>
              </w:rPr>
              <w:t>7</w:t>
            </w:r>
            <w:r w:rsidRPr="00CE5CB2">
              <w:rPr>
                <w:rFonts w:asciiTheme="minorHAnsi" w:hAnsiTheme="minorHAnsi" w:cs="Times New Roman"/>
                <w:lang w:eastAsia="en-IE"/>
              </w:rPr>
              <w:t>%</w:t>
            </w:r>
          </w:p>
        </w:tc>
        <w:tc>
          <w:tcPr>
            <w:tcW w:w="1276" w:type="dxa"/>
            <w:tcBorders>
              <w:top w:val="single" w:sz="4" w:space="0" w:color="auto"/>
              <w:left w:val="nil"/>
              <w:bottom w:val="single" w:sz="4" w:space="0" w:color="auto"/>
              <w:right w:val="nil"/>
            </w:tcBorders>
          </w:tcPr>
          <w:p w14:paraId="181FB217" w14:textId="405E0B9D" w:rsidR="001949A2" w:rsidRPr="00FD3CFE" w:rsidRDefault="00B85493"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+10%</w:t>
            </w:r>
          </w:p>
        </w:tc>
        <w:tc>
          <w:tcPr>
            <w:tcW w:w="1276" w:type="dxa"/>
            <w:tcBorders>
              <w:top w:val="single" w:sz="4" w:space="0" w:color="auto"/>
              <w:left w:val="nil"/>
              <w:bottom w:val="single" w:sz="4" w:space="0" w:color="auto"/>
              <w:right w:val="single" w:sz="4" w:space="0" w:color="auto"/>
            </w:tcBorders>
            <w:shd w:val="clear" w:color="auto" w:fill="auto"/>
          </w:tcPr>
          <w:p w14:paraId="5FF44E96" w14:textId="5344F960"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r>
      <w:tr w:rsidR="001949A2" w:rsidRPr="00E40E55" w14:paraId="53985D13" w14:textId="5EC8DA51" w:rsidTr="00CE5CB2">
        <w:trPr>
          <w:trHeight w:val="70"/>
        </w:trPr>
        <w:tc>
          <w:tcPr>
            <w:tcW w:w="2977" w:type="dxa"/>
            <w:tcBorders>
              <w:top w:val="nil"/>
              <w:left w:val="single" w:sz="4" w:space="0" w:color="auto"/>
              <w:bottom w:val="nil"/>
              <w:right w:val="nil"/>
            </w:tcBorders>
          </w:tcPr>
          <w:p w14:paraId="1E551374" w14:textId="77777777" w:rsidR="001949A2" w:rsidRPr="004C7C0F"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sz w:val="6"/>
                <w:szCs w:val="6"/>
                <w:lang w:eastAsia="en-IE"/>
              </w:rPr>
            </w:pPr>
          </w:p>
        </w:tc>
        <w:tc>
          <w:tcPr>
            <w:tcW w:w="992" w:type="dxa"/>
            <w:tcBorders>
              <w:top w:val="single" w:sz="4" w:space="0" w:color="auto"/>
              <w:left w:val="nil"/>
              <w:bottom w:val="nil"/>
            </w:tcBorders>
            <w:shd w:val="clear" w:color="auto" w:fill="auto"/>
          </w:tcPr>
          <w:p w14:paraId="40D81C03"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993" w:type="dxa"/>
            <w:tcBorders>
              <w:top w:val="single" w:sz="4" w:space="0" w:color="auto"/>
              <w:left w:val="nil"/>
              <w:bottom w:val="nil"/>
            </w:tcBorders>
          </w:tcPr>
          <w:p w14:paraId="67C8764E" w14:textId="77777777"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992" w:type="dxa"/>
            <w:tcBorders>
              <w:top w:val="single" w:sz="4" w:space="0" w:color="auto"/>
              <w:left w:val="nil"/>
              <w:bottom w:val="nil"/>
              <w:right w:val="nil"/>
            </w:tcBorders>
            <w:shd w:val="clear" w:color="auto" w:fill="auto"/>
          </w:tcPr>
          <w:p w14:paraId="3DB774E2" w14:textId="235DFD3B"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992" w:type="dxa"/>
            <w:tcBorders>
              <w:top w:val="single" w:sz="4" w:space="0" w:color="auto"/>
              <w:left w:val="nil"/>
              <w:bottom w:val="nil"/>
              <w:right w:val="nil"/>
            </w:tcBorders>
          </w:tcPr>
          <w:p w14:paraId="420BDB1E"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1276" w:type="dxa"/>
            <w:tcBorders>
              <w:top w:val="single" w:sz="4" w:space="0" w:color="auto"/>
              <w:left w:val="nil"/>
              <w:bottom w:val="nil"/>
              <w:right w:val="nil"/>
            </w:tcBorders>
          </w:tcPr>
          <w:p w14:paraId="7ED44202" w14:textId="77777777"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highlight w:val="yellow"/>
                <w:lang w:eastAsia="en-IE"/>
              </w:rPr>
            </w:pPr>
          </w:p>
        </w:tc>
        <w:tc>
          <w:tcPr>
            <w:tcW w:w="1276" w:type="dxa"/>
            <w:tcBorders>
              <w:top w:val="single" w:sz="4" w:space="0" w:color="auto"/>
              <w:left w:val="nil"/>
              <w:bottom w:val="nil"/>
              <w:right w:val="single" w:sz="4" w:space="0" w:color="auto"/>
            </w:tcBorders>
            <w:shd w:val="clear" w:color="auto" w:fill="auto"/>
          </w:tcPr>
          <w:p w14:paraId="034D9D4E" w14:textId="12FFEA82"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highlight w:val="yellow"/>
                <w:lang w:eastAsia="en-IE"/>
              </w:rPr>
            </w:pPr>
          </w:p>
        </w:tc>
      </w:tr>
      <w:tr w:rsidR="001949A2" w:rsidRPr="00443C47" w14:paraId="36CBACE5" w14:textId="067C4B79" w:rsidTr="00CE5CB2">
        <w:trPr>
          <w:trHeight w:val="70"/>
        </w:trPr>
        <w:tc>
          <w:tcPr>
            <w:tcW w:w="2977" w:type="dxa"/>
            <w:tcBorders>
              <w:top w:val="nil"/>
              <w:left w:val="single" w:sz="4" w:space="0" w:color="auto"/>
              <w:bottom w:val="nil"/>
              <w:right w:val="nil"/>
            </w:tcBorders>
          </w:tcPr>
          <w:p w14:paraId="17379466" w14:textId="11177CA3" w:rsidR="001949A2" w:rsidRPr="004C7C0F"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C7C0F">
              <w:rPr>
                <w:rFonts w:asciiTheme="minorHAnsi" w:hAnsiTheme="minorHAnsi" w:cs="Times New Roman"/>
                <w:b/>
                <w:lang w:eastAsia="en-IE"/>
              </w:rPr>
              <w:t>Underlying</w:t>
            </w:r>
            <w:r w:rsidRPr="00C83C07">
              <w:rPr>
                <w:rFonts w:asciiTheme="minorHAnsi" w:hAnsiTheme="minorHAnsi" w:cs="Times New Roman"/>
                <w:b/>
                <w:i/>
                <w:lang w:eastAsia="en-IE"/>
              </w:rPr>
              <w:t xml:space="preserve"> </w:t>
            </w:r>
            <w:r w:rsidRPr="004C7C0F">
              <w:rPr>
                <w:rFonts w:asciiTheme="minorHAnsi" w:hAnsiTheme="minorHAnsi" w:cs="Times New Roman"/>
                <w:b/>
                <w:lang w:eastAsia="en-IE"/>
              </w:rPr>
              <w:t>EBITDA</w:t>
            </w:r>
            <w:r w:rsidR="003D5E9F" w:rsidRPr="00C83C07">
              <w:rPr>
                <w:rFonts w:asciiTheme="minorHAnsi" w:hAnsiTheme="minorHAnsi" w:cs="Times New Roman"/>
                <w:b/>
                <w:i/>
                <w:vertAlign w:val="superscript"/>
                <w:lang w:eastAsia="en-IE"/>
              </w:rPr>
              <w:t>1</w:t>
            </w:r>
            <w:r w:rsidR="003D5E9F">
              <w:rPr>
                <w:rFonts w:asciiTheme="minorHAnsi" w:hAnsiTheme="minorHAnsi" w:cs="Times New Roman"/>
                <w:b/>
                <w:i/>
                <w:vertAlign w:val="superscript"/>
                <w:lang w:eastAsia="en-IE"/>
              </w:rPr>
              <w:t>,</w:t>
            </w:r>
            <w:r w:rsidRPr="00C83C07">
              <w:rPr>
                <w:rFonts w:asciiTheme="minorHAnsi" w:hAnsiTheme="minorHAnsi"/>
                <w:b/>
                <w:i/>
                <w:sz w:val="18"/>
                <w:szCs w:val="18"/>
                <w:vertAlign w:val="superscript"/>
              </w:rPr>
              <w:t>2</w:t>
            </w:r>
          </w:p>
        </w:tc>
        <w:tc>
          <w:tcPr>
            <w:tcW w:w="992" w:type="dxa"/>
            <w:tcBorders>
              <w:top w:val="nil"/>
              <w:left w:val="nil"/>
              <w:bottom w:val="nil"/>
            </w:tcBorders>
            <w:shd w:val="clear" w:color="auto" w:fill="auto"/>
          </w:tcPr>
          <w:p w14:paraId="4A44C626" w14:textId="2C1B4A70"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42</w:t>
            </w:r>
            <w:r w:rsidR="00A03C49">
              <w:rPr>
                <w:rFonts w:asciiTheme="minorHAnsi" w:hAnsiTheme="minorHAnsi" w:cs="Times New Roman"/>
                <w:b/>
                <w:lang w:eastAsia="en-IE"/>
              </w:rPr>
              <w:t>5</w:t>
            </w:r>
          </w:p>
        </w:tc>
        <w:tc>
          <w:tcPr>
            <w:tcW w:w="993" w:type="dxa"/>
            <w:tcBorders>
              <w:top w:val="nil"/>
              <w:left w:val="nil"/>
              <w:bottom w:val="nil"/>
            </w:tcBorders>
          </w:tcPr>
          <w:p w14:paraId="206ED052" w14:textId="6EE50232"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CE5CB2">
              <w:rPr>
                <w:rFonts w:asciiTheme="minorHAnsi" w:hAnsiTheme="minorHAnsi" w:cs="Times New Roman"/>
                <w:b/>
                <w:lang w:eastAsia="en-IE"/>
              </w:rPr>
              <w:t>385</w:t>
            </w:r>
          </w:p>
        </w:tc>
        <w:tc>
          <w:tcPr>
            <w:tcW w:w="992" w:type="dxa"/>
            <w:tcBorders>
              <w:top w:val="nil"/>
              <w:left w:val="nil"/>
              <w:bottom w:val="nil"/>
              <w:right w:val="nil"/>
            </w:tcBorders>
            <w:shd w:val="clear" w:color="auto" w:fill="auto"/>
          </w:tcPr>
          <w:p w14:paraId="4B728961" w14:textId="106F7F2E"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CE5CB2">
              <w:rPr>
                <w:rFonts w:asciiTheme="minorHAnsi" w:hAnsiTheme="minorHAnsi" w:cs="Times New Roman"/>
                <w:b/>
                <w:lang w:eastAsia="en-IE"/>
              </w:rPr>
              <w:t>451</w:t>
            </w:r>
          </w:p>
        </w:tc>
        <w:tc>
          <w:tcPr>
            <w:tcW w:w="992" w:type="dxa"/>
            <w:tcBorders>
              <w:top w:val="nil"/>
              <w:left w:val="nil"/>
              <w:bottom w:val="nil"/>
              <w:right w:val="nil"/>
            </w:tcBorders>
            <w:shd w:val="clear" w:color="auto" w:fill="auto"/>
          </w:tcPr>
          <w:p w14:paraId="040D2575" w14:textId="16EC16B0"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CE5CB2">
              <w:rPr>
                <w:rFonts w:asciiTheme="minorHAnsi" w:hAnsiTheme="minorHAnsi" w:cs="Times New Roman"/>
                <w:b/>
                <w:lang w:eastAsia="en-IE"/>
              </w:rPr>
              <w:t>-15%</w:t>
            </w:r>
          </w:p>
        </w:tc>
        <w:tc>
          <w:tcPr>
            <w:tcW w:w="1276" w:type="dxa"/>
            <w:tcBorders>
              <w:top w:val="nil"/>
              <w:left w:val="nil"/>
              <w:bottom w:val="nil"/>
              <w:right w:val="nil"/>
            </w:tcBorders>
          </w:tcPr>
          <w:p w14:paraId="6E393B04" w14:textId="4EA9CC28"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-17%</w:t>
            </w:r>
          </w:p>
        </w:tc>
        <w:tc>
          <w:tcPr>
            <w:tcW w:w="1276" w:type="dxa"/>
            <w:tcBorders>
              <w:top w:val="nil"/>
              <w:left w:val="nil"/>
              <w:bottom w:val="nil"/>
              <w:right w:val="single" w:sz="4" w:space="0" w:color="auto"/>
            </w:tcBorders>
            <w:shd w:val="clear" w:color="auto" w:fill="auto"/>
          </w:tcPr>
          <w:p w14:paraId="720B4E67" w14:textId="2B66356C" w:rsidR="001949A2" w:rsidRPr="00F70880"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highlight w:val="green"/>
                <w:lang w:eastAsia="en-IE"/>
              </w:rPr>
            </w:pPr>
            <w:r w:rsidRPr="00A509F6">
              <w:rPr>
                <w:rFonts w:asciiTheme="minorHAnsi" w:hAnsiTheme="minorHAnsi" w:cs="Times New Roman"/>
                <w:b/>
                <w:lang w:eastAsia="en-IE"/>
              </w:rPr>
              <w:t>+1</w:t>
            </w:r>
            <w:r>
              <w:rPr>
                <w:rFonts w:asciiTheme="minorHAnsi" w:hAnsiTheme="minorHAnsi" w:cs="Times New Roman"/>
                <w:b/>
                <w:lang w:eastAsia="en-IE"/>
              </w:rPr>
              <w:t>2</w:t>
            </w:r>
            <w:r w:rsidRPr="00A509F6">
              <w:rPr>
                <w:rFonts w:asciiTheme="minorHAnsi" w:hAnsiTheme="minorHAnsi" w:cs="Times New Roman"/>
                <w:b/>
                <w:lang w:eastAsia="en-IE"/>
              </w:rPr>
              <w:t>%</w:t>
            </w:r>
          </w:p>
        </w:tc>
      </w:tr>
      <w:tr w:rsidR="001949A2" w:rsidRPr="003648BE" w14:paraId="3A034BFB" w14:textId="56FEEDDA" w:rsidTr="00CE5CB2">
        <w:trPr>
          <w:trHeight w:val="70"/>
        </w:trPr>
        <w:tc>
          <w:tcPr>
            <w:tcW w:w="2977" w:type="dxa"/>
            <w:tcBorders>
              <w:top w:val="nil"/>
              <w:left w:val="single" w:sz="4" w:space="0" w:color="auto"/>
              <w:bottom w:val="nil"/>
              <w:right w:val="nil"/>
            </w:tcBorders>
          </w:tcPr>
          <w:p w14:paraId="3EB4A130" w14:textId="41910644" w:rsidR="001949A2" w:rsidRPr="003648B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i/>
                <w:sz w:val="18"/>
                <w:szCs w:val="18"/>
                <w:lang w:eastAsia="en-IE"/>
              </w:rPr>
            </w:pPr>
            <w:r w:rsidRPr="003648BE">
              <w:rPr>
                <w:rFonts w:asciiTheme="minorHAnsi" w:hAnsiTheme="minorHAnsi" w:cs="Times New Roman"/>
                <w:i/>
                <w:sz w:val="18"/>
                <w:szCs w:val="18"/>
                <w:lang w:eastAsia="en-IE"/>
              </w:rPr>
              <w:t>Underlying EBITDA</w:t>
            </w:r>
            <w:r w:rsidR="003D5E9F" w:rsidRPr="005947DC">
              <w:rPr>
                <w:rFonts w:asciiTheme="minorHAnsi" w:hAnsiTheme="minorHAnsi" w:cs="Times New Roman"/>
                <w:i/>
                <w:sz w:val="18"/>
                <w:szCs w:val="18"/>
                <w:vertAlign w:val="superscript"/>
                <w:lang w:eastAsia="en-IE"/>
              </w:rPr>
              <w:t>1</w:t>
            </w:r>
            <w:r w:rsidR="003D5E9F">
              <w:rPr>
                <w:rFonts w:asciiTheme="minorHAnsi" w:hAnsiTheme="minorHAnsi" w:cs="Times New Roman"/>
                <w:i/>
                <w:sz w:val="18"/>
                <w:szCs w:val="18"/>
                <w:vertAlign w:val="superscript"/>
                <w:lang w:eastAsia="en-IE"/>
              </w:rPr>
              <w:t>,</w:t>
            </w:r>
            <w:r w:rsidR="00FE1446" w:rsidRPr="005947DC">
              <w:rPr>
                <w:rFonts w:asciiTheme="minorHAnsi" w:hAnsiTheme="minorHAnsi" w:cs="Times New Roman"/>
                <w:i/>
                <w:sz w:val="18"/>
                <w:szCs w:val="18"/>
                <w:vertAlign w:val="superscript"/>
                <w:lang w:eastAsia="en-IE"/>
              </w:rPr>
              <w:t>2</w:t>
            </w:r>
            <w:r w:rsidRPr="003648BE">
              <w:rPr>
                <w:rFonts w:asciiTheme="minorHAnsi" w:hAnsiTheme="minorHAnsi" w:cs="Times New Roman"/>
                <w:i/>
                <w:sz w:val="18"/>
                <w:szCs w:val="18"/>
                <w:lang w:eastAsia="en-IE"/>
              </w:rPr>
              <w:t xml:space="preserve"> margin </w:t>
            </w:r>
          </w:p>
        </w:tc>
        <w:tc>
          <w:tcPr>
            <w:tcW w:w="992" w:type="dxa"/>
            <w:tcBorders>
              <w:top w:val="nil"/>
              <w:left w:val="nil"/>
              <w:bottom w:val="nil"/>
            </w:tcBorders>
            <w:shd w:val="clear" w:color="auto" w:fill="auto"/>
          </w:tcPr>
          <w:p w14:paraId="329879AB" w14:textId="37D6F88E"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Pr>
                <w:rFonts w:asciiTheme="minorHAnsi" w:hAnsiTheme="minorHAnsi" w:cs="Times New Roman"/>
                <w:i/>
                <w:sz w:val="18"/>
                <w:szCs w:val="18"/>
                <w:lang w:eastAsia="en-IE"/>
              </w:rPr>
              <w:t>19.9%</w:t>
            </w:r>
          </w:p>
        </w:tc>
        <w:tc>
          <w:tcPr>
            <w:tcW w:w="993" w:type="dxa"/>
            <w:tcBorders>
              <w:top w:val="nil"/>
              <w:left w:val="nil"/>
              <w:bottom w:val="nil"/>
            </w:tcBorders>
          </w:tcPr>
          <w:p w14:paraId="1F589ABB" w14:textId="62921AEB"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sidRPr="00CE5CB2">
              <w:rPr>
                <w:rFonts w:asciiTheme="minorHAnsi" w:hAnsiTheme="minorHAnsi" w:cs="Times New Roman"/>
                <w:i/>
                <w:sz w:val="18"/>
                <w:szCs w:val="18"/>
                <w:lang w:eastAsia="en-IE"/>
              </w:rPr>
              <w:t>18.0%</w:t>
            </w:r>
          </w:p>
        </w:tc>
        <w:tc>
          <w:tcPr>
            <w:tcW w:w="992" w:type="dxa"/>
            <w:tcBorders>
              <w:top w:val="nil"/>
              <w:left w:val="nil"/>
              <w:bottom w:val="nil"/>
              <w:right w:val="nil"/>
            </w:tcBorders>
            <w:shd w:val="clear" w:color="auto" w:fill="auto"/>
          </w:tcPr>
          <w:p w14:paraId="1E8056B0" w14:textId="563A8DA3"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sidRPr="00CE5CB2">
              <w:rPr>
                <w:rFonts w:asciiTheme="minorHAnsi" w:hAnsiTheme="minorHAnsi" w:cs="Times New Roman"/>
                <w:i/>
                <w:sz w:val="18"/>
                <w:szCs w:val="18"/>
                <w:lang w:eastAsia="en-IE"/>
              </w:rPr>
              <w:t>24.1%</w:t>
            </w:r>
          </w:p>
        </w:tc>
        <w:tc>
          <w:tcPr>
            <w:tcW w:w="992" w:type="dxa"/>
            <w:tcBorders>
              <w:top w:val="nil"/>
              <w:left w:val="nil"/>
              <w:bottom w:val="nil"/>
              <w:right w:val="nil"/>
            </w:tcBorders>
            <w:shd w:val="clear" w:color="auto" w:fill="auto"/>
          </w:tcPr>
          <w:p w14:paraId="3C8A4EF1" w14:textId="73AA2941"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sidRPr="00CE5CB2">
              <w:rPr>
                <w:rFonts w:asciiTheme="minorHAnsi" w:hAnsiTheme="minorHAnsi" w:cs="Times New Roman"/>
                <w:i/>
                <w:sz w:val="18"/>
                <w:szCs w:val="18"/>
                <w:lang w:eastAsia="en-IE"/>
              </w:rPr>
              <w:t>-610bps</w:t>
            </w:r>
          </w:p>
        </w:tc>
        <w:tc>
          <w:tcPr>
            <w:tcW w:w="1276" w:type="dxa"/>
            <w:tcBorders>
              <w:top w:val="nil"/>
              <w:left w:val="nil"/>
              <w:bottom w:val="nil"/>
              <w:right w:val="nil"/>
            </w:tcBorders>
          </w:tcPr>
          <w:p w14:paraId="45113DC8" w14:textId="61FD988C"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Pr>
                <w:rFonts w:asciiTheme="minorHAnsi" w:hAnsiTheme="minorHAnsi" w:cs="Times New Roman"/>
                <w:i/>
                <w:sz w:val="18"/>
                <w:szCs w:val="18"/>
                <w:lang w:eastAsia="en-IE"/>
              </w:rPr>
              <w:t>-560bps</w:t>
            </w:r>
          </w:p>
        </w:tc>
        <w:tc>
          <w:tcPr>
            <w:tcW w:w="1276" w:type="dxa"/>
            <w:tcBorders>
              <w:top w:val="nil"/>
              <w:left w:val="nil"/>
              <w:bottom w:val="nil"/>
              <w:right w:val="single" w:sz="4" w:space="0" w:color="auto"/>
            </w:tcBorders>
            <w:shd w:val="clear" w:color="auto" w:fill="auto"/>
          </w:tcPr>
          <w:p w14:paraId="158C14B6" w14:textId="249A0DD4"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p>
        </w:tc>
      </w:tr>
      <w:tr w:rsidR="001949A2" w:rsidRPr="001F75A8" w14:paraId="0BF7EB1E" w14:textId="13486781" w:rsidTr="00CE5CB2">
        <w:trPr>
          <w:trHeight w:val="80"/>
        </w:trPr>
        <w:tc>
          <w:tcPr>
            <w:tcW w:w="2977" w:type="dxa"/>
            <w:tcBorders>
              <w:top w:val="nil"/>
              <w:left w:val="single" w:sz="4" w:space="0" w:color="auto"/>
              <w:bottom w:val="nil"/>
              <w:right w:val="nil"/>
            </w:tcBorders>
          </w:tcPr>
          <w:p w14:paraId="2B86A910" w14:textId="77777777" w:rsidR="001949A2" w:rsidRPr="00220D66"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992" w:type="dxa"/>
            <w:tcBorders>
              <w:top w:val="nil"/>
              <w:left w:val="nil"/>
              <w:bottom w:val="nil"/>
            </w:tcBorders>
            <w:shd w:val="clear" w:color="auto" w:fill="auto"/>
          </w:tcPr>
          <w:p w14:paraId="68108C39" w14:textId="77777777"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3" w:type="dxa"/>
            <w:tcBorders>
              <w:top w:val="nil"/>
              <w:left w:val="nil"/>
              <w:bottom w:val="nil"/>
            </w:tcBorders>
          </w:tcPr>
          <w:p w14:paraId="7338AEF0"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2" w:type="dxa"/>
            <w:tcBorders>
              <w:top w:val="nil"/>
              <w:left w:val="nil"/>
              <w:bottom w:val="nil"/>
              <w:right w:val="nil"/>
            </w:tcBorders>
            <w:shd w:val="clear" w:color="auto" w:fill="auto"/>
          </w:tcPr>
          <w:p w14:paraId="5DE05680" w14:textId="2534BCB8"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2" w:type="dxa"/>
            <w:tcBorders>
              <w:top w:val="nil"/>
              <w:left w:val="nil"/>
              <w:bottom w:val="nil"/>
              <w:right w:val="nil"/>
            </w:tcBorders>
          </w:tcPr>
          <w:p w14:paraId="026346A5"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276" w:type="dxa"/>
            <w:tcBorders>
              <w:top w:val="nil"/>
              <w:left w:val="nil"/>
              <w:bottom w:val="nil"/>
              <w:right w:val="nil"/>
            </w:tcBorders>
          </w:tcPr>
          <w:p w14:paraId="49FC44DF" w14:textId="77777777"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276" w:type="dxa"/>
            <w:tcBorders>
              <w:top w:val="nil"/>
              <w:left w:val="nil"/>
              <w:bottom w:val="nil"/>
              <w:right w:val="single" w:sz="4" w:space="0" w:color="auto"/>
            </w:tcBorders>
            <w:shd w:val="clear" w:color="auto" w:fill="auto"/>
          </w:tcPr>
          <w:p w14:paraId="67B7A9BF" w14:textId="417BEB3C"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1949A2" w:rsidRPr="00B03B43" w14:paraId="28617CF0" w14:textId="28A83894" w:rsidTr="00CE5CB2">
        <w:trPr>
          <w:trHeight w:val="70"/>
        </w:trPr>
        <w:tc>
          <w:tcPr>
            <w:tcW w:w="2977" w:type="dxa"/>
            <w:tcBorders>
              <w:top w:val="nil"/>
              <w:left w:val="single" w:sz="4" w:space="0" w:color="auto"/>
              <w:bottom w:val="nil"/>
              <w:right w:val="nil"/>
            </w:tcBorders>
          </w:tcPr>
          <w:p w14:paraId="41039280" w14:textId="77777777" w:rsidR="001949A2" w:rsidRPr="00B03B43"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Depreciation and amortisation</w:t>
            </w:r>
          </w:p>
        </w:tc>
        <w:tc>
          <w:tcPr>
            <w:tcW w:w="992" w:type="dxa"/>
            <w:tcBorders>
              <w:top w:val="nil"/>
              <w:left w:val="nil"/>
              <w:bottom w:val="single" w:sz="4" w:space="0" w:color="auto"/>
            </w:tcBorders>
            <w:shd w:val="clear" w:color="auto" w:fill="auto"/>
          </w:tcPr>
          <w:p w14:paraId="4117FF9B" w14:textId="5514D6ED" w:rsidR="001949A2" w:rsidRPr="00860946"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w:t>
            </w:r>
            <w:r w:rsidRPr="000B0FFA">
              <w:rPr>
                <w:rFonts w:asciiTheme="minorHAnsi" w:hAnsiTheme="minorHAnsi" w:cs="Times New Roman"/>
                <w:lang w:eastAsia="en-IE"/>
              </w:rPr>
              <w:t>145</w:t>
            </w:r>
            <w:r>
              <w:rPr>
                <w:rFonts w:asciiTheme="minorHAnsi" w:hAnsiTheme="minorHAnsi" w:cs="Times New Roman"/>
                <w:lang w:eastAsia="en-IE"/>
              </w:rPr>
              <w:t>)</w:t>
            </w:r>
          </w:p>
        </w:tc>
        <w:tc>
          <w:tcPr>
            <w:tcW w:w="993" w:type="dxa"/>
            <w:tcBorders>
              <w:top w:val="nil"/>
              <w:left w:val="nil"/>
              <w:bottom w:val="single" w:sz="4" w:space="0" w:color="auto"/>
            </w:tcBorders>
          </w:tcPr>
          <w:p w14:paraId="6385FB7D" w14:textId="1A1F92CC"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(108)</w:t>
            </w:r>
          </w:p>
        </w:tc>
        <w:tc>
          <w:tcPr>
            <w:tcW w:w="992" w:type="dxa"/>
            <w:tcBorders>
              <w:top w:val="nil"/>
              <w:left w:val="nil"/>
              <w:bottom w:val="single" w:sz="4" w:space="0" w:color="auto"/>
              <w:right w:val="nil"/>
            </w:tcBorders>
            <w:shd w:val="clear" w:color="auto" w:fill="auto"/>
          </w:tcPr>
          <w:p w14:paraId="50B5C59C" w14:textId="609C340F"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(90)</w:t>
            </w:r>
          </w:p>
        </w:tc>
        <w:tc>
          <w:tcPr>
            <w:tcW w:w="992" w:type="dxa"/>
            <w:tcBorders>
              <w:top w:val="nil"/>
              <w:left w:val="nil"/>
              <w:bottom w:val="single" w:sz="4" w:space="0" w:color="auto"/>
              <w:right w:val="nil"/>
            </w:tcBorders>
          </w:tcPr>
          <w:p w14:paraId="686AC584" w14:textId="7C768D43"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+19%</w:t>
            </w:r>
          </w:p>
        </w:tc>
        <w:tc>
          <w:tcPr>
            <w:tcW w:w="1276" w:type="dxa"/>
            <w:tcBorders>
              <w:top w:val="nil"/>
              <w:left w:val="nil"/>
              <w:bottom w:val="single" w:sz="4" w:space="0" w:color="auto"/>
              <w:right w:val="nil"/>
            </w:tcBorders>
          </w:tcPr>
          <w:p w14:paraId="6C116114" w14:textId="0EEDFDD4"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+16%</w:t>
            </w:r>
          </w:p>
        </w:tc>
        <w:tc>
          <w:tcPr>
            <w:tcW w:w="1276" w:type="dxa"/>
            <w:tcBorders>
              <w:top w:val="nil"/>
              <w:left w:val="nil"/>
              <w:bottom w:val="single" w:sz="4" w:space="0" w:color="auto"/>
              <w:right w:val="single" w:sz="4" w:space="0" w:color="auto"/>
            </w:tcBorders>
            <w:shd w:val="clear" w:color="auto" w:fill="auto"/>
          </w:tcPr>
          <w:p w14:paraId="19A9F67B" w14:textId="6DEB0450"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r>
      <w:tr w:rsidR="001949A2" w:rsidRPr="001F75A8" w14:paraId="4DA69C47" w14:textId="0EEEF383" w:rsidTr="00CE5CB2">
        <w:trPr>
          <w:trHeight w:val="70"/>
        </w:trPr>
        <w:tc>
          <w:tcPr>
            <w:tcW w:w="2977" w:type="dxa"/>
            <w:tcBorders>
              <w:top w:val="nil"/>
              <w:left w:val="single" w:sz="4" w:space="0" w:color="auto"/>
              <w:bottom w:val="nil"/>
              <w:right w:val="nil"/>
            </w:tcBorders>
          </w:tcPr>
          <w:p w14:paraId="3F02DC21" w14:textId="77777777" w:rsidR="001949A2" w:rsidRPr="00220D66"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992" w:type="dxa"/>
            <w:tcBorders>
              <w:top w:val="single" w:sz="4" w:space="0" w:color="auto"/>
              <w:left w:val="nil"/>
              <w:bottom w:val="nil"/>
            </w:tcBorders>
            <w:shd w:val="clear" w:color="auto" w:fill="auto"/>
          </w:tcPr>
          <w:p w14:paraId="6BC3A8C4" w14:textId="77777777"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3" w:type="dxa"/>
            <w:tcBorders>
              <w:top w:val="single" w:sz="4" w:space="0" w:color="auto"/>
              <w:left w:val="nil"/>
              <w:bottom w:val="nil"/>
            </w:tcBorders>
          </w:tcPr>
          <w:p w14:paraId="7BA42099"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2" w:type="dxa"/>
            <w:tcBorders>
              <w:top w:val="single" w:sz="4" w:space="0" w:color="auto"/>
              <w:left w:val="nil"/>
              <w:bottom w:val="nil"/>
              <w:right w:val="nil"/>
            </w:tcBorders>
            <w:shd w:val="clear" w:color="auto" w:fill="auto"/>
          </w:tcPr>
          <w:p w14:paraId="4C2E4BAE" w14:textId="260DD4A9"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2" w:type="dxa"/>
            <w:tcBorders>
              <w:top w:val="single" w:sz="4" w:space="0" w:color="auto"/>
              <w:left w:val="nil"/>
              <w:bottom w:val="nil"/>
              <w:right w:val="nil"/>
            </w:tcBorders>
          </w:tcPr>
          <w:p w14:paraId="271A4261"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276" w:type="dxa"/>
            <w:tcBorders>
              <w:top w:val="single" w:sz="4" w:space="0" w:color="auto"/>
              <w:left w:val="nil"/>
              <w:right w:val="nil"/>
            </w:tcBorders>
          </w:tcPr>
          <w:p w14:paraId="5A7B36D3" w14:textId="77777777"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276" w:type="dxa"/>
            <w:tcBorders>
              <w:top w:val="single" w:sz="4" w:space="0" w:color="auto"/>
              <w:left w:val="nil"/>
              <w:right w:val="single" w:sz="4" w:space="0" w:color="auto"/>
            </w:tcBorders>
            <w:shd w:val="clear" w:color="auto" w:fill="auto"/>
          </w:tcPr>
          <w:p w14:paraId="5890FF7F" w14:textId="71C62B62"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1949A2" w:rsidRPr="00443C47" w14:paraId="52AD4EFF" w14:textId="30FD3A88" w:rsidTr="00CE5CB2">
        <w:trPr>
          <w:trHeight w:val="70"/>
        </w:trPr>
        <w:tc>
          <w:tcPr>
            <w:tcW w:w="2977" w:type="dxa"/>
            <w:tcBorders>
              <w:top w:val="nil"/>
              <w:left w:val="single" w:sz="4" w:space="0" w:color="auto"/>
              <w:bottom w:val="nil"/>
              <w:right w:val="nil"/>
            </w:tcBorders>
          </w:tcPr>
          <w:p w14:paraId="0BC63446" w14:textId="77777777" w:rsidR="001949A2" w:rsidRPr="004C7C0F"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C7C0F">
              <w:rPr>
                <w:rFonts w:asciiTheme="minorHAnsi" w:hAnsiTheme="minorHAnsi" w:cs="Times New Roman"/>
                <w:b/>
                <w:lang w:eastAsia="en-IE"/>
              </w:rPr>
              <w:t>Underlying</w:t>
            </w:r>
            <w:r w:rsidRPr="00C83C07">
              <w:rPr>
                <w:rFonts w:asciiTheme="minorHAnsi" w:hAnsiTheme="minorHAnsi"/>
                <w:b/>
                <w:i/>
                <w:sz w:val="18"/>
                <w:szCs w:val="18"/>
                <w:vertAlign w:val="superscript"/>
              </w:rPr>
              <w:t>1</w:t>
            </w:r>
            <w:r w:rsidRPr="004C7C0F">
              <w:rPr>
                <w:rFonts w:asciiTheme="minorHAnsi" w:hAnsiTheme="minorHAnsi" w:cs="Times New Roman"/>
                <w:b/>
                <w:lang w:eastAsia="en-IE"/>
              </w:rPr>
              <w:t xml:space="preserve"> operating profit</w:t>
            </w:r>
          </w:p>
        </w:tc>
        <w:tc>
          <w:tcPr>
            <w:tcW w:w="992" w:type="dxa"/>
            <w:tcBorders>
              <w:top w:val="nil"/>
              <w:left w:val="nil"/>
              <w:bottom w:val="nil"/>
            </w:tcBorders>
            <w:shd w:val="clear" w:color="auto" w:fill="auto"/>
          </w:tcPr>
          <w:p w14:paraId="4DD02B29" w14:textId="658FAAE3"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281</w:t>
            </w:r>
          </w:p>
        </w:tc>
        <w:tc>
          <w:tcPr>
            <w:tcW w:w="993" w:type="dxa"/>
            <w:tcBorders>
              <w:top w:val="nil"/>
              <w:left w:val="nil"/>
              <w:bottom w:val="nil"/>
            </w:tcBorders>
          </w:tcPr>
          <w:p w14:paraId="68CCAD41" w14:textId="484F6564"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CE5CB2">
              <w:rPr>
                <w:rFonts w:asciiTheme="minorHAnsi" w:hAnsiTheme="minorHAnsi" w:cs="Times New Roman"/>
                <w:b/>
                <w:lang w:eastAsia="en-IE"/>
              </w:rPr>
              <w:t>277</w:t>
            </w:r>
          </w:p>
        </w:tc>
        <w:tc>
          <w:tcPr>
            <w:tcW w:w="992" w:type="dxa"/>
            <w:tcBorders>
              <w:top w:val="nil"/>
              <w:left w:val="nil"/>
              <w:bottom w:val="nil"/>
              <w:right w:val="nil"/>
            </w:tcBorders>
            <w:shd w:val="clear" w:color="auto" w:fill="auto"/>
          </w:tcPr>
          <w:p w14:paraId="4614938B" w14:textId="6283792D"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CE5CB2">
              <w:rPr>
                <w:rFonts w:asciiTheme="minorHAnsi" w:hAnsiTheme="minorHAnsi" w:cs="Times New Roman"/>
                <w:b/>
                <w:lang w:eastAsia="en-IE"/>
              </w:rPr>
              <w:t>360</w:t>
            </w:r>
          </w:p>
        </w:tc>
        <w:tc>
          <w:tcPr>
            <w:tcW w:w="992" w:type="dxa"/>
            <w:tcBorders>
              <w:top w:val="nil"/>
              <w:left w:val="nil"/>
              <w:bottom w:val="nil"/>
              <w:right w:val="nil"/>
            </w:tcBorders>
          </w:tcPr>
          <w:p w14:paraId="1E6D188F" w14:textId="6B162E43"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CE5CB2">
              <w:rPr>
                <w:rFonts w:asciiTheme="minorHAnsi" w:hAnsiTheme="minorHAnsi" w:cs="Times New Roman"/>
                <w:b/>
                <w:lang w:eastAsia="en-IE"/>
              </w:rPr>
              <w:t>-23%</w:t>
            </w:r>
          </w:p>
        </w:tc>
        <w:tc>
          <w:tcPr>
            <w:tcW w:w="1276" w:type="dxa"/>
            <w:tcBorders>
              <w:top w:val="nil"/>
              <w:left w:val="nil"/>
              <w:bottom w:val="single" w:sz="4" w:space="0" w:color="auto"/>
              <w:right w:val="nil"/>
            </w:tcBorders>
          </w:tcPr>
          <w:p w14:paraId="63840579" w14:textId="5B2F544D"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-25%</w:t>
            </w:r>
          </w:p>
        </w:tc>
        <w:tc>
          <w:tcPr>
            <w:tcW w:w="1276" w:type="dxa"/>
            <w:tcBorders>
              <w:top w:val="nil"/>
              <w:left w:val="nil"/>
              <w:bottom w:val="single" w:sz="4" w:space="0" w:color="auto"/>
              <w:right w:val="single" w:sz="4" w:space="0" w:color="auto"/>
            </w:tcBorders>
            <w:shd w:val="clear" w:color="auto" w:fill="auto"/>
          </w:tcPr>
          <w:p w14:paraId="613894B2" w14:textId="1572AD3F" w:rsidR="001949A2" w:rsidRPr="00FD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p>
        </w:tc>
      </w:tr>
      <w:tr w:rsidR="001949A2" w:rsidRPr="00240988" w14:paraId="1D51A060" w14:textId="14AC3391" w:rsidTr="00CE5CB2">
        <w:trPr>
          <w:trHeight w:val="70"/>
        </w:trPr>
        <w:tc>
          <w:tcPr>
            <w:tcW w:w="2977" w:type="dxa"/>
            <w:tcBorders>
              <w:top w:val="nil"/>
              <w:left w:val="single" w:sz="4" w:space="0" w:color="auto"/>
              <w:bottom w:val="nil"/>
              <w:right w:val="nil"/>
            </w:tcBorders>
          </w:tcPr>
          <w:p w14:paraId="5DBC80C6" w14:textId="77777777" w:rsidR="001949A2" w:rsidRPr="00240988"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992" w:type="dxa"/>
            <w:tcBorders>
              <w:top w:val="nil"/>
              <w:left w:val="nil"/>
              <w:bottom w:val="nil"/>
            </w:tcBorders>
            <w:shd w:val="clear" w:color="auto" w:fill="auto"/>
          </w:tcPr>
          <w:p w14:paraId="23A51A9A"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3" w:type="dxa"/>
            <w:tcBorders>
              <w:top w:val="nil"/>
              <w:left w:val="nil"/>
              <w:bottom w:val="nil"/>
            </w:tcBorders>
          </w:tcPr>
          <w:p w14:paraId="4734E0C4" w14:textId="77777777"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sz w:val="6"/>
                <w:szCs w:val="6"/>
                <w:lang w:eastAsia="en-IE"/>
              </w:rPr>
            </w:pPr>
          </w:p>
        </w:tc>
        <w:tc>
          <w:tcPr>
            <w:tcW w:w="992" w:type="dxa"/>
            <w:tcBorders>
              <w:top w:val="nil"/>
              <w:left w:val="nil"/>
              <w:bottom w:val="nil"/>
              <w:right w:val="nil"/>
            </w:tcBorders>
            <w:shd w:val="clear" w:color="auto" w:fill="auto"/>
          </w:tcPr>
          <w:p w14:paraId="0FFA444A" w14:textId="0F1F84C3"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sz w:val="6"/>
                <w:szCs w:val="6"/>
                <w:lang w:eastAsia="en-IE"/>
              </w:rPr>
            </w:pPr>
          </w:p>
        </w:tc>
        <w:tc>
          <w:tcPr>
            <w:tcW w:w="992" w:type="dxa"/>
            <w:tcBorders>
              <w:top w:val="nil"/>
              <w:left w:val="nil"/>
              <w:bottom w:val="nil"/>
              <w:right w:val="nil"/>
            </w:tcBorders>
          </w:tcPr>
          <w:p w14:paraId="0F1A8328"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276" w:type="dxa"/>
            <w:tcBorders>
              <w:top w:val="single" w:sz="4" w:space="0" w:color="auto"/>
              <w:left w:val="nil"/>
              <w:bottom w:val="nil"/>
              <w:right w:val="nil"/>
            </w:tcBorders>
          </w:tcPr>
          <w:p w14:paraId="66B3A100" w14:textId="718F119A" w:rsidR="001949A2" w:rsidRPr="00240988"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276" w:type="dxa"/>
            <w:tcBorders>
              <w:top w:val="single" w:sz="4" w:space="0" w:color="auto"/>
              <w:left w:val="nil"/>
              <w:bottom w:val="nil"/>
              <w:right w:val="single" w:sz="4" w:space="0" w:color="auto"/>
            </w:tcBorders>
            <w:shd w:val="clear" w:color="auto" w:fill="auto"/>
          </w:tcPr>
          <w:p w14:paraId="652A281C" w14:textId="5AD2DEA1" w:rsidR="001949A2" w:rsidRPr="00240988"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1949A2" w:rsidRPr="00443C47" w14:paraId="4BEB92E9" w14:textId="7C2E3190" w:rsidTr="00CE5CB2">
        <w:trPr>
          <w:trHeight w:val="70"/>
        </w:trPr>
        <w:tc>
          <w:tcPr>
            <w:tcW w:w="2977" w:type="dxa"/>
            <w:tcBorders>
              <w:top w:val="nil"/>
              <w:left w:val="single" w:sz="4" w:space="0" w:color="auto"/>
              <w:bottom w:val="nil"/>
              <w:right w:val="nil"/>
            </w:tcBorders>
          </w:tcPr>
          <w:p w14:paraId="5F82536C" w14:textId="58D22F77" w:rsidR="001949A2" w:rsidRPr="00646EEB"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sidRPr="00646EEB">
              <w:rPr>
                <w:rFonts w:asciiTheme="minorHAnsi" w:hAnsiTheme="minorHAnsi" w:cs="Times New Roman"/>
                <w:lang w:eastAsia="en-IE"/>
              </w:rPr>
              <w:t>Underlying</w:t>
            </w:r>
            <w:r w:rsidR="00FE1446" w:rsidRPr="005947DC">
              <w:rPr>
                <w:rFonts w:asciiTheme="minorHAnsi" w:hAnsiTheme="minorHAnsi" w:cs="Times New Roman"/>
                <w:vertAlign w:val="superscript"/>
                <w:lang w:eastAsia="en-IE"/>
              </w:rPr>
              <w:t>1</w:t>
            </w:r>
            <w:r w:rsidRPr="00646EEB">
              <w:rPr>
                <w:rFonts w:asciiTheme="minorHAnsi" w:hAnsiTheme="minorHAnsi" w:cs="Times New Roman"/>
                <w:lang w:eastAsia="en-IE"/>
              </w:rPr>
              <w:t xml:space="preserve"> net interest expense</w:t>
            </w:r>
          </w:p>
        </w:tc>
        <w:tc>
          <w:tcPr>
            <w:tcW w:w="992" w:type="dxa"/>
            <w:tcBorders>
              <w:top w:val="nil"/>
              <w:left w:val="nil"/>
              <w:bottom w:val="nil"/>
            </w:tcBorders>
            <w:shd w:val="clear" w:color="auto" w:fill="auto"/>
          </w:tcPr>
          <w:p w14:paraId="25C73A31" w14:textId="539BC3AB" w:rsidR="001949A2" w:rsidRPr="00860946"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B0FFA">
              <w:rPr>
                <w:rFonts w:asciiTheme="minorHAnsi" w:hAnsiTheme="minorHAnsi" w:cs="Times New Roman"/>
                <w:lang w:eastAsia="en-IE"/>
              </w:rPr>
              <w:t>(14)</w:t>
            </w:r>
          </w:p>
        </w:tc>
        <w:tc>
          <w:tcPr>
            <w:tcW w:w="993" w:type="dxa"/>
            <w:tcBorders>
              <w:top w:val="nil"/>
              <w:left w:val="nil"/>
              <w:bottom w:val="nil"/>
            </w:tcBorders>
          </w:tcPr>
          <w:p w14:paraId="4F09F4D1" w14:textId="09A85F2B"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p>
        </w:tc>
        <w:tc>
          <w:tcPr>
            <w:tcW w:w="992" w:type="dxa"/>
            <w:tcBorders>
              <w:top w:val="nil"/>
              <w:left w:val="nil"/>
              <w:bottom w:val="nil"/>
              <w:right w:val="nil"/>
            </w:tcBorders>
            <w:shd w:val="clear" w:color="auto" w:fill="auto"/>
          </w:tcPr>
          <w:p w14:paraId="6710291D" w14:textId="3A1E0EEB"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sidRPr="00CE5CB2">
              <w:rPr>
                <w:rFonts w:asciiTheme="minorHAnsi" w:hAnsiTheme="minorHAnsi" w:cs="Times New Roman"/>
                <w:lang w:eastAsia="en-IE"/>
              </w:rPr>
              <w:t xml:space="preserve">       (4)</w:t>
            </w:r>
          </w:p>
        </w:tc>
        <w:tc>
          <w:tcPr>
            <w:tcW w:w="992" w:type="dxa"/>
            <w:tcBorders>
              <w:top w:val="nil"/>
              <w:left w:val="nil"/>
              <w:bottom w:val="nil"/>
              <w:right w:val="nil"/>
            </w:tcBorders>
            <w:shd w:val="clear" w:color="auto" w:fill="auto"/>
          </w:tcPr>
          <w:p w14:paraId="72062A07" w14:textId="0DD2A6CA" w:rsidR="001949A2" w:rsidRPr="00860946"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B0FFA">
              <w:rPr>
                <w:rFonts w:asciiTheme="minorHAnsi" w:hAnsiTheme="minorHAnsi" w:cs="Times New Roman"/>
                <w:lang w:eastAsia="en-IE"/>
              </w:rPr>
              <w:t>+294%</w:t>
            </w:r>
          </w:p>
        </w:tc>
        <w:tc>
          <w:tcPr>
            <w:tcW w:w="1276" w:type="dxa"/>
            <w:tcBorders>
              <w:top w:val="nil"/>
              <w:left w:val="nil"/>
              <w:bottom w:val="nil"/>
              <w:right w:val="nil"/>
            </w:tcBorders>
          </w:tcPr>
          <w:p w14:paraId="39612BD8" w14:textId="77777777" w:rsidR="001949A2" w:rsidRPr="00392D7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c>
          <w:tcPr>
            <w:tcW w:w="1276" w:type="dxa"/>
            <w:tcBorders>
              <w:top w:val="nil"/>
              <w:left w:val="nil"/>
              <w:bottom w:val="nil"/>
              <w:right w:val="single" w:sz="4" w:space="0" w:color="auto"/>
            </w:tcBorders>
            <w:shd w:val="clear" w:color="auto" w:fill="auto"/>
          </w:tcPr>
          <w:p w14:paraId="6EFBC619" w14:textId="14346707" w:rsidR="001949A2" w:rsidRPr="00392D7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r>
      <w:tr w:rsidR="001949A2" w:rsidRPr="00443C47" w14:paraId="69C8C67C" w14:textId="3FA732E5" w:rsidTr="00CE5CB2">
        <w:trPr>
          <w:trHeight w:val="70"/>
        </w:trPr>
        <w:tc>
          <w:tcPr>
            <w:tcW w:w="2977" w:type="dxa"/>
            <w:tcBorders>
              <w:top w:val="nil"/>
              <w:left w:val="single" w:sz="4" w:space="0" w:color="auto"/>
              <w:bottom w:val="nil"/>
              <w:right w:val="nil"/>
            </w:tcBorders>
          </w:tcPr>
          <w:p w14:paraId="276FC8CA" w14:textId="77777777" w:rsidR="001949A2" w:rsidRPr="00220D66"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Separately disclosed items</w:t>
            </w:r>
          </w:p>
        </w:tc>
        <w:tc>
          <w:tcPr>
            <w:tcW w:w="992" w:type="dxa"/>
            <w:tcBorders>
              <w:top w:val="nil"/>
              <w:left w:val="nil"/>
              <w:bottom w:val="single" w:sz="4" w:space="0" w:color="auto"/>
            </w:tcBorders>
            <w:shd w:val="clear" w:color="auto" w:fill="auto"/>
          </w:tcPr>
          <w:p w14:paraId="0676C68D" w14:textId="19AE64F8" w:rsidR="001949A2" w:rsidRPr="00860946"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B0FFA">
              <w:rPr>
                <w:rFonts w:asciiTheme="minorHAnsi" w:hAnsiTheme="minorHAnsi" w:cs="Times New Roman"/>
                <w:lang w:eastAsia="en-IE"/>
              </w:rPr>
              <w:t>(131)</w:t>
            </w:r>
          </w:p>
        </w:tc>
        <w:tc>
          <w:tcPr>
            <w:tcW w:w="993" w:type="dxa"/>
            <w:tcBorders>
              <w:top w:val="nil"/>
              <w:left w:val="nil"/>
              <w:bottom w:val="single" w:sz="4" w:space="0" w:color="auto"/>
            </w:tcBorders>
          </w:tcPr>
          <w:p w14:paraId="7B25140A" w14:textId="1B579A3D"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c>
          <w:tcPr>
            <w:tcW w:w="992" w:type="dxa"/>
            <w:tcBorders>
              <w:top w:val="nil"/>
              <w:left w:val="nil"/>
              <w:bottom w:val="single" w:sz="4" w:space="0" w:color="auto"/>
              <w:right w:val="nil"/>
            </w:tcBorders>
            <w:shd w:val="clear" w:color="auto" w:fill="auto"/>
          </w:tcPr>
          <w:p w14:paraId="15ABC88C" w14:textId="4C01C666"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CE5CB2">
              <w:rPr>
                <w:rFonts w:asciiTheme="minorHAnsi" w:hAnsiTheme="minorHAnsi" w:cs="Times New Roman"/>
                <w:lang w:eastAsia="en-IE"/>
              </w:rPr>
              <w:t>(138)</w:t>
            </w:r>
          </w:p>
        </w:tc>
        <w:tc>
          <w:tcPr>
            <w:tcW w:w="992" w:type="dxa"/>
            <w:tcBorders>
              <w:top w:val="nil"/>
              <w:left w:val="nil"/>
              <w:bottom w:val="single" w:sz="4" w:space="0" w:color="auto"/>
              <w:right w:val="nil"/>
            </w:tcBorders>
            <w:shd w:val="clear" w:color="auto" w:fill="auto"/>
          </w:tcPr>
          <w:p w14:paraId="7A39549C" w14:textId="6555425C" w:rsidR="001949A2" w:rsidRPr="00860946"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B0FFA">
              <w:rPr>
                <w:rFonts w:asciiTheme="minorHAnsi" w:hAnsiTheme="minorHAnsi" w:cs="Times New Roman"/>
                <w:lang w:eastAsia="en-IE"/>
              </w:rPr>
              <w:t>-5%</w:t>
            </w:r>
          </w:p>
        </w:tc>
        <w:tc>
          <w:tcPr>
            <w:tcW w:w="1276" w:type="dxa"/>
            <w:tcBorders>
              <w:top w:val="nil"/>
              <w:left w:val="nil"/>
              <w:right w:val="nil"/>
            </w:tcBorders>
          </w:tcPr>
          <w:p w14:paraId="0EA3919A" w14:textId="18A32E6B" w:rsidR="001949A2" w:rsidRPr="00392D7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c>
          <w:tcPr>
            <w:tcW w:w="1276" w:type="dxa"/>
            <w:vMerge w:val="restart"/>
            <w:tcBorders>
              <w:top w:val="nil"/>
              <w:left w:val="nil"/>
              <w:right w:val="single" w:sz="4" w:space="0" w:color="auto"/>
            </w:tcBorders>
            <w:shd w:val="clear" w:color="auto" w:fill="auto"/>
          </w:tcPr>
          <w:p w14:paraId="516D50FC" w14:textId="5FDBCF10" w:rsidR="001949A2" w:rsidRPr="00392D7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r>
      <w:tr w:rsidR="001949A2" w:rsidRPr="00443C47" w14:paraId="3AEB3CC4" w14:textId="316460DE" w:rsidTr="00CE5CB2">
        <w:trPr>
          <w:trHeight w:val="70"/>
        </w:trPr>
        <w:tc>
          <w:tcPr>
            <w:tcW w:w="2977" w:type="dxa"/>
            <w:tcBorders>
              <w:top w:val="nil"/>
              <w:left w:val="single" w:sz="4" w:space="0" w:color="auto"/>
              <w:bottom w:val="nil"/>
              <w:right w:val="nil"/>
            </w:tcBorders>
          </w:tcPr>
          <w:p w14:paraId="56737550" w14:textId="77777777" w:rsidR="001949A2" w:rsidRPr="004C7C0F"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sz w:val="6"/>
                <w:szCs w:val="6"/>
                <w:lang w:eastAsia="en-IE"/>
              </w:rPr>
            </w:pPr>
          </w:p>
        </w:tc>
        <w:tc>
          <w:tcPr>
            <w:tcW w:w="992" w:type="dxa"/>
            <w:tcBorders>
              <w:top w:val="single" w:sz="4" w:space="0" w:color="auto"/>
              <w:left w:val="nil"/>
              <w:bottom w:val="nil"/>
            </w:tcBorders>
            <w:shd w:val="clear" w:color="auto" w:fill="auto"/>
          </w:tcPr>
          <w:p w14:paraId="266857FA" w14:textId="77777777"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993" w:type="dxa"/>
            <w:tcBorders>
              <w:top w:val="single" w:sz="4" w:space="0" w:color="auto"/>
              <w:left w:val="nil"/>
              <w:bottom w:val="nil"/>
            </w:tcBorders>
          </w:tcPr>
          <w:p w14:paraId="0ED04116"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992" w:type="dxa"/>
            <w:tcBorders>
              <w:top w:val="single" w:sz="4" w:space="0" w:color="auto"/>
              <w:left w:val="nil"/>
              <w:bottom w:val="nil"/>
              <w:right w:val="nil"/>
            </w:tcBorders>
            <w:shd w:val="clear" w:color="auto" w:fill="auto"/>
          </w:tcPr>
          <w:p w14:paraId="0C03EA77" w14:textId="587EAD6E"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992" w:type="dxa"/>
            <w:tcBorders>
              <w:top w:val="single" w:sz="4" w:space="0" w:color="auto"/>
              <w:left w:val="nil"/>
              <w:bottom w:val="nil"/>
              <w:right w:val="nil"/>
            </w:tcBorders>
            <w:shd w:val="clear" w:color="auto" w:fill="auto"/>
          </w:tcPr>
          <w:p w14:paraId="0D468624"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1276" w:type="dxa"/>
            <w:tcBorders>
              <w:left w:val="nil"/>
              <w:bottom w:val="nil"/>
              <w:right w:val="nil"/>
            </w:tcBorders>
          </w:tcPr>
          <w:p w14:paraId="3500B1D7" w14:textId="473880E2" w:rsidR="001949A2" w:rsidRPr="00392D7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1276" w:type="dxa"/>
            <w:vMerge/>
            <w:tcBorders>
              <w:left w:val="nil"/>
              <w:bottom w:val="nil"/>
              <w:right w:val="single" w:sz="4" w:space="0" w:color="auto"/>
            </w:tcBorders>
            <w:shd w:val="clear" w:color="auto" w:fill="auto"/>
          </w:tcPr>
          <w:p w14:paraId="15E2DAA9" w14:textId="34156CEE" w:rsidR="001949A2" w:rsidRPr="00392D7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r>
      <w:tr w:rsidR="001949A2" w:rsidRPr="00443C47" w14:paraId="3564F046" w14:textId="540709F9" w:rsidTr="00CE5CB2">
        <w:trPr>
          <w:trHeight w:val="70"/>
        </w:trPr>
        <w:tc>
          <w:tcPr>
            <w:tcW w:w="2977" w:type="dxa"/>
            <w:tcBorders>
              <w:top w:val="nil"/>
              <w:left w:val="single" w:sz="4" w:space="0" w:color="auto"/>
              <w:bottom w:val="nil"/>
              <w:right w:val="nil"/>
            </w:tcBorders>
          </w:tcPr>
          <w:p w14:paraId="6D870DF5" w14:textId="77777777" w:rsidR="001949A2" w:rsidRPr="004C7C0F"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Pr>
                <w:rFonts w:asciiTheme="minorHAnsi" w:hAnsiTheme="minorHAnsi" w:cs="Times New Roman"/>
                <w:b/>
                <w:lang w:eastAsia="en-IE"/>
              </w:rPr>
              <w:t>P</w:t>
            </w:r>
            <w:r w:rsidRPr="004C7C0F">
              <w:rPr>
                <w:rFonts w:asciiTheme="minorHAnsi" w:hAnsiTheme="minorHAnsi" w:cs="Times New Roman"/>
                <w:b/>
                <w:lang w:eastAsia="en-IE"/>
              </w:rPr>
              <w:t>rofit</w:t>
            </w:r>
            <w:r>
              <w:rPr>
                <w:rFonts w:asciiTheme="minorHAnsi" w:hAnsiTheme="minorHAnsi" w:cs="Times New Roman"/>
                <w:b/>
                <w:lang w:eastAsia="en-IE"/>
              </w:rPr>
              <w:t xml:space="preserve"> before tax</w:t>
            </w:r>
          </w:p>
        </w:tc>
        <w:tc>
          <w:tcPr>
            <w:tcW w:w="992" w:type="dxa"/>
            <w:tcBorders>
              <w:top w:val="nil"/>
              <w:left w:val="nil"/>
              <w:bottom w:val="single" w:sz="4" w:space="0" w:color="auto"/>
            </w:tcBorders>
            <w:shd w:val="clear" w:color="auto" w:fill="auto"/>
          </w:tcPr>
          <w:p w14:paraId="712F5947" w14:textId="23602F9E"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lang w:eastAsia="en-IE"/>
              </w:rPr>
            </w:pPr>
            <w:r>
              <w:rPr>
                <w:rFonts w:asciiTheme="minorHAnsi" w:hAnsiTheme="minorHAnsi" w:cs="Times New Roman"/>
                <w:b/>
                <w:lang w:eastAsia="en-IE"/>
              </w:rPr>
              <w:t xml:space="preserve">        136</w:t>
            </w:r>
          </w:p>
        </w:tc>
        <w:tc>
          <w:tcPr>
            <w:tcW w:w="993" w:type="dxa"/>
            <w:tcBorders>
              <w:top w:val="nil"/>
              <w:left w:val="nil"/>
              <w:bottom w:val="single" w:sz="4" w:space="0" w:color="auto"/>
            </w:tcBorders>
          </w:tcPr>
          <w:p w14:paraId="30E69227" w14:textId="0AC4D0AF"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p>
        </w:tc>
        <w:tc>
          <w:tcPr>
            <w:tcW w:w="992" w:type="dxa"/>
            <w:tcBorders>
              <w:top w:val="nil"/>
              <w:left w:val="nil"/>
              <w:bottom w:val="single" w:sz="4" w:space="0" w:color="auto"/>
              <w:right w:val="nil"/>
            </w:tcBorders>
            <w:shd w:val="clear" w:color="auto" w:fill="auto"/>
          </w:tcPr>
          <w:p w14:paraId="4080DA93" w14:textId="665DA096"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CE5CB2">
              <w:rPr>
                <w:rFonts w:asciiTheme="minorHAnsi" w:hAnsiTheme="minorHAnsi" w:cs="Times New Roman"/>
                <w:b/>
                <w:lang w:eastAsia="en-IE"/>
              </w:rPr>
              <w:t>219</w:t>
            </w:r>
          </w:p>
        </w:tc>
        <w:tc>
          <w:tcPr>
            <w:tcW w:w="992" w:type="dxa"/>
            <w:tcBorders>
              <w:top w:val="nil"/>
              <w:left w:val="nil"/>
              <w:bottom w:val="single" w:sz="4" w:space="0" w:color="auto"/>
              <w:right w:val="nil"/>
            </w:tcBorders>
            <w:shd w:val="clear" w:color="auto" w:fill="auto"/>
          </w:tcPr>
          <w:p w14:paraId="2A4E14E4" w14:textId="12DFBF5B"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-38%</w:t>
            </w:r>
          </w:p>
        </w:tc>
        <w:tc>
          <w:tcPr>
            <w:tcW w:w="1276" w:type="dxa"/>
            <w:tcBorders>
              <w:top w:val="nil"/>
              <w:left w:val="nil"/>
              <w:right w:val="nil"/>
            </w:tcBorders>
          </w:tcPr>
          <w:p w14:paraId="58C18D6F" w14:textId="5DB538EA" w:rsidR="001949A2" w:rsidRPr="00392D7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p>
        </w:tc>
        <w:tc>
          <w:tcPr>
            <w:tcW w:w="1276" w:type="dxa"/>
            <w:vMerge w:val="restart"/>
            <w:tcBorders>
              <w:top w:val="nil"/>
              <w:left w:val="nil"/>
              <w:right w:val="single" w:sz="4" w:space="0" w:color="auto"/>
            </w:tcBorders>
            <w:shd w:val="clear" w:color="auto" w:fill="auto"/>
          </w:tcPr>
          <w:p w14:paraId="3CA58826" w14:textId="76B3549A" w:rsidR="001949A2" w:rsidRPr="00392D7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p>
        </w:tc>
      </w:tr>
      <w:tr w:rsidR="001949A2" w:rsidRPr="00443C47" w14:paraId="7026AF66" w14:textId="50BE4806" w:rsidTr="00CE5CB2">
        <w:trPr>
          <w:trHeight w:val="70"/>
        </w:trPr>
        <w:tc>
          <w:tcPr>
            <w:tcW w:w="2977" w:type="dxa"/>
            <w:tcBorders>
              <w:top w:val="nil"/>
              <w:left w:val="single" w:sz="4" w:space="0" w:color="auto"/>
              <w:bottom w:val="nil"/>
              <w:right w:val="nil"/>
            </w:tcBorders>
          </w:tcPr>
          <w:p w14:paraId="7C62786E" w14:textId="77777777" w:rsidR="001949A2" w:rsidRPr="00220D66"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992" w:type="dxa"/>
            <w:tcBorders>
              <w:top w:val="single" w:sz="4" w:space="0" w:color="auto"/>
              <w:left w:val="nil"/>
              <w:bottom w:val="nil"/>
            </w:tcBorders>
            <w:shd w:val="clear" w:color="auto" w:fill="auto"/>
          </w:tcPr>
          <w:p w14:paraId="68B30D58"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3" w:type="dxa"/>
            <w:tcBorders>
              <w:top w:val="single" w:sz="4" w:space="0" w:color="auto"/>
              <w:left w:val="nil"/>
              <w:bottom w:val="nil"/>
            </w:tcBorders>
          </w:tcPr>
          <w:p w14:paraId="448C4519" w14:textId="77777777"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2" w:type="dxa"/>
            <w:tcBorders>
              <w:top w:val="single" w:sz="4" w:space="0" w:color="auto"/>
              <w:left w:val="nil"/>
              <w:bottom w:val="nil"/>
              <w:right w:val="nil"/>
            </w:tcBorders>
            <w:shd w:val="clear" w:color="auto" w:fill="auto"/>
          </w:tcPr>
          <w:p w14:paraId="3813CCB3" w14:textId="1881BF15"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2" w:type="dxa"/>
            <w:tcBorders>
              <w:top w:val="single" w:sz="4" w:space="0" w:color="auto"/>
              <w:left w:val="nil"/>
              <w:bottom w:val="nil"/>
              <w:right w:val="nil"/>
            </w:tcBorders>
          </w:tcPr>
          <w:p w14:paraId="6AA0BFCC"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276" w:type="dxa"/>
            <w:tcBorders>
              <w:left w:val="nil"/>
              <w:bottom w:val="nil"/>
              <w:right w:val="nil"/>
            </w:tcBorders>
          </w:tcPr>
          <w:p w14:paraId="1C2DEA59" w14:textId="77777777"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highlight w:val="yellow"/>
                <w:lang w:eastAsia="en-IE"/>
              </w:rPr>
            </w:pPr>
          </w:p>
        </w:tc>
        <w:tc>
          <w:tcPr>
            <w:tcW w:w="1276" w:type="dxa"/>
            <w:vMerge/>
            <w:tcBorders>
              <w:left w:val="nil"/>
              <w:bottom w:val="nil"/>
              <w:right w:val="single" w:sz="4" w:space="0" w:color="auto"/>
            </w:tcBorders>
            <w:shd w:val="clear" w:color="auto" w:fill="auto"/>
          </w:tcPr>
          <w:p w14:paraId="56B81C68" w14:textId="145BADF9"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highlight w:val="yellow"/>
                <w:lang w:eastAsia="en-IE"/>
              </w:rPr>
            </w:pPr>
          </w:p>
        </w:tc>
      </w:tr>
      <w:tr w:rsidR="001949A2" w:rsidRPr="004C7C0F" w14:paraId="3697DBF6" w14:textId="10CD687E" w:rsidTr="00CE5CB2">
        <w:trPr>
          <w:trHeight w:val="70"/>
        </w:trPr>
        <w:tc>
          <w:tcPr>
            <w:tcW w:w="2977" w:type="dxa"/>
            <w:tcBorders>
              <w:top w:val="nil"/>
              <w:left w:val="single" w:sz="4" w:space="0" w:color="auto"/>
              <w:bottom w:val="nil"/>
              <w:right w:val="nil"/>
            </w:tcBorders>
          </w:tcPr>
          <w:p w14:paraId="1723D24B" w14:textId="77777777" w:rsidR="001949A2" w:rsidRPr="004C7C0F"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p>
        </w:tc>
        <w:tc>
          <w:tcPr>
            <w:tcW w:w="992" w:type="dxa"/>
            <w:tcBorders>
              <w:top w:val="nil"/>
              <w:left w:val="nil"/>
              <w:bottom w:val="nil"/>
            </w:tcBorders>
            <w:shd w:val="clear" w:color="auto" w:fill="auto"/>
          </w:tcPr>
          <w:p w14:paraId="544752FF"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c>
          <w:tcPr>
            <w:tcW w:w="993" w:type="dxa"/>
            <w:tcBorders>
              <w:top w:val="nil"/>
              <w:left w:val="nil"/>
              <w:bottom w:val="nil"/>
            </w:tcBorders>
          </w:tcPr>
          <w:p w14:paraId="40764FF4" w14:textId="77777777"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c>
          <w:tcPr>
            <w:tcW w:w="992" w:type="dxa"/>
            <w:tcBorders>
              <w:top w:val="nil"/>
              <w:left w:val="nil"/>
              <w:bottom w:val="nil"/>
              <w:right w:val="nil"/>
            </w:tcBorders>
            <w:shd w:val="clear" w:color="auto" w:fill="auto"/>
          </w:tcPr>
          <w:p w14:paraId="4F47F2FA" w14:textId="544399F6"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c>
          <w:tcPr>
            <w:tcW w:w="992" w:type="dxa"/>
            <w:tcBorders>
              <w:top w:val="nil"/>
              <w:left w:val="nil"/>
              <w:bottom w:val="nil"/>
              <w:right w:val="nil"/>
            </w:tcBorders>
          </w:tcPr>
          <w:p w14:paraId="164141B5"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p>
        </w:tc>
        <w:tc>
          <w:tcPr>
            <w:tcW w:w="1276" w:type="dxa"/>
            <w:tcBorders>
              <w:top w:val="nil"/>
              <w:left w:val="nil"/>
              <w:bottom w:val="nil"/>
              <w:right w:val="nil"/>
            </w:tcBorders>
          </w:tcPr>
          <w:p w14:paraId="6E8081F4" w14:textId="0C55488B"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highlight w:val="yellow"/>
                <w:lang w:eastAsia="en-IE"/>
              </w:rPr>
            </w:pPr>
          </w:p>
        </w:tc>
        <w:tc>
          <w:tcPr>
            <w:tcW w:w="1276" w:type="dxa"/>
            <w:tcBorders>
              <w:top w:val="nil"/>
              <w:left w:val="nil"/>
              <w:bottom w:val="nil"/>
              <w:right w:val="single" w:sz="4" w:space="0" w:color="auto"/>
            </w:tcBorders>
            <w:shd w:val="clear" w:color="auto" w:fill="auto"/>
          </w:tcPr>
          <w:p w14:paraId="064C424B" w14:textId="28841759"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highlight w:val="yellow"/>
                <w:lang w:eastAsia="en-IE"/>
              </w:rPr>
            </w:pPr>
          </w:p>
        </w:tc>
      </w:tr>
      <w:tr w:rsidR="001949A2" w:rsidRPr="004F4DF1" w14:paraId="704573BA" w14:textId="1751542E" w:rsidTr="00CE5CB2">
        <w:trPr>
          <w:trHeight w:val="70"/>
        </w:trPr>
        <w:tc>
          <w:tcPr>
            <w:tcW w:w="2977" w:type="dxa"/>
            <w:tcBorders>
              <w:top w:val="nil"/>
              <w:left w:val="single" w:sz="4" w:space="0" w:color="auto"/>
              <w:bottom w:val="nil"/>
              <w:right w:val="nil"/>
            </w:tcBorders>
          </w:tcPr>
          <w:p w14:paraId="7ADE465A" w14:textId="77777777" w:rsidR="001949A2" w:rsidRPr="004F4DF1"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F4DF1">
              <w:rPr>
                <w:rFonts w:asciiTheme="minorHAnsi" w:hAnsiTheme="minorHAnsi" w:cs="Times New Roman"/>
                <w:b/>
                <w:lang w:eastAsia="en-IE"/>
              </w:rPr>
              <w:t>Underlying</w:t>
            </w:r>
            <w:r>
              <w:rPr>
                <w:rFonts w:asciiTheme="minorHAnsi" w:hAnsiTheme="minorHAnsi"/>
                <w:i/>
                <w:sz w:val="18"/>
                <w:szCs w:val="18"/>
                <w:vertAlign w:val="superscript"/>
              </w:rPr>
              <w:t>1</w:t>
            </w:r>
            <w:r w:rsidRPr="004F4DF1">
              <w:rPr>
                <w:rFonts w:asciiTheme="minorHAnsi" w:hAnsiTheme="minorHAnsi" w:cs="Times New Roman"/>
                <w:b/>
                <w:lang w:eastAsia="en-IE"/>
              </w:rPr>
              <w:t xml:space="preserve"> earnings per share</w:t>
            </w:r>
          </w:p>
        </w:tc>
        <w:tc>
          <w:tcPr>
            <w:tcW w:w="992" w:type="dxa"/>
            <w:tcBorders>
              <w:top w:val="nil"/>
              <w:left w:val="nil"/>
              <w:bottom w:val="nil"/>
            </w:tcBorders>
            <w:shd w:val="clear" w:color="auto" w:fill="auto"/>
          </w:tcPr>
          <w:p w14:paraId="3C3DF0AB" w14:textId="6A722CD4"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303p</w:t>
            </w:r>
          </w:p>
        </w:tc>
        <w:tc>
          <w:tcPr>
            <w:tcW w:w="993" w:type="dxa"/>
            <w:tcBorders>
              <w:top w:val="nil"/>
              <w:left w:val="nil"/>
              <w:bottom w:val="nil"/>
            </w:tcBorders>
          </w:tcPr>
          <w:p w14:paraId="37453205" w14:textId="3B8677BB"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p>
        </w:tc>
        <w:tc>
          <w:tcPr>
            <w:tcW w:w="992" w:type="dxa"/>
            <w:tcBorders>
              <w:top w:val="nil"/>
              <w:left w:val="nil"/>
              <w:bottom w:val="nil"/>
              <w:right w:val="nil"/>
            </w:tcBorders>
            <w:shd w:val="clear" w:color="auto" w:fill="auto"/>
          </w:tcPr>
          <w:p w14:paraId="2F46A145" w14:textId="15E61876"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CE5CB2">
              <w:rPr>
                <w:rFonts w:asciiTheme="minorHAnsi" w:hAnsiTheme="minorHAnsi" w:cs="Times New Roman"/>
                <w:b/>
                <w:lang w:eastAsia="en-IE"/>
              </w:rPr>
              <w:t>379p</w:t>
            </w:r>
          </w:p>
        </w:tc>
        <w:tc>
          <w:tcPr>
            <w:tcW w:w="992" w:type="dxa"/>
            <w:tcBorders>
              <w:top w:val="nil"/>
              <w:left w:val="nil"/>
              <w:bottom w:val="nil"/>
              <w:right w:val="nil"/>
            </w:tcBorders>
            <w:shd w:val="clear" w:color="auto" w:fill="auto"/>
          </w:tcPr>
          <w:p w14:paraId="43A5A30A" w14:textId="2F676B3B" w:rsidR="001949A2" w:rsidRPr="00CE5CB2" w:rsidRDefault="00695E69"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w:t>
            </w:r>
            <w:r w:rsidR="001949A2">
              <w:rPr>
                <w:rFonts w:asciiTheme="minorHAnsi" w:hAnsiTheme="minorHAnsi" w:cs="Times New Roman"/>
                <w:b/>
                <w:lang w:eastAsia="en-IE"/>
              </w:rPr>
              <w:t>20%</w:t>
            </w:r>
          </w:p>
        </w:tc>
        <w:tc>
          <w:tcPr>
            <w:tcW w:w="1276" w:type="dxa"/>
            <w:tcBorders>
              <w:top w:val="nil"/>
              <w:left w:val="nil"/>
              <w:bottom w:val="nil"/>
              <w:right w:val="nil"/>
            </w:tcBorders>
          </w:tcPr>
          <w:p w14:paraId="35806DF2" w14:textId="77777777"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highlight w:val="yellow"/>
                <w:lang w:eastAsia="en-IE"/>
              </w:rPr>
            </w:pPr>
          </w:p>
        </w:tc>
        <w:tc>
          <w:tcPr>
            <w:tcW w:w="1276" w:type="dxa"/>
            <w:tcBorders>
              <w:top w:val="nil"/>
              <w:left w:val="nil"/>
              <w:bottom w:val="nil"/>
              <w:right w:val="single" w:sz="4" w:space="0" w:color="auto"/>
            </w:tcBorders>
            <w:shd w:val="clear" w:color="auto" w:fill="auto"/>
          </w:tcPr>
          <w:p w14:paraId="168465E3" w14:textId="53065890"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highlight w:val="yellow"/>
                <w:lang w:eastAsia="en-IE"/>
              </w:rPr>
            </w:pPr>
          </w:p>
        </w:tc>
      </w:tr>
      <w:tr w:rsidR="001949A2" w:rsidRPr="004F4DF1" w14:paraId="5621F2EA" w14:textId="613F1C7C" w:rsidTr="00CE5CB2">
        <w:trPr>
          <w:trHeight w:val="70"/>
        </w:trPr>
        <w:tc>
          <w:tcPr>
            <w:tcW w:w="2977" w:type="dxa"/>
            <w:tcBorders>
              <w:top w:val="nil"/>
              <w:left w:val="single" w:sz="4" w:space="0" w:color="auto"/>
              <w:bottom w:val="nil"/>
              <w:right w:val="nil"/>
            </w:tcBorders>
          </w:tcPr>
          <w:p w14:paraId="3375A49A" w14:textId="77777777" w:rsidR="001949A2" w:rsidRPr="004F4DF1"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sz w:val="6"/>
                <w:szCs w:val="6"/>
                <w:lang w:eastAsia="en-IE"/>
              </w:rPr>
            </w:pPr>
          </w:p>
        </w:tc>
        <w:tc>
          <w:tcPr>
            <w:tcW w:w="992" w:type="dxa"/>
            <w:tcBorders>
              <w:top w:val="nil"/>
              <w:left w:val="nil"/>
              <w:bottom w:val="nil"/>
            </w:tcBorders>
            <w:shd w:val="clear" w:color="auto" w:fill="auto"/>
          </w:tcPr>
          <w:p w14:paraId="43386F81" w14:textId="77777777"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993" w:type="dxa"/>
            <w:tcBorders>
              <w:top w:val="nil"/>
              <w:left w:val="nil"/>
              <w:bottom w:val="nil"/>
            </w:tcBorders>
          </w:tcPr>
          <w:p w14:paraId="3E1BE96B"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992" w:type="dxa"/>
            <w:tcBorders>
              <w:top w:val="nil"/>
              <w:left w:val="nil"/>
              <w:bottom w:val="nil"/>
              <w:right w:val="nil"/>
            </w:tcBorders>
            <w:shd w:val="clear" w:color="auto" w:fill="auto"/>
          </w:tcPr>
          <w:p w14:paraId="671A6D3F" w14:textId="749CCAC5"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992" w:type="dxa"/>
            <w:tcBorders>
              <w:top w:val="nil"/>
              <w:left w:val="nil"/>
              <w:bottom w:val="nil"/>
              <w:right w:val="nil"/>
            </w:tcBorders>
          </w:tcPr>
          <w:p w14:paraId="7BDDEB5D"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1276" w:type="dxa"/>
            <w:tcBorders>
              <w:top w:val="nil"/>
              <w:left w:val="nil"/>
              <w:bottom w:val="nil"/>
              <w:right w:val="nil"/>
            </w:tcBorders>
          </w:tcPr>
          <w:p w14:paraId="69C3911F" w14:textId="3ECCC6AD"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highlight w:val="yellow"/>
                <w:lang w:eastAsia="en-IE"/>
              </w:rPr>
            </w:pPr>
          </w:p>
        </w:tc>
        <w:tc>
          <w:tcPr>
            <w:tcW w:w="1276" w:type="dxa"/>
            <w:tcBorders>
              <w:top w:val="nil"/>
              <w:left w:val="nil"/>
              <w:bottom w:val="nil"/>
              <w:right w:val="single" w:sz="4" w:space="0" w:color="auto"/>
            </w:tcBorders>
            <w:shd w:val="clear" w:color="auto" w:fill="auto"/>
          </w:tcPr>
          <w:p w14:paraId="6200DCC2" w14:textId="1B06AA64"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highlight w:val="yellow"/>
                <w:lang w:eastAsia="en-IE"/>
              </w:rPr>
            </w:pPr>
          </w:p>
        </w:tc>
      </w:tr>
      <w:tr w:rsidR="001949A2" w:rsidRPr="004F4DF1" w14:paraId="14B4B6C1" w14:textId="792365BC" w:rsidTr="00CE5CB2">
        <w:trPr>
          <w:trHeight w:val="70"/>
        </w:trPr>
        <w:tc>
          <w:tcPr>
            <w:tcW w:w="2977" w:type="dxa"/>
            <w:tcBorders>
              <w:top w:val="nil"/>
              <w:left w:val="single" w:sz="4" w:space="0" w:color="auto"/>
              <w:bottom w:val="nil"/>
              <w:right w:val="nil"/>
            </w:tcBorders>
          </w:tcPr>
          <w:p w14:paraId="6F70DF2F" w14:textId="77777777" w:rsidR="001949A2" w:rsidRPr="004F4DF1"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Pr>
                <w:rFonts w:asciiTheme="minorHAnsi" w:hAnsiTheme="minorHAnsi" w:cs="Times New Roman"/>
                <w:b/>
                <w:lang w:eastAsia="en-IE"/>
              </w:rPr>
              <w:t>D</w:t>
            </w:r>
            <w:r w:rsidRPr="004F4DF1">
              <w:rPr>
                <w:rFonts w:asciiTheme="minorHAnsi" w:hAnsiTheme="minorHAnsi" w:cs="Times New Roman"/>
                <w:b/>
                <w:lang w:eastAsia="en-IE"/>
              </w:rPr>
              <w:t>ividends per share</w:t>
            </w:r>
          </w:p>
        </w:tc>
        <w:tc>
          <w:tcPr>
            <w:tcW w:w="992" w:type="dxa"/>
            <w:tcBorders>
              <w:top w:val="nil"/>
              <w:left w:val="nil"/>
              <w:bottom w:val="nil"/>
            </w:tcBorders>
            <w:shd w:val="clear" w:color="auto" w:fill="auto"/>
          </w:tcPr>
          <w:p w14:paraId="582F08A8" w14:textId="392EA68B"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200p</w:t>
            </w:r>
          </w:p>
        </w:tc>
        <w:tc>
          <w:tcPr>
            <w:tcW w:w="993" w:type="dxa"/>
            <w:tcBorders>
              <w:top w:val="nil"/>
              <w:left w:val="nil"/>
              <w:bottom w:val="nil"/>
            </w:tcBorders>
          </w:tcPr>
          <w:p w14:paraId="72E4F103" w14:textId="30AC1694"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p>
        </w:tc>
        <w:tc>
          <w:tcPr>
            <w:tcW w:w="992" w:type="dxa"/>
            <w:tcBorders>
              <w:top w:val="nil"/>
              <w:left w:val="nil"/>
              <w:bottom w:val="nil"/>
              <w:right w:val="nil"/>
            </w:tcBorders>
            <w:shd w:val="clear" w:color="auto" w:fill="auto"/>
          </w:tcPr>
          <w:p w14:paraId="1F6BF52B" w14:textId="4FD67F78"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CE5CB2">
              <w:rPr>
                <w:rFonts w:asciiTheme="minorHAnsi" w:hAnsiTheme="minorHAnsi" w:cs="Times New Roman"/>
                <w:b/>
                <w:lang w:eastAsia="en-IE"/>
              </w:rPr>
              <w:t>200p</w:t>
            </w:r>
          </w:p>
        </w:tc>
        <w:tc>
          <w:tcPr>
            <w:tcW w:w="992" w:type="dxa"/>
            <w:tcBorders>
              <w:top w:val="nil"/>
              <w:left w:val="nil"/>
              <w:bottom w:val="nil"/>
              <w:right w:val="nil"/>
            </w:tcBorders>
          </w:tcPr>
          <w:p w14:paraId="0BA927D3" w14:textId="0442B363"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rPr>
            </w:pPr>
          </w:p>
        </w:tc>
        <w:tc>
          <w:tcPr>
            <w:tcW w:w="1276" w:type="dxa"/>
            <w:tcBorders>
              <w:top w:val="nil"/>
              <w:left w:val="nil"/>
              <w:bottom w:val="nil"/>
              <w:right w:val="nil"/>
            </w:tcBorders>
          </w:tcPr>
          <w:p w14:paraId="28F8E3EA" w14:textId="50EEADF1"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highlight w:val="yellow"/>
                <w:lang w:eastAsia="en-IE"/>
              </w:rPr>
            </w:pPr>
          </w:p>
        </w:tc>
        <w:tc>
          <w:tcPr>
            <w:tcW w:w="1276" w:type="dxa"/>
            <w:tcBorders>
              <w:top w:val="nil"/>
              <w:left w:val="nil"/>
              <w:bottom w:val="nil"/>
              <w:right w:val="single" w:sz="4" w:space="0" w:color="auto"/>
            </w:tcBorders>
            <w:shd w:val="clear" w:color="auto" w:fill="auto"/>
          </w:tcPr>
          <w:p w14:paraId="30BE6EFD" w14:textId="0EA34774" w:rsidR="001949A2" w:rsidRPr="006C28DA"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highlight w:val="yellow"/>
                <w:lang w:eastAsia="en-IE"/>
              </w:rPr>
            </w:pPr>
          </w:p>
        </w:tc>
      </w:tr>
      <w:tr w:rsidR="001949A2" w:rsidRPr="004F4DF1" w14:paraId="3E437C9A" w14:textId="2B99F00C" w:rsidTr="00CE5CB2">
        <w:trPr>
          <w:trHeight w:val="70"/>
        </w:trPr>
        <w:tc>
          <w:tcPr>
            <w:tcW w:w="2977" w:type="dxa"/>
            <w:tcBorders>
              <w:top w:val="nil"/>
              <w:left w:val="single" w:sz="4" w:space="0" w:color="auto"/>
              <w:bottom w:val="nil"/>
              <w:right w:val="nil"/>
            </w:tcBorders>
          </w:tcPr>
          <w:p w14:paraId="73D3D198" w14:textId="77777777" w:rsidR="001949A2" w:rsidRPr="004F4DF1"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sz w:val="6"/>
                <w:szCs w:val="6"/>
                <w:lang w:eastAsia="en-IE"/>
              </w:rPr>
            </w:pPr>
          </w:p>
        </w:tc>
        <w:tc>
          <w:tcPr>
            <w:tcW w:w="992" w:type="dxa"/>
            <w:tcBorders>
              <w:top w:val="nil"/>
              <w:left w:val="nil"/>
              <w:bottom w:val="nil"/>
            </w:tcBorders>
            <w:shd w:val="clear" w:color="auto" w:fill="auto"/>
          </w:tcPr>
          <w:p w14:paraId="201C9900" w14:textId="77777777" w:rsidR="001949A2" w:rsidRPr="00053CFE"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993" w:type="dxa"/>
            <w:tcBorders>
              <w:top w:val="nil"/>
              <w:left w:val="nil"/>
              <w:bottom w:val="nil"/>
            </w:tcBorders>
          </w:tcPr>
          <w:p w14:paraId="779B9BEC"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992" w:type="dxa"/>
            <w:tcBorders>
              <w:top w:val="nil"/>
              <w:left w:val="nil"/>
              <w:bottom w:val="nil"/>
              <w:right w:val="nil"/>
            </w:tcBorders>
            <w:shd w:val="clear" w:color="auto" w:fill="auto"/>
          </w:tcPr>
          <w:p w14:paraId="04265452" w14:textId="53FEF8CC"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992" w:type="dxa"/>
            <w:tcBorders>
              <w:top w:val="nil"/>
              <w:left w:val="nil"/>
              <w:bottom w:val="nil"/>
              <w:right w:val="nil"/>
            </w:tcBorders>
          </w:tcPr>
          <w:p w14:paraId="4D7D6D8F" w14:textId="77777777" w:rsidR="001949A2" w:rsidRPr="00CE5CB2"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1276" w:type="dxa"/>
            <w:tcBorders>
              <w:top w:val="nil"/>
              <w:left w:val="nil"/>
              <w:bottom w:val="nil"/>
              <w:right w:val="nil"/>
            </w:tcBorders>
          </w:tcPr>
          <w:p w14:paraId="5F0DC21E" w14:textId="77777777" w:rsidR="001949A2" w:rsidRPr="004F4DF1"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1276" w:type="dxa"/>
            <w:tcBorders>
              <w:top w:val="nil"/>
              <w:left w:val="nil"/>
              <w:bottom w:val="nil"/>
              <w:right w:val="single" w:sz="4" w:space="0" w:color="auto"/>
            </w:tcBorders>
            <w:shd w:val="clear" w:color="auto" w:fill="auto"/>
          </w:tcPr>
          <w:p w14:paraId="51337605" w14:textId="6F4C5961" w:rsidR="001949A2" w:rsidRPr="004F4DF1"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r>
      <w:tr w:rsidR="001949A2" w:rsidRPr="004F4DF1" w14:paraId="4FCC1E82" w14:textId="3C7773F1" w:rsidTr="00CE5CB2">
        <w:trPr>
          <w:trHeight w:val="70"/>
        </w:trPr>
        <w:tc>
          <w:tcPr>
            <w:tcW w:w="2977" w:type="dxa"/>
            <w:tcBorders>
              <w:top w:val="nil"/>
              <w:left w:val="single" w:sz="4" w:space="0" w:color="auto"/>
              <w:bottom w:val="single" w:sz="4" w:space="0" w:color="auto"/>
              <w:right w:val="nil"/>
            </w:tcBorders>
          </w:tcPr>
          <w:p w14:paraId="3CCA03BD" w14:textId="77777777" w:rsidR="001949A2" w:rsidRPr="004F4DF1"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sz w:val="4"/>
                <w:szCs w:val="4"/>
                <w:lang w:eastAsia="en-IE"/>
              </w:rPr>
            </w:pPr>
          </w:p>
        </w:tc>
        <w:tc>
          <w:tcPr>
            <w:tcW w:w="992" w:type="dxa"/>
            <w:tcBorders>
              <w:top w:val="nil"/>
              <w:left w:val="nil"/>
              <w:bottom w:val="single" w:sz="4" w:space="0" w:color="auto"/>
            </w:tcBorders>
            <w:shd w:val="clear" w:color="auto" w:fill="auto"/>
          </w:tcPr>
          <w:p w14:paraId="2CFE3916" w14:textId="77777777" w:rsidR="001949A2" w:rsidRPr="004F4DF1"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993" w:type="dxa"/>
            <w:tcBorders>
              <w:top w:val="nil"/>
              <w:left w:val="nil"/>
              <w:bottom w:val="single" w:sz="4" w:space="0" w:color="auto"/>
            </w:tcBorders>
          </w:tcPr>
          <w:p w14:paraId="3DDBD6F2" w14:textId="77777777" w:rsidR="001949A2" w:rsidRPr="004F4DF1"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992" w:type="dxa"/>
            <w:tcBorders>
              <w:top w:val="nil"/>
              <w:left w:val="nil"/>
              <w:bottom w:val="single" w:sz="4" w:space="0" w:color="auto"/>
              <w:right w:val="nil"/>
            </w:tcBorders>
            <w:shd w:val="clear" w:color="auto" w:fill="auto"/>
          </w:tcPr>
          <w:p w14:paraId="2FE0C926" w14:textId="6FFFA7F8" w:rsidR="001949A2" w:rsidRPr="004F4DF1"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992" w:type="dxa"/>
            <w:tcBorders>
              <w:top w:val="nil"/>
              <w:left w:val="nil"/>
              <w:bottom w:val="single" w:sz="4" w:space="0" w:color="auto"/>
              <w:right w:val="nil"/>
            </w:tcBorders>
          </w:tcPr>
          <w:p w14:paraId="5D918D92" w14:textId="77777777" w:rsidR="001949A2" w:rsidRPr="004F4DF1"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1276" w:type="dxa"/>
            <w:tcBorders>
              <w:top w:val="nil"/>
              <w:left w:val="nil"/>
              <w:bottom w:val="single" w:sz="4" w:space="0" w:color="auto"/>
              <w:right w:val="nil"/>
            </w:tcBorders>
          </w:tcPr>
          <w:p w14:paraId="2794AEAD" w14:textId="173520E8" w:rsidR="001949A2" w:rsidRPr="004F4DF1"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1276" w:type="dxa"/>
            <w:tcBorders>
              <w:top w:val="nil"/>
              <w:left w:val="nil"/>
              <w:bottom w:val="single" w:sz="4" w:space="0" w:color="auto"/>
              <w:right w:val="single" w:sz="4" w:space="0" w:color="auto"/>
            </w:tcBorders>
            <w:shd w:val="clear" w:color="auto" w:fill="auto"/>
          </w:tcPr>
          <w:p w14:paraId="3FBCF9E8" w14:textId="39F5D90E" w:rsidR="001949A2" w:rsidRPr="004F4DF1" w:rsidRDefault="001949A2" w:rsidP="001949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r>
    </w:tbl>
    <w:p w14:paraId="5F112B84" w14:textId="0E92FAB1" w:rsidR="007711C1" w:rsidRDefault="00E64F5C" w:rsidP="00A4573F">
      <w:pPr>
        <w:spacing w:before="120" w:after="120"/>
        <w:jc w:val="both"/>
        <w:rPr>
          <w:rFonts w:asciiTheme="minorHAnsi" w:hAnsiTheme="minorHAnsi"/>
          <w:sz w:val="22"/>
          <w:szCs w:val="22"/>
        </w:rPr>
      </w:pPr>
      <w:r>
        <w:rPr>
          <w:rFonts w:asciiTheme="minorHAnsi" w:hAnsiTheme="minorHAnsi"/>
          <w:sz w:val="22"/>
          <w:szCs w:val="22"/>
        </w:rPr>
        <w:t>During 2019</w:t>
      </w:r>
      <w:r w:rsidR="007711C1">
        <w:rPr>
          <w:rFonts w:asciiTheme="minorHAnsi" w:hAnsiTheme="minorHAnsi"/>
          <w:sz w:val="22"/>
          <w:szCs w:val="22"/>
        </w:rPr>
        <w:t xml:space="preserve"> Flutter </w:t>
      </w:r>
      <w:r w:rsidR="00953925">
        <w:rPr>
          <w:rFonts w:asciiTheme="minorHAnsi" w:hAnsiTheme="minorHAnsi"/>
          <w:sz w:val="22"/>
          <w:szCs w:val="22"/>
        </w:rPr>
        <w:t>expan</w:t>
      </w:r>
      <w:r w:rsidR="007711C1">
        <w:rPr>
          <w:rFonts w:asciiTheme="minorHAnsi" w:hAnsiTheme="minorHAnsi"/>
          <w:sz w:val="22"/>
          <w:szCs w:val="22"/>
        </w:rPr>
        <w:t>d</w:t>
      </w:r>
      <w:r w:rsidR="008A5634">
        <w:rPr>
          <w:rFonts w:asciiTheme="minorHAnsi" w:hAnsiTheme="minorHAnsi"/>
          <w:sz w:val="22"/>
          <w:szCs w:val="22"/>
        </w:rPr>
        <w:t>ed</w:t>
      </w:r>
      <w:r w:rsidR="00953925">
        <w:rPr>
          <w:rFonts w:asciiTheme="minorHAnsi" w:hAnsiTheme="minorHAnsi"/>
          <w:sz w:val="22"/>
          <w:szCs w:val="22"/>
        </w:rPr>
        <w:t xml:space="preserve"> </w:t>
      </w:r>
      <w:r w:rsidR="007711C1">
        <w:rPr>
          <w:rFonts w:asciiTheme="minorHAnsi" w:hAnsiTheme="minorHAnsi"/>
          <w:sz w:val="22"/>
          <w:szCs w:val="22"/>
        </w:rPr>
        <w:t xml:space="preserve">its presence in both the </w:t>
      </w:r>
      <w:r w:rsidR="00953925">
        <w:rPr>
          <w:rFonts w:asciiTheme="minorHAnsi" w:hAnsiTheme="minorHAnsi"/>
          <w:sz w:val="22"/>
          <w:szCs w:val="22"/>
        </w:rPr>
        <w:t xml:space="preserve">US </w:t>
      </w:r>
      <w:r w:rsidR="007711C1">
        <w:rPr>
          <w:rFonts w:asciiTheme="minorHAnsi" w:hAnsiTheme="minorHAnsi"/>
          <w:sz w:val="22"/>
          <w:szCs w:val="22"/>
        </w:rPr>
        <w:t>and Europe, with the roll-out of</w:t>
      </w:r>
      <w:r w:rsidR="006563FD">
        <w:rPr>
          <w:rFonts w:asciiTheme="minorHAnsi" w:hAnsiTheme="minorHAnsi"/>
          <w:sz w:val="22"/>
          <w:szCs w:val="22"/>
        </w:rPr>
        <w:t xml:space="preserve"> online</w:t>
      </w:r>
      <w:r w:rsidR="007711C1">
        <w:rPr>
          <w:rFonts w:asciiTheme="minorHAnsi" w:hAnsiTheme="minorHAnsi"/>
          <w:sz w:val="22"/>
          <w:szCs w:val="22"/>
        </w:rPr>
        <w:t xml:space="preserve"> sports</w:t>
      </w:r>
      <w:r w:rsidR="005A7B59">
        <w:rPr>
          <w:rFonts w:asciiTheme="minorHAnsi" w:hAnsiTheme="minorHAnsi"/>
          <w:sz w:val="22"/>
          <w:szCs w:val="22"/>
        </w:rPr>
        <w:t xml:space="preserve"> </w:t>
      </w:r>
      <w:r w:rsidR="007711C1">
        <w:rPr>
          <w:rFonts w:asciiTheme="minorHAnsi" w:hAnsiTheme="minorHAnsi"/>
          <w:sz w:val="22"/>
          <w:szCs w:val="22"/>
        </w:rPr>
        <w:t xml:space="preserve">betting </w:t>
      </w:r>
      <w:r w:rsidR="005A48AC">
        <w:rPr>
          <w:rFonts w:asciiTheme="minorHAnsi" w:hAnsiTheme="minorHAnsi"/>
          <w:sz w:val="22"/>
          <w:szCs w:val="22"/>
        </w:rPr>
        <w:t xml:space="preserve">in </w:t>
      </w:r>
      <w:r w:rsidR="00CE0BD2">
        <w:rPr>
          <w:rFonts w:asciiTheme="minorHAnsi" w:hAnsiTheme="minorHAnsi"/>
          <w:sz w:val="22"/>
          <w:szCs w:val="22"/>
        </w:rPr>
        <w:t xml:space="preserve">3 </w:t>
      </w:r>
      <w:r w:rsidR="007711C1">
        <w:rPr>
          <w:rFonts w:asciiTheme="minorHAnsi" w:hAnsiTheme="minorHAnsi"/>
          <w:sz w:val="22"/>
          <w:szCs w:val="22"/>
        </w:rPr>
        <w:t>additional US states and the acquisition of Adjarabet, the market leader in online gaming in Georgia. These developments, coupled with good organic growth</w:t>
      </w:r>
      <w:r w:rsidR="008A5634">
        <w:rPr>
          <w:rFonts w:asciiTheme="minorHAnsi" w:hAnsiTheme="minorHAnsi"/>
          <w:sz w:val="22"/>
          <w:szCs w:val="22"/>
        </w:rPr>
        <w:t xml:space="preserve"> in our core operations</w:t>
      </w:r>
      <w:r w:rsidR="005A48AC">
        <w:rPr>
          <w:rFonts w:asciiTheme="minorHAnsi" w:hAnsiTheme="minorHAnsi"/>
          <w:sz w:val="22"/>
          <w:szCs w:val="22"/>
        </w:rPr>
        <w:t>,</w:t>
      </w:r>
      <w:r w:rsidR="007711C1">
        <w:rPr>
          <w:rFonts w:asciiTheme="minorHAnsi" w:hAnsiTheme="minorHAnsi"/>
          <w:sz w:val="22"/>
          <w:szCs w:val="22"/>
        </w:rPr>
        <w:t xml:space="preserve"> drove </w:t>
      </w:r>
      <w:r w:rsidR="008A5634">
        <w:rPr>
          <w:rFonts w:asciiTheme="minorHAnsi" w:hAnsiTheme="minorHAnsi"/>
          <w:sz w:val="22"/>
          <w:szCs w:val="22"/>
        </w:rPr>
        <w:t xml:space="preserve">Group </w:t>
      </w:r>
      <w:r w:rsidR="007711C1">
        <w:rPr>
          <w:rFonts w:asciiTheme="minorHAnsi" w:hAnsiTheme="minorHAnsi"/>
          <w:sz w:val="22"/>
          <w:szCs w:val="22"/>
        </w:rPr>
        <w:t xml:space="preserve">revenue growth of </w:t>
      </w:r>
      <w:r w:rsidR="00A4573F" w:rsidRPr="00F66B69">
        <w:rPr>
          <w:rFonts w:asciiTheme="minorHAnsi" w:hAnsiTheme="minorHAnsi"/>
          <w:sz w:val="22"/>
          <w:szCs w:val="22"/>
        </w:rPr>
        <w:t>14% to £2.1 billion</w:t>
      </w:r>
      <w:r w:rsidR="007711C1">
        <w:rPr>
          <w:rFonts w:asciiTheme="minorHAnsi" w:hAnsiTheme="minorHAnsi"/>
          <w:sz w:val="22"/>
          <w:szCs w:val="22"/>
        </w:rPr>
        <w:t>.</w:t>
      </w:r>
      <w:r w:rsidR="00A4573F">
        <w:rPr>
          <w:rFonts w:asciiTheme="minorHAnsi" w:hAnsiTheme="minorHAnsi"/>
          <w:sz w:val="22"/>
          <w:szCs w:val="22"/>
        </w:rPr>
        <w:t xml:space="preserve"> </w:t>
      </w:r>
      <w:r w:rsidR="00A4573F" w:rsidRPr="00F66B69">
        <w:rPr>
          <w:rFonts w:asciiTheme="minorHAnsi" w:hAnsiTheme="minorHAnsi"/>
          <w:sz w:val="22"/>
          <w:szCs w:val="22"/>
        </w:rPr>
        <w:t>On a proforma</w:t>
      </w:r>
      <w:r w:rsidR="00A4573F" w:rsidRPr="00F66B69">
        <w:rPr>
          <w:rFonts w:asciiTheme="minorHAnsi" w:hAnsiTheme="minorHAnsi"/>
          <w:sz w:val="22"/>
          <w:szCs w:val="22"/>
          <w:vertAlign w:val="superscript"/>
        </w:rPr>
        <w:t>4</w:t>
      </w:r>
      <w:r w:rsidR="00A4573F" w:rsidRPr="00F66B69">
        <w:rPr>
          <w:rFonts w:asciiTheme="minorHAnsi" w:hAnsiTheme="minorHAnsi"/>
          <w:sz w:val="22"/>
          <w:szCs w:val="22"/>
        </w:rPr>
        <w:t>, constant currency</w:t>
      </w:r>
      <w:r w:rsidR="00332701" w:rsidRPr="00F66B69">
        <w:rPr>
          <w:rFonts w:asciiTheme="minorHAnsi" w:hAnsiTheme="minorHAnsi"/>
          <w:sz w:val="22"/>
          <w:szCs w:val="22"/>
          <w:vertAlign w:val="superscript"/>
        </w:rPr>
        <w:t>3</w:t>
      </w:r>
      <w:r w:rsidR="00A4573F" w:rsidRPr="00F66B69">
        <w:rPr>
          <w:rFonts w:asciiTheme="minorHAnsi" w:hAnsiTheme="minorHAnsi"/>
          <w:sz w:val="22"/>
          <w:szCs w:val="22"/>
        </w:rPr>
        <w:t xml:space="preserve"> basis</w:t>
      </w:r>
      <w:r w:rsidR="00A4573F" w:rsidRPr="00761C14">
        <w:rPr>
          <w:rFonts w:asciiTheme="minorHAnsi" w:hAnsiTheme="minorHAnsi"/>
          <w:sz w:val="22"/>
          <w:szCs w:val="22"/>
        </w:rPr>
        <w:t xml:space="preserve">, Group revenue growth was </w:t>
      </w:r>
      <w:r w:rsidR="00FD6367">
        <w:rPr>
          <w:rFonts w:asciiTheme="minorHAnsi" w:hAnsiTheme="minorHAnsi"/>
          <w:sz w:val="22"/>
          <w:szCs w:val="22"/>
        </w:rPr>
        <w:t>9</w:t>
      </w:r>
      <w:r w:rsidR="00A4573F" w:rsidRPr="00761C14">
        <w:rPr>
          <w:rFonts w:asciiTheme="minorHAnsi" w:hAnsiTheme="minorHAnsi"/>
          <w:sz w:val="22"/>
          <w:szCs w:val="22"/>
        </w:rPr>
        <w:t xml:space="preserve">%. </w:t>
      </w:r>
    </w:p>
    <w:p w14:paraId="3204464D" w14:textId="2C1A1909" w:rsidR="005705BF" w:rsidRDefault="00A4573F" w:rsidP="00A4573F">
      <w:pPr>
        <w:spacing w:after="120"/>
        <w:jc w:val="both"/>
        <w:rPr>
          <w:rFonts w:asciiTheme="minorHAnsi" w:hAnsiTheme="minorHAnsi"/>
          <w:sz w:val="22"/>
          <w:szCs w:val="22"/>
        </w:rPr>
      </w:pPr>
      <w:r w:rsidRPr="00761C14">
        <w:rPr>
          <w:rFonts w:asciiTheme="minorHAnsi" w:hAnsiTheme="minorHAnsi"/>
          <w:sz w:val="22"/>
          <w:szCs w:val="22"/>
        </w:rPr>
        <w:t xml:space="preserve">Cost of sales were adversely affected by </w:t>
      </w:r>
      <w:r w:rsidR="005705BF">
        <w:rPr>
          <w:rFonts w:asciiTheme="minorHAnsi" w:hAnsiTheme="minorHAnsi"/>
          <w:sz w:val="22"/>
          <w:szCs w:val="22"/>
        </w:rPr>
        <w:t>the increase</w:t>
      </w:r>
      <w:r w:rsidR="00336CDD">
        <w:rPr>
          <w:rFonts w:asciiTheme="minorHAnsi" w:hAnsiTheme="minorHAnsi"/>
          <w:sz w:val="22"/>
          <w:szCs w:val="22"/>
        </w:rPr>
        <w:t>d</w:t>
      </w:r>
      <w:r w:rsidR="005705BF">
        <w:rPr>
          <w:rFonts w:asciiTheme="minorHAnsi" w:hAnsiTheme="minorHAnsi"/>
          <w:sz w:val="22"/>
          <w:szCs w:val="22"/>
        </w:rPr>
        <w:t xml:space="preserve"> gaming </w:t>
      </w:r>
      <w:r w:rsidRPr="00761C14">
        <w:rPr>
          <w:rFonts w:asciiTheme="minorHAnsi" w:hAnsiTheme="minorHAnsi"/>
          <w:sz w:val="22"/>
          <w:szCs w:val="22"/>
        </w:rPr>
        <w:t>tax</w:t>
      </w:r>
      <w:r w:rsidR="005705BF">
        <w:rPr>
          <w:rFonts w:asciiTheme="minorHAnsi" w:hAnsiTheme="minorHAnsi"/>
          <w:sz w:val="22"/>
          <w:szCs w:val="22"/>
        </w:rPr>
        <w:t>es</w:t>
      </w:r>
      <w:r w:rsidRPr="00761C14">
        <w:rPr>
          <w:rFonts w:asciiTheme="minorHAnsi" w:hAnsiTheme="minorHAnsi"/>
          <w:sz w:val="22"/>
          <w:szCs w:val="22"/>
        </w:rPr>
        <w:t xml:space="preserve"> in Ireland, </w:t>
      </w:r>
      <w:r w:rsidRPr="00980707">
        <w:rPr>
          <w:rFonts w:asciiTheme="minorHAnsi" w:hAnsiTheme="minorHAnsi"/>
          <w:sz w:val="22"/>
          <w:szCs w:val="22"/>
        </w:rPr>
        <w:t xml:space="preserve">the UK and Australia. </w:t>
      </w:r>
      <w:r w:rsidR="00334D80">
        <w:rPr>
          <w:rFonts w:asciiTheme="minorHAnsi" w:hAnsiTheme="minorHAnsi"/>
          <w:sz w:val="22"/>
          <w:szCs w:val="22"/>
        </w:rPr>
        <w:t xml:space="preserve">The year-on-year impact of </w:t>
      </w:r>
      <w:r w:rsidR="00336CDD">
        <w:rPr>
          <w:rFonts w:asciiTheme="minorHAnsi" w:hAnsiTheme="minorHAnsi"/>
          <w:sz w:val="22"/>
          <w:szCs w:val="22"/>
        </w:rPr>
        <w:t xml:space="preserve">these </w:t>
      </w:r>
      <w:r w:rsidR="008277C2">
        <w:rPr>
          <w:rFonts w:asciiTheme="minorHAnsi" w:hAnsiTheme="minorHAnsi"/>
          <w:sz w:val="22"/>
          <w:szCs w:val="22"/>
        </w:rPr>
        <w:t>was</w:t>
      </w:r>
      <w:r w:rsidR="008277C2" w:rsidRPr="00681121">
        <w:rPr>
          <w:rFonts w:asciiTheme="minorHAnsi" w:hAnsiTheme="minorHAnsi"/>
          <w:sz w:val="22"/>
          <w:szCs w:val="22"/>
        </w:rPr>
        <w:t xml:space="preserve"> </w:t>
      </w:r>
      <w:r w:rsidR="005705BF" w:rsidRPr="00681121">
        <w:rPr>
          <w:rFonts w:asciiTheme="minorHAnsi" w:hAnsiTheme="minorHAnsi"/>
          <w:sz w:val="22"/>
          <w:szCs w:val="22"/>
        </w:rPr>
        <w:t>£</w:t>
      </w:r>
      <w:r w:rsidR="00AA7AF0" w:rsidRPr="00681121">
        <w:rPr>
          <w:rFonts w:asciiTheme="minorHAnsi" w:hAnsiTheme="minorHAnsi"/>
          <w:sz w:val="22"/>
          <w:szCs w:val="22"/>
        </w:rPr>
        <w:t>7</w:t>
      </w:r>
      <w:r w:rsidR="00AA7AF0">
        <w:rPr>
          <w:rFonts w:asciiTheme="minorHAnsi" w:hAnsiTheme="minorHAnsi"/>
          <w:sz w:val="22"/>
          <w:szCs w:val="22"/>
        </w:rPr>
        <w:t>3</w:t>
      </w:r>
      <w:r w:rsidR="00AA7AF0" w:rsidRPr="00681121">
        <w:rPr>
          <w:rFonts w:asciiTheme="minorHAnsi" w:hAnsiTheme="minorHAnsi"/>
          <w:sz w:val="22"/>
          <w:szCs w:val="22"/>
        </w:rPr>
        <w:t>m</w:t>
      </w:r>
      <w:r w:rsidR="005705BF" w:rsidRPr="00980707">
        <w:rPr>
          <w:rFonts w:asciiTheme="minorHAnsi" w:hAnsiTheme="minorHAnsi"/>
          <w:sz w:val="22"/>
          <w:szCs w:val="22"/>
        </w:rPr>
        <w:t xml:space="preserve">, </w:t>
      </w:r>
      <w:r w:rsidR="00B92CA5">
        <w:rPr>
          <w:rFonts w:asciiTheme="minorHAnsi" w:hAnsiTheme="minorHAnsi"/>
          <w:sz w:val="22"/>
          <w:szCs w:val="22"/>
        </w:rPr>
        <w:t xml:space="preserve">and this was the primary driver </w:t>
      </w:r>
      <w:r w:rsidR="006F3D7A">
        <w:rPr>
          <w:rFonts w:asciiTheme="minorHAnsi" w:hAnsiTheme="minorHAnsi"/>
          <w:sz w:val="22"/>
          <w:szCs w:val="22"/>
        </w:rPr>
        <w:t>of</w:t>
      </w:r>
      <w:r w:rsidR="006F7345">
        <w:rPr>
          <w:rFonts w:asciiTheme="minorHAnsi" w:hAnsiTheme="minorHAnsi"/>
          <w:sz w:val="22"/>
          <w:szCs w:val="22"/>
        </w:rPr>
        <w:t xml:space="preserve"> </w:t>
      </w:r>
      <w:r w:rsidR="005705BF">
        <w:rPr>
          <w:rFonts w:asciiTheme="minorHAnsi" w:hAnsiTheme="minorHAnsi"/>
          <w:sz w:val="22"/>
          <w:szCs w:val="22"/>
        </w:rPr>
        <w:t xml:space="preserve">cost of sales as a percentage of revenues </w:t>
      </w:r>
      <w:r w:rsidR="006F3D7A">
        <w:rPr>
          <w:rFonts w:asciiTheme="minorHAnsi" w:hAnsiTheme="minorHAnsi"/>
          <w:sz w:val="22"/>
          <w:szCs w:val="22"/>
        </w:rPr>
        <w:t xml:space="preserve">increasing </w:t>
      </w:r>
      <w:r w:rsidR="006F7345">
        <w:rPr>
          <w:rFonts w:asciiTheme="minorHAnsi" w:hAnsiTheme="minorHAnsi"/>
          <w:sz w:val="22"/>
          <w:szCs w:val="22"/>
        </w:rPr>
        <w:t xml:space="preserve">by </w:t>
      </w:r>
      <w:r w:rsidR="004B7586">
        <w:rPr>
          <w:rFonts w:asciiTheme="minorHAnsi" w:hAnsiTheme="minorHAnsi"/>
          <w:sz w:val="22"/>
          <w:szCs w:val="22"/>
        </w:rPr>
        <w:t>530bps</w:t>
      </w:r>
      <w:r w:rsidR="00336CDD">
        <w:rPr>
          <w:rFonts w:asciiTheme="minorHAnsi" w:hAnsiTheme="minorHAnsi"/>
          <w:sz w:val="22"/>
          <w:szCs w:val="22"/>
        </w:rPr>
        <w:t xml:space="preserve"> to </w:t>
      </w:r>
      <w:r w:rsidR="005705BF">
        <w:rPr>
          <w:rFonts w:asciiTheme="minorHAnsi" w:hAnsiTheme="minorHAnsi"/>
          <w:sz w:val="22"/>
          <w:szCs w:val="22"/>
        </w:rPr>
        <w:t>30.</w:t>
      </w:r>
      <w:r w:rsidR="000B51A0">
        <w:rPr>
          <w:rFonts w:asciiTheme="minorHAnsi" w:hAnsiTheme="minorHAnsi"/>
          <w:sz w:val="22"/>
          <w:szCs w:val="22"/>
        </w:rPr>
        <w:t>4</w:t>
      </w:r>
      <w:r w:rsidR="005705BF">
        <w:rPr>
          <w:rFonts w:asciiTheme="minorHAnsi" w:hAnsiTheme="minorHAnsi"/>
          <w:sz w:val="22"/>
          <w:szCs w:val="22"/>
        </w:rPr>
        <w:t xml:space="preserve">%.  </w:t>
      </w:r>
      <w:r w:rsidRPr="00761C14">
        <w:rPr>
          <w:rFonts w:asciiTheme="minorHAnsi" w:hAnsiTheme="minorHAnsi"/>
          <w:sz w:val="22"/>
          <w:szCs w:val="22"/>
        </w:rPr>
        <w:t xml:space="preserve"> </w:t>
      </w:r>
    </w:p>
    <w:p w14:paraId="4F8F6DCD" w14:textId="55431465" w:rsidR="00A4573F" w:rsidRDefault="00FE1446" w:rsidP="00A4573F">
      <w:pPr>
        <w:spacing w:after="120"/>
        <w:jc w:val="both"/>
        <w:rPr>
          <w:rFonts w:asciiTheme="minorHAnsi" w:hAnsiTheme="minorHAnsi"/>
          <w:sz w:val="22"/>
          <w:szCs w:val="22"/>
        </w:rPr>
      </w:pPr>
      <w:r>
        <w:rPr>
          <w:rFonts w:asciiTheme="minorHAnsi" w:hAnsiTheme="minorHAnsi"/>
          <w:sz w:val="22"/>
          <w:szCs w:val="22"/>
        </w:rPr>
        <w:t>Other</w:t>
      </w:r>
      <w:r w:rsidRPr="00761C14">
        <w:rPr>
          <w:rFonts w:asciiTheme="minorHAnsi" w:hAnsiTheme="minorHAnsi"/>
          <w:sz w:val="22"/>
          <w:szCs w:val="22"/>
        </w:rPr>
        <w:t xml:space="preserve"> </w:t>
      </w:r>
      <w:r w:rsidR="00A4573F" w:rsidRPr="00761C14">
        <w:rPr>
          <w:rFonts w:asciiTheme="minorHAnsi" w:hAnsiTheme="minorHAnsi"/>
          <w:sz w:val="22"/>
          <w:szCs w:val="22"/>
        </w:rPr>
        <w:t>operating costs</w:t>
      </w:r>
      <w:r w:rsidR="00A4573F" w:rsidRPr="00ED70CA">
        <w:rPr>
          <w:rFonts w:asciiTheme="minorHAnsi" w:hAnsiTheme="minorHAnsi"/>
          <w:sz w:val="22"/>
          <w:szCs w:val="22"/>
        </w:rPr>
        <w:t xml:space="preserve"> increased by </w:t>
      </w:r>
      <w:r w:rsidR="009A2E12" w:rsidRPr="00ED70CA">
        <w:rPr>
          <w:rFonts w:asciiTheme="minorHAnsi" w:hAnsiTheme="minorHAnsi"/>
          <w:sz w:val="22"/>
          <w:szCs w:val="22"/>
        </w:rPr>
        <w:t>1</w:t>
      </w:r>
      <w:r w:rsidR="001A5512" w:rsidRPr="00ED70CA">
        <w:rPr>
          <w:rFonts w:asciiTheme="minorHAnsi" w:hAnsiTheme="minorHAnsi"/>
          <w:sz w:val="22"/>
          <w:szCs w:val="22"/>
        </w:rPr>
        <w:t>7</w:t>
      </w:r>
      <w:r w:rsidR="00A4573F" w:rsidRPr="00ED70CA">
        <w:rPr>
          <w:rFonts w:asciiTheme="minorHAnsi" w:hAnsiTheme="minorHAnsi"/>
          <w:sz w:val="22"/>
          <w:szCs w:val="22"/>
        </w:rPr>
        <w:t xml:space="preserve">%, or </w:t>
      </w:r>
      <w:r>
        <w:rPr>
          <w:rFonts w:asciiTheme="minorHAnsi" w:hAnsiTheme="minorHAnsi"/>
          <w:sz w:val="22"/>
          <w:szCs w:val="22"/>
        </w:rPr>
        <w:t>10</w:t>
      </w:r>
      <w:r w:rsidR="00A4573F" w:rsidRPr="00ED70CA">
        <w:rPr>
          <w:rFonts w:asciiTheme="minorHAnsi" w:hAnsiTheme="minorHAnsi"/>
          <w:sz w:val="22"/>
          <w:szCs w:val="22"/>
        </w:rPr>
        <w:t xml:space="preserve">% </w:t>
      </w:r>
      <w:r w:rsidR="00A4573F" w:rsidRPr="00761C14">
        <w:rPr>
          <w:rFonts w:asciiTheme="minorHAnsi" w:hAnsiTheme="minorHAnsi"/>
          <w:sz w:val="22"/>
          <w:szCs w:val="22"/>
        </w:rPr>
        <w:t>on a proforma</w:t>
      </w:r>
      <w:r w:rsidR="00A4573F" w:rsidRPr="00761C14">
        <w:rPr>
          <w:rFonts w:asciiTheme="minorHAnsi" w:hAnsiTheme="minorHAnsi"/>
          <w:sz w:val="22"/>
          <w:szCs w:val="22"/>
          <w:vertAlign w:val="superscript"/>
        </w:rPr>
        <w:t>4</w:t>
      </w:r>
      <w:r w:rsidR="00A4573F" w:rsidRPr="00761C14">
        <w:rPr>
          <w:rFonts w:asciiTheme="minorHAnsi" w:hAnsiTheme="minorHAnsi"/>
          <w:sz w:val="22"/>
          <w:szCs w:val="22"/>
        </w:rPr>
        <w:t xml:space="preserve"> </w:t>
      </w:r>
      <w:r w:rsidR="00E80C2B" w:rsidRPr="00761C14">
        <w:rPr>
          <w:rFonts w:asciiTheme="minorHAnsi" w:hAnsiTheme="minorHAnsi"/>
          <w:sz w:val="22"/>
          <w:szCs w:val="22"/>
        </w:rPr>
        <w:t>constant currency</w:t>
      </w:r>
      <w:r w:rsidR="00332701" w:rsidRPr="00D051FC">
        <w:rPr>
          <w:rFonts w:asciiTheme="minorHAnsi" w:hAnsiTheme="minorHAnsi"/>
          <w:sz w:val="22"/>
          <w:szCs w:val="22"/>
          <w:vertAlign w:val="superscript"/>
        </w:rPr>
        <w:t>3</w:t>
      </w:r>
      <w:r w:rsidR="00E80C2B" w:rsidRPr="00761C14">
        <w:rPr>
          <w:rFonts w:asciiTheme="minorHAnsi" w:hAnsiTheme="minorHAnsi"/>
          <w:sz w:val="22"/>
          <w:szCs w:val="22"/>
        </w:rPr>
        <w:t xml:space="preserve"> </w:t>
      </w:r>
      <w:r w:rsidR="00A4573F" w:rsidRPr="00761C14">
        <w:rPr>
          <w:rFonts w:asciiTheme="minorHAnsi" w:hAnsiTheme="minorHAnsi"/>
          <w:sz w:val="22"/>
          <w:szCs w:val="22"/>
        </w:rPr>
        <w:t>basis. The majority of this increase reflect</w:t>
      </w:r>
      <w:r w:rsidR="005705BF">
        <w:rPr>
          <w:rFonts w:asciiTheme="minorHAnsi" w:hAnsiTheme="minorHAnsi"/>
          <w:sz w:val="22"/>
          <w:szCs w:val="22"/>
        </w:rPr>
        <w:t>ed</w:t>
      </w:r>
      <w:r w:rsidR="00A4573F" w:rsidRPr="00761C14">
        <w:rPr>
          <w:rFonts w:asciiTheme="minorHAnsi" w:hAnsiTheme="minorHAnsi"/>
          <w:sz w:val="22"/>
          <w:szCs w:val="22"/>
        </w:rPr>
        <w:t xml:space="preserve"> </w:t>
      </w:r>
      <w:r w:rsidR="00E80C2B">
        <w:rPr>
          <w:rFonts w:asciiTheme="minorHAnsi" w:hAnsiTheme="minorHAnsi"/>
          <w:sz w:val="22"/>
          <w:szCs w:val="22"/>
        </w:rPr>
        <w:t xml:space="preserve">additional </w:t>
      </w:r>
      <w:r w:rsidR="00A4573F" w:rsidRPr="00761C14">
        <w:rPr>
          <w:rFonts w:asciiTheme="minorHAnsi" w:hAnsiTheme="minorHAnsi"/>
          <w:sz w:val="22"/>
          <w:szCs w:val="22"/>
        </w:rPr>
        <w:t>investment in the US</w:t>
      </w:r>
      <w:r w:rsidR="00E80C2B">
        <w:rPr>
          <w:rFonts w:asciiTheme="minorHAnsi" w:hAnsiTheme="minorHAnsi"/>
          <w:sz w:val="22"/>
          <w:szCs w:val="22"/>
        </w:rPr>
        <w:t xml:space="preserve"> with </w:t>
      </w:r>
      <w:r w:rsidR="00334D80">
        <w:rPr>
          <w:rFonts w:asciiTheme="minorHAnsi" w:hAnsiTheme="minorHAnsi"/>
          <w:sz w:val="22"/>
          <w:szCs w:val="22"/>
        </w:rPr>
        <w:t xml:space="preserve">the equivalent </w:t>
      </w:r>
      <w:r w:rsidR="00E80C2B">
        <w:rPr>
          <w:rFonts w:asciiTheme="minorHAnsi" w:hAnsiTheme="minorHAnsi"/>
          <w:sz w:val="22"/>
          <w:szCs w:val="22"/>
        </w:rPr>
        <w:t xml:space="preserve">organic </w:t>
      </w:r>
      <w:r w:rsidR="00334D80">
        <w:rPr>
          <w:rFonts w:asciiTheme="minorHAnsi" w:hAnsiTheme="minorHAnsi"/>
          <w:sz w:val="22"/>
          <w:szCs w:val="22"/>
        </w:rPr>
        <w:t>growth</w:t>
      </w:r>
      <w:r w:rsidR="006A34B2">
        <w:rPr>
          <w:rFonts w:asciiTheme="minorHAnsi" w:hAnsiTheme="minorHAnsi"/>
          <w:sz w:val="22"/>
          <w:szCs w:val="22"/>
        </w:rPr>
        <w:t xml:space="preserve"> for the</w:t>
      </w:r>
      <w:r w:rsidR="00E80C2B">
        <w:rPr>
          <w:rFonts w:asciiTheme="minorHAnsi" w:hAnsiTheme="minorHAnsi"/>
          <w:sz w:val="22"/>
          <w:szCs w:val="22"/>
        </w:rPr>
        <w:t xml:space="preserve"> Group </w:t>
      </w:r>
      <w:r w:rsidR="006A34B2">
        <w:rPr>
          <w:rFonts w:asciiTheme="minorHAnsi" w:hAnsiTheme="minorHAnsi"/>
          <w:sz w:val="22"/>
          <w:szCs w:val="22"/>
        </w:rPr>
        <w:t>(</w:t>
      </w:r>
      <w:r w:rsidR="00E80C2B">
        <w:rPr>
          <w:rFonts w:asciiTheme="minorHAnsi" w:hAnsiTheme="minorHAnsi"/>
          <w:sz w:val="22"/>
          <w:szCs w:val="22"/>
        </w:rPr>
        <w:t>ex</w:t>
      </w:r>
      <w:r w:rsidR="006A34B2">
        <w:rPr>
          <w:rFonts w:asciiTheme="minorHAnsi" w:hAnsiTheme="minorHAnsi"/>
          <w:sz w:val="22"/>
          <w:szCs w:val="22"/>
        </w:rPr>
        <w:t xml:space="preserve">cluding </w:t>
      </w:r>
      <w:r w:rsidR="00E80C2B">
        <w:rPr>
          <w:rFonts w:asciiTheme="minorHAnsi" w:hAnsiTheme="minorHAnsi"/>
          <w:sz w:val="22"/>
          <w:szCs w:val="22"/>
        </w:rPr>
        <w:t>US</w:t>
      </w:r>
      <w:r w:rsidR="006A34B2" w:rsidRPr="00ED70CA">
        <w:rPr>
          <w:rFonts w:asciiTheme="minorHAnsi" w:hAnsiTheme="minorHAnsi"/>
          <w:sz w:val="22"/>
          <w:szCs w:val="22"/>
        </w:rPr>
        <w:t>)</w:t>
      </w:r>
      <w:r w:rsidR="00334D80" w:rsidRPr="00ED70CA">
        <w:rPr>
          <w:rFonts w:asciiTheme="minorHAnsi" w:hAnsiTheme="minorHAnsi"/>
          <w:sz w:val="22"/>
          <w:szCs w:val="22"/>
        </w:rPr>
        <w:t xml:space="preserve"> up </w:t>
      </w:r>
      <w:r w:rsidR="00ED70CA">
        <w:rPr>
          <w:rFonts w:asciiTheme="minorHAnsi" w:hAnsiTheme="minorHAnsi"/>
          <w:sz w:val="22"/>
          <w:szCs w:val="22"/>
        </w:rPr>
        <w:t>3</w:t>
      </w:r>
      <w:r w:rsidR="00334D80" w:rsidRPr="00ED70CA">
        <w:rPr>
          <w:rFonts w:asciiTheme="minorHAnsi" w:hAnsiTheme="minorHAnsi"/>
          <w:sz w:val="22"/>
          <w:szCs w:val="22"/>
        </w:rPr>
        <w:t>%</w:t>
      </w:r>
      <w:r w:rsidR="00FD0125" w:rsidRPr="00ED70CA">
        <w:rPr>
          <w:rFonts w:asciiTheme="minorHAnsi" w:hAnsiTheme="minorHAnsi"/>
          <w:sz w:val="22"/>
          <w:szCs w:val="22"/>
        </w:rPr>
        <w:t xml:space="preserve"> </w:t>
      </w:r>
      <w:r w:rsidR="00FD0125">
        <w:rPr>
          <w:rFonts w:asciiTheme="minorHAnsi" w:hAnsiTheme="minorHAnsi"/>
          <w:sz w:val="22"/>
          <w:szCs w:val="22"/>
        </w:rPr>
        <w:t>year</w:t>
      </w:r>
      <w:r w:rsidR="00334D80">
        <w:rPr>
          <w:rFonts w:asciiTheme="minorHAnsi" w:hAnsiTheme="minorHAnsi"/>
          <w:sz w:val="22"/>
          <w:szCs w:val="22"/>
        </w:rPr>
        <w:t>-</w:t>
      </w:r>
      <w:r w:rsidR="00FD0125">
        <w:rPr>
          <w:rFonts w:asciiTheme="minorHAnsi" w:hAnsiTheme="minorHAnsi"/>
          <w:sz w:val="22"/>
          <w:szCs w:val="22"/>
        </w:rPr>
        <w:t>on</w:t>
      </w:r>
      <w:r w:rsidR="00334D80">
        <w:rPr>
          <w:rFonts w:asciiTheme="minorHAnsi" w:hAnsiTheme="minorHAnsi"/>
          <w:sz w:val="22"/>
          <w:szCs w:val="22"/>
        </w:rPr>
        <w:t>-</w:t>
      </w:r>
      <w:r w:rsidR="00FD0125">
        <w:rPr>
          <w:rFonts w:asciiTheme="minorHAnsi" w:hAnsiTheme="minorHAnsi"/>
          <w:sz w:val="22"/>
          <w:szCs w:val="22"/>
        </w:rPr>
        <w:t>year</w:t>
      </w:r>
      <w:r w:rsidR="00E80C2B">
        <w:rPr>
          <w:rFonts w:asciiTheme="minorHAnsi" w:hAnsiTheme="minorHAnsi"/>
          <w:sz w:val="22"/>
          <w:szCs w:val="22"/>
        </w:rPr>
        <w:t>.</w:t>
      </w:r>
    </w:p>
    <w:p w14:paraId="2CA26D25" w14:textId="2C140264" w:rsidR="00444932" w:rsidRPr="006B7350" w:rsidRDefault="00444932" w:rsidP="00444932">
      <w:pPr>
        <w:spacing w:before="120" w:after="120"/>
        <w:jc w:val="both"/>
        <w:rPr>
          <w:rFonts w:asciiTheme="minorHAnsi" w:hAnsiTheme="minorHAnsi"/>
          <w:sz w:val="22"/>
          <w:szCs w:val="22"/>
        </w:rPr>
      </w:pPr>
      <w:r w:rsidRPr="00761C14">
        <w:rPr>
          <w:rFonts w:asciiTheme="minorHAnsi" w:hAnsiTheme="minorHAnsi"/>
          <w:sz w:val="22"/>
          <w:szCs w:val="22"/>
        </w:rPr>
        <w:t>Underlying</w:t>
      </w:r>
      <w:r w:rsidR="00EA3F18" w:rsidRPr="000C7A56">
        <w:rPr>
          <w:rFonts w:asciiTheme="minorHAnsi" w:hAnsiTheme="minorHAnsi"/>
          <w:sz w:val="22"/>
          <w:vertAlign w:val="superscript"/>
        </w:rPr>
        <w:t xml:space="preserve"> </w:t>
      </w:r>
      <w:r w:rsidRPr="00761C14">
        <w:rPr>
          <w:rFonts w:asciiTheme="minorHAnsi" w:hAnsiTheme="minorHAnsi"/>
          <w:sz w:val="22"/>
          <w:szCs w:val="22"/>
        </w:rPr>
        <w:t>EBITDA</w:t>
      </w:r>
      <w:r w:rsidR="00EA3F18" w:rsidRPr="00676F2F">
        <w:rPr>
          <w:rFonts w:asciiTheme="minorHAnsi" w:hAnsiTheme="minorHAnsi"/>
          <w:sz w:val="22"/>
          <w:szCs w:val="22"/>
          <w:vertAlign w:val="superscript"/>
        </w:rPr>
        <w:t>1,</w:t>
      </w:r>
      <w:r w:rsidR="00FE1446" w:rsidRPr="005947DC">
        <w:rPr>
          <w:rFonts w:asciiTheme="minorHAnsi" w:hAnsiTheme="minorHAnsi"/>
          <w:sz w:val="22"/>
          <w:szCs w:val="22"/>
          <w:vertAlign w:val="superscript"/>
        </w:rPr>
        <w:t>2</w:t>
      </w:r>
      <w:r w:rsidRPr="00761C14">
        <w:rPr>
          <w:rFonts w:asciiTheme="minorHAnsi" w:hAnsiTheme="minorHAnsi"/>
          <w:sz w:val="22"/>
          <w:szCs w:val="22"/>
        </w:rPr>
        <w:t xml:space="preserve"> </w:t>
      </w:r>
      <w:r>
        <w:rPr>
          <w:rFonts w:asciiTheme="minorHAnsi" w:hAnsiTheme="minorHAnsi"/>
          <w:sz w:val="22"/>
          <w:szCs w:val="22"/>
        </w:rPr>
        <w:t xml:space="preserve">declined 15% to £385m, partly </w:t>
      </w:r>
      <w:r w:rsidRPr="00761C14">
        <w:rPr>
          <w:rFonts w:asciiTheme="minorHAnsi" w:hAnsiTheme="minorHAnsi"/>
          <w:sz w:val="22"/>
          <w:szCs w:val="22"/>
        </w:rPr>
        <w:t>reflect</w:t>
      </w:r>
      <w:r>
        <w:rPr>
          <w:rFonts w:asciiTheme="minorHAnsi" w:hAnsiTheme="minorHAnsi"/>
          <w:sz w:val="22"/>
          <w:szCs w:val="22"/>
        </w:rPr>
        <w:t xml:space="preserve">ing the ongoing investment in the </w:t>
      </w:r>
      <w:r w:rsidRPr="00761C14">
        <w:rPr>
          <w:rFonts w:asciiTheme="minorHAnsi" w:hAnsiTheme="minorHAnsi"/>
          <w:sz w:val="22"/>
          <w:szCs w:val="22"/>
        </w:rPr>
        <w:t>US</w:t>
      </w:r>
      <w:r>
        <w:rPr>
          <w:rFonts w:asciiTheme="minorHAnsi" w:hAnsiTheme="minorHAnsi"/>
          <w:sz w:val="22"/>
          <w:szCs w:val="22"/>
        </w:rPr>
        <w:t xml:space="preserve"> (an </w:t>
      </w:r>
      <w:r w:rsidR="003F4984">
        <w:rPr>
          <w:rFonts w:asciiTheme="minorHAnsi" w:hAnsiTheme="minorHAnsi"/>
          <w:sz w:val="22"/>
          <w:szCs w:val="22"/>
        </w:rPr>
        <w:t xml:space="preserve">incremental </w:t>
      </w:r>
      <w:r>
        <w:rPr>
          <w:rFonts w:asciiTheme="minorHAnsi" w:hAnsiTheme="minorHAnsi"/>
          <w:sz w:val="22"/>
          <w:szCs w:val="22"/>
        </w:rPr>
        <w:t>EBITDA</w:t>
      </w:r>
      <w:r w:rsidR="00FE1446" w:rsidRPr="00997067">
        <w:rPr>
          <w:rFonts w:asciiTheme="minorHAnsi" w:hAnsiTheme="minorHAnsi"/>
          <w:sz w:val="22"/>
          <w:szCs w:val="22"/>
          <w:vertAlign w:val="superscript"/>
        </w:rPr>
        <w:t>2</w:t>
      </w:r>
      <w:r>
        <w:rPr>
          <w:rFonts w:asciiTheme="minorHAnsi" w:hAnsiTheme="minorHAnsi"/>
          <w:sz w:val="22"/>
          <w:szCs w:val="22"/>
        </w:rPr>
        <w:t xml:space="preserve"> loss of £</w:t>
      </w:r>
      <w:r w:rsidR="003F4984">
        <w:rPr>
          <w:rFonts w:asciiTheme="minorHAnsi" w:hAnsiTheme="minorHAnsi"/>
          <w:sz w:val="22"/>
          <w:szCs w:val="22"/>
        </w:rPr>
        <w:t>26m</w:t>
      </w:r>
      <w:r>
        <w:rPr>
          <w:rFonts w:asciiTheme="minorHAnsi" w:hAnsiTheme="minorHAnsi"/>
          <w:sz w:val="22"/>
          <w:szCs w:val="22"/>
        </w:rPr>
        <w:t xml:space="preserve">) as well as </w:t>
      </w:r>
      <w:r w:rsidRPr="00761C14">
        <w:rPr>
          <w:rFonts w:asciiTheme="minorHAnsi" w:hAnsiTheme="minorHAnsi"/>
          <w:sz w:val="22"/>
          <w:szCs w:val="22"/>
        </w:rPr>
        <w:t xml:space="preserve">additional tax and regulatory changes </w:t>
      </w:r>
      <w:r>
        <w:rPr>
          <w:rFonts w:asciiTheme="minorHAnsi" w:hAnsiTheme="minorHAnsi"/>
          <w:sz w:val="22"/>
          <w:szCs w:val="22"/>
        </w:rPr>
        <w:t xml:space="preserve">which cost the </w:t>
      </w:r>
      <w:r w:rsidRPr="00980707">
        <w:rPr>
          <w:rFonts w:asciiTheme="minorHAnsi" w:hAnsiTheme="minorHAnsi"/>
          <w:sz w:val="22"/>
          <w:szCs w:val="22"/>
        </w:rPr>
        <w:t xml:space="preserve">Group </w:t>
      </w:r>
      <w:r w:rsidRPr="00681121">
        <w:rPr>
          <w:rFonts w:asciiTheme="minorHAnsi" w:hAnsiTheme="minorHAnsi"/>
          <w:sz w:val="22"/>
          <w:szCs w:val="22"/>
        </w:rPr>
        <w:t>approximately £</w:t>
      </w:r>
      <w:r>
        <w:rPr>
          <w:rFonts w:asciiTheme="minorHAnsi" w:hAnsiTheme="minorHAnsi"/>
          <w:sz w:val="22"/>
          <w:szCs w:val="22"/>
        </w:rPr>
        <w:t>107</w:t>
      </w:r>
      <w:r w:rsidRPr="00681121">
        <w:rPr>
          <w:rFonts w:asciiTheme="minorHAnsi" w:hAnsiTheme="minorHAnsi"/>
          <w:sz w:val="22"/>
          <w:szCs w:val="22"/>
        </w:rPr>
        <w:t>m</w:t>
      </w:r>
      <w:r w:rsidRPr="00980707">
        <w:rPr>
          <w:rFonts w:asciiTheme="minorHAnsi" w:hAnsiTheme="minorHAnsi"/>
          <w:sz w:val="22"/>
          <w:szCs w:val="22"/>
        </w:rPr>
        <w:t xml:space="preserve"> year</w:t>
      </w:r>
      <w:r>
        <w:rPr>
          <w:rFonts w:asciiTheme="minorHAnsi" w:hAnsiTheme="minorHAnsi"/>
          <w:sz w:val="22"/>
          <w:szCs w:val="22"/>
        </w:rPr>
        <w:t>-on-year. Excluding these items,</w:t>
      </w:r>
      <w:r w:rsidRPr="00761C14">
        <w:rPr>
          <w:rFonts w:asciiTheme="minorHAnsi" w:hAnsiTheme="minorHAnsi"/>
          <w:sz w:val="22"/>
          <w:szCs w:val="22"/>
        </w:rPr>
        <w:t xml:space="preserve"> </w:t>
      </w:r>
      <w:r>
        <w:rPr>
          <w:rFonts w:asciiTheme="minorHAnsi" w:hAnsiTheme="minorHAnsi"/>
          <w:sz w:val="22"/>
          <w:szCs w:val="22"/>
        </w:rPr>
        <w:t xml:space="preserve">Group </w:t>
      </w:r>
      <w:r w:rsidRPr="00761C14">
        <w:rPr>
          <w:rFonts w:asciiTheme="minorHAnsi" w:hAnsiTheme="minorHAnsi"/>
          <w:sz w:val="22"/>
          <w:szCs w:val="22"/>
        </w:rPr>
        <w:t>EBITDA</w:t>
      </w:r>
      <w:r w:rsidR="00FE1446" w:rsidRPr="00997067">
        <w:rPr>
          <w:rFonts w:asciiTheme="minorHAnsi" w:hAnsiTheme="minorHAnsi"/>
          <w:sz w:val="22"/>
          <w:szCs w:val="22"/>
          <w:vertAlign w:val="superscript"/>
        </w:rPr>
        <w:t>2</w:t>
      </w:r>
      <w:r>
        <w:rPr>
          <w:rFonts w:asciiTheme="minorHAnsi" w:hAnsiTheme="minorHAnsi"/>
          <w:sz w:val="22"/>
          <w:szCs w:val="22"/>
        </w:rPr>
        <w:t xml:space="preserve"> (excluding US)</w:t>
      </w:r>
      <w:r w:rsidRPr="00761C14">
        <w:rPr>
          <w:rFonts w:asciiTheme="minorHAnsi" w:hAnsiTheme="minorHAnsi"/>
          <w:sz w:val="22"/>
          <w:szCs w:val="22"/>
        </w:rPr>
        <w:t xml:space="preserve"> </w:t>
      </w:r>
      <w:r>
        <w:rPr>
          <w:rFonts w:asciiTheme="minorHAnsi" w:hAnsiTheme="minorHAnsi"/>
          <w:sz w:val="22"/>
          <w:szCs w:val="22"/>
        </w:rPr>
        <w:t>would have been 1</w:t>
      </w:r>
      <w:r w:rsidR="00EB0259">
        <w:rPr>
          <w:rFonts w:asciiTheme="minorHAnsi" w:hAnsiTheme="minorHAnsi"/>
          <w:sz w:val="22"/>
          <w:szCs w:val="22"/>
        </w:rPr>
        <w:t>9</w:t>
      </w:r>
      <w:r w:rsidRPr="00761C14">
        <w:rPr>
          <w:rFonts w:asciiTheme="minorHAnsi" w:hAnsiTheme="minorHAnsi"/>
          <w:sz w:val="22"/>
          <w:szCs w:val="22"/>
        </w:rPr>
        <w:t>%</w:t>
      </w:r>
      <w:r w:rsidR="00336CDD">
        <w:rPr>
          <w:rFonts w:asciiTheme="minorHAnsi" w:hAnsiTheme="minorHAnsi"/>
          <w:sz w:val="22"/>
          <w:szCs w:val="22"/>
        </w:rPr>
        <w:t xml:space="preserve"> higher</w:t>
      </w:r>
      <w:r w:rsidRPr="00761C14">
        <w:rPr>
          <w:rFonts w:asciiTheme="minorHAnsi" w:hAnsiTheme="minorHAnsi"/>
          <w:sz w:val="22"/>
          <w:szCs w:val="22"/>
        </w:rPr>
        <w:t>.</w:t>
      </w:r>
      <w:r w:rsidRPr="006B7350">
        <w:rPr>
          <w:rFonts w:asciiTheme="minorHAnsi" w:hAnsiTheme="minorHAnsi"/>
          <w:sz w:val="22"/>
          <w:szCs w:val="22"/>
        </w:rPr>
        <w:t xml:space="preserve"> </w:t>
      </w:r>
    </w:p>
    <w:p w14:paraId="4EFF52C0" w14:textId="20CC49B7" w:rsidR="006F7345" w:rsidRPr="00761C14" w:rsidRDefault="006F7345" w:rsidP="00A4573F">
      <w:pPr>
        <w:spacing w:after="120"/>
        <w:jc w:val="both"/>
        <w:rPr>
          <w:rFonts w:asciiTheme="minorHAnsi" w:hAnsiTheme="minorHAnsi"/>
          <w:sz w:val="22"/>
          <w:szCs w:val="22"/>
        </w:rPr>
      </w:pPr>
      <w:r>
        <w:rPr>
          <w:rFonts w:asciiTheme="minorHAnsi" w:hAnsiTheme="minorHAnsi"/>
          <w:sz w:val="22"/>
          <w:szCs w:val="22"/>
        </w:rPr>
        <w:t>Depreciation</w:t>
      </w:r>
      <w:r w:rsidR="00695E69">
        <w:rPr>
          <w:rFonts w:asciiTheme="minorHAnsi" w:hAnsiTheme="minorHAnsi"/>
          <w:sz w:val="22"/>
          <w:szCs w:val="22"/>
        </w:rPr>
        <w:t xml:space="preserve"> and amortisation</w:t>
      </w:r>
      <w:r>
        <w:rPr>
          <w:rFonts w:asciiTheme="minorHAnsi" w:hAnsiTheme="minorHAnsi"/>
          <w:sz w:val="22"/>
          <w:szCs w:val="22"/>
        </w:rPr>
        <w:t xml:space="preserve"> increased by 1</w:t>
      </w:r>
      <w:r w:rsidR="002C138B">
        <w:rPr>
          <w:rFonts w:asciiTheme="minorHAnsi" w:hAnsiTheme="minorHAnsi"/>
          <w:sz w:val="22"/>
          <w:szCs w:val="22"/>
        </w:rPr>
        <w:t>9</w:t>
      </w:r>
      <w:r>
        <w:rPr>
          <w:rFonts w:asciiTheme="minorHAnsi" w:hAnsiTheme="minorHAnsi"/>
          <w:sz w:val="22"/>
          <w:szCs w:val="22"/>
        </w:rPr>
        <w:t>% reflecting our ongoing investment in</w:t>
      </w:r>
      <w:r w:rsidR="003F4984">
        <w:rPr>
          <w:rFonts w:asciiTheme="minorHAnsi" w:hAnsiTheme="minorHAnsi"/>
          <w:sz w:val="22"/>
          <w:szCs w:val="22"/>
        </w:rPr>
        <w:t xml:space="preserve"> </w:t>
      </w:r>
      <w:r>
        <w:rPr>
          <w:rFonts w:asciiTheme="minorHAnsi" w:hAnsiTheme="minorHAnsi"/>
          <w:sz w:val="22"/>
          <w:szCs w:val="22"/>
        </w:rPr>
        <w:t>product and technology</w:t>
      </w:r>
      <w:r w:rsidR="003F4984">
        <w:rPr>
          <w:rFonts w:asciiTheme="minorHAnsi" w:hAnsiTheme="minorHAnsi"/>
          <w:sz w:val="22"/>
          <w:szCs w:val="22"/>
        </w:rPr>
        <w:t xml:space="preserve">, with a major proportion of this in the </w:t>
      </w:r>
      <w:r w:rsidR="003F4984" w:rsidRPr="00336CDD">
        <w:rPr>
          <w:rFonts w:asciiTheme="minorHAnsi" w:hAnsiTheme="minorHAnsi"/>
          <w:sz w:val="22"/>
          <w:szCs w:val="22"/>
        </w:rPr>
        <w:t>US</w:t>
      </w:r>
      <w:r w:rsidR="00DA5234" w:rsidRPr="00336CDD">
        <w:rPr>
          <w:rFonts w:asciiTheme="minorHAnsi" w:hAnsiTheme="minorHAnsi"/>
          <w:sz w:val="22"/>
          <w:szCs w:val="22"/>
        </w:rPr>
        <w:t>.</w:t>
      </w:r>
      <w:r w:rsidR="009358D5" w:rsidRPr="00336CDD">
        <w:rPr>
          <w:rFonts w:asciiTheme="minorHAnsi" w:hAnsiTheme="minorHAnsi"/>
          <w:sz w:val="22"/>
          <w:szCs w:val="22"/>
        </w:rPr>
        <w:t xml:space="preserve"> </w:t>
      </w:r>
      <w:r w:rsidR="00336CDD">
        <w:rPr>
          <w:rFonts w:asciiTheme="minorHAnsi" w:hAnsiTheme="minorHAnsi"/>
          <w:sz w:val="22"/>
          <w:szCs w:val="22"/>
        </w:rPr>
        <w:t>As a result of the factors above</w:t>
      </w:r>
      <w:r w:rsidR="00C001FC">
        <w:rPr>
          <w:rFonts w:asciiTheme="minorHAnsi" w:hAnsiTheme="minorHAnsi"/>
          <w:sz w:val="22"/>
          <w:szCs w:val="22"/>
        </w:rPr>
        <w:t>,</w:t>
      </w:r>
      <w:r w:rsidR="00336CDD">
        <w:rPr>
          <w:rFonts w:asciiTheme="minorHAnsi" w:hAnsiTheme="minorHAnsi"/>
          <w:sz w:val="22"/>
          <w:szCs w:val="22"/>
        </w:rPr>
        <w:t xml:space="preserve"> o</w:t>
      </w:r>
      <w:r w:rsidR="009358D5" w:rsidRPr="00336CDD">
        <w:rPr>
          <w:rFonts w:asciiTheme="minorHAnsi" w:hAnsiTheme="minorHAnsi"/>
          <w:sz w:val="22"/>
          <w:szCs w:val="22"/>
        </w:rPr>
        <w:t xml:space="preserve">perating profit </w:t>
      </w:r>
      <w:r w:rsidR="003F4984" w:rsidRPr="00336CDD">
        <w:rPr>
          <w:rFonts w:asciiTheme="minorHAnsi" w:hAnsiTheme="minorHAnsi"/>
          <w:sz w:val="22"/>
          <w:szCs w:val="22"/>
        </w:rPr>
        <w:t>of £2</w:t>
      </w:r>
      <w:r w:rsidR="00AA7AF0" w:rsidRPr="00336CDD">
        <w:rPr>
          <w:rFonts w:asciiTheme="minorHAnsi" w:hAnsiTheme="minorHAnsi"/>
          <w:sz w:val="22"/>
          <w:szCs w:val="22"/>
        </w:rPr>
        <w:t>77</w:t>
      </w:r>
      <w:r w:rsidR="003F4984" w:rsidRPr="00336CDD">
        <w:rPr>
          <w:rFonts w:asciiTheme="minorHAnsi" w:hAnsiTheme="minorHAnsi"/>
          <w:sz w:val="22"/>
          <w:szCs w:val="22"/>
        </w:rPr>
        <w:t xml:space="preserve">m </w:t>
      </w:r>
      <w:r w:rsidR="00336CDD" w:rsidRPr="004B0047">
        <w:rPr>
          <w:rFonts w:asciiTheme="minorHAnsi" w:hAnsiTheme="minorHAnsi"/>
          <w:sz w:val="22"/>
          <w:szCs w:val="22"/>
        </w:rPr>
        <w:t xml:space="preserve">was 23% </w:t>
      </w:r>
      <w:r w:rsidR="00336CDD" w:rsidRPr="004B0047">
        <w:rPr>
          <w:rFonts w:asciiTheme="minorHAnsi" w:hAnsiTheme="minorHAnsi"/>
          <w:sz w:val="22"/>
          <w:szCs w:val="22"/>
        </w:rPr>
        <w:lastRenderedPageBreak/>
        <w:t xml:space="preserve">lower. </w:t>
      </w:r>
      <w:r w:rsidR="00421DD0">
        <w:rPr>
          <w:rFonts w:asciiTheme="minorHAnsi" w:hAnsiTheme="minorHAnsi"/>
          <w:sz w:val="22"/>
          <w:szCs w:val="22"/>
        </w:rPr>
        <w:t>Increased i</w:t>
      </w:r>
      <w:r w:rsidR="005C6BC4">
        <w:rPr>
          <w:rFonts w:asciiTheme="minorHAnsi" w:hAnsiTheme="minorHAnsi"/>
          <w:sz w:val="22"/>
          <w:szCs w:val="22"/>
        </w:rPr>
        <w:t xml:space="preserve">nterest expense </w:t>
      </w:r>
      <w:r w:rsidR="003F4984">
        <w:rPr>
          <w:rFonts w:asciiTheme="minorHAnsi" w:hAnsiTheme="minorHAnsi"/>
          <w:sz w:val="22"/>
          <w:szCs w:val="22"/>
        </w:rPr>
        <w:t xml:space="preserve">during 2019 </w:t>
      </w:r>
      <w:r w:rsidR="005C6BC4">
        <w:rPr>
          <w:rFonts w:asciiTheme="minorHAnsi" w:hAnsiTheme="minorHAnsi"/>
          <w:sz w:val="22"/>
          <w:szCs w:val="22"/>
        </w:rPr>
        <w:t>reflects</w:t>
      </w:r>
      <w:r w:rsidR="003F4984">
        <w:rPr>
          <w:rFonts w:asciiTheme="minorHAnsi" w:hAnsiTheme="minorHAnsi"/>
          <w:sz w:val="22"/>
          <w:szCs w:val="22"/>
        </w:rPr>
        <w:t xml:space="preserve"> in equal measure</w:t>
      </w:r>
      <w:r w:rsidR="005C6BC4">
        <w:rPr>
          <w:rFonts w:asciiTheme="minorHAnsi" w:hAnsiTheme="minorHAnsi"/>
          <w:sz w:val="22"/>
          <w:szCs w:val="22"/>
        </w:rPr>
        <w:t xml:space="preserve"> the </w:t>
      </w:r>
      <w:r w:rsidR="00421DD0">
        <w:rPr>
          <w:rFonts w:asciiTheme="minorHAnsi" w:hAnsiTheme="minorHAnsi"/>
          <w:sz w:val="22"/>
          <w:szCs w:val="22"/>
        </w:rPr>
        <w:t xml:space="preserve">increased average </w:t>
      </w:r>
      <w:r w:rsidR="005C6BC4">
        <w:rPr>
          <w:rFonts w:asciiTheme="minorHAnsi" w:hAnsiTheme="minorHAnsi"/>
          <w:sz w:val="22"/>
          <w:szCs w:val="22"/>
        </w:rPr>
        <w:t xml:space="preserve">gross debt </w:t>
      </w:r>
      <w:r w:rsidR="00421DD0">
        <w:rPr>
          <w:rFonts w:asciiTheme="minorHAnsi" w:hAnsiTheme="minorHAnsi"/>
          <w:sz w:val="22"/>
          <w:szCs w:val="22"/>
        </w:rPr>
        <w:t xml:space="preserve">during </w:t>
      </w:r>
      <w:r w:rsidR="005C6BC4">
        <w:rPr>
          <w:rFonts w:asciiTheme="minorHAnsi" w:hAnsiTheme="minorHAnsi"/>
          <w:sz w:val="22"/>
          <w:szCs w:val="22"/>
        </w:rPr>
        <w:t xml:space="preserve">the year and the implementation of IFRS 16. Separately disclosed items </w:t>
      </w:r>
      <w:r w:rsidR="00D96E65">
        <w:rPr>
          <w:rFonts w:asciiTheme="minorHAnsi" w:hAnsiTheme="minorHAnsi"/>
          <w:sz w:val="22"/>
          <w:szCs w:val="22"/>
        </w:rPr>
        <w:t xml:space="preserve">include </w:t>
      </w:r>
      <w:r w:rsidR="005C6BC4">
        <w:rPr>
          <w:rFonts w:asciiTheme="minorHAnsi" w:hAnsiTheme="minorHAnsi"/>
          <w:sz w:val="22"/>
          <w:szCs w:val="22"/>
        </w:rPr>
        <w:t>the amortisation of acquisition related intangible assets</w:t>
      </w:r>
      <w:r w:rsidR="00444932">
        <w:rPr>
          <w:rFonts w:asciiTheme="minorHAnsi" w:hAnsiTheme="minorHAnsi"/>
          <w:sz w:val="22"/>
          <w:szCs w:val="22"/>
        </w:rPr>
        <w:t xml:space="preserve"> </w:t>
      </w:r>
      <w:r w:rsidR="00295B6A">
        <w:rPr>
          <w:rFonts w:asciiTheme="minorHAnsi" w:hAnsiTheme="minorHAnsi"/>
          <w:sz w:val="22"/>
          <w:szCs w:val="22"/>
        </w:rPr>
        <w:t xml:space="preserve">relating to the Paddy Power Betfair merger </w:t>
      </w:r>
      <w:r w:rsidR="00444932">
        <w:rPr>
          <w:rFonts w:asciiTheme="minorHAnsi" w:hAnsiTheme="minorHAnsi"/>
          <w:sz w:val="22"/>
          <w:szCs w:val="22"/>
        </w:rPr>
        <w:t>and</w:t>
      </w:r>
      <w:r w:rsidR="00D96E65">
        <w:rPr>
          <w:rFonts w:asciiTheme="minorHAnsi" w:hAnsiTheme="minorHAnsi"/>
          <w:sz w:val="22"/>
          <w:szCs w:val="22"/>
        </w:rPr>
        <w:t xml:space="preserve"> </w:t>
      </w:r>
      <w:r w:rsidR="000561F4">
        <w:rPr>
          <w:rFonts w:asciiTheme="minorHAnsi" w:hAnsiTheme="minorHAnsi"/>
          <w:sz w:val="22"/>
          <w:szCs w:val="22"/>
        </w:rPr>
        <w:t xml:space="preserve">costs </w:t>
      </w:r>
      <w:r w:rsidR="00444932">
        <w:rPr>
          <w:rFonts w:asciiTheme="minorHAnsi" w:hAnsiTheme="minorHAnsi"/>
          <w:sz w:val="22"/>
          <w:szCs w:val="22"/>
        </w:rPr>
        <w:t>associated with the proposed combination with The Stars Group</w:t>
      </w:r>
      <w:r w:rsidR="005C6BC4">
        <w:rPr>
          <w:rFonts w:asciiTheme="minorHAnsi" w:hAnsiTheme="minorHAnsi"/>
          <w:sz w:val="22"/>
          <w:szCs w:val="22"/>
        </w:rPr>
        <w:t>.</w:t>
      </w:r>
    </w:p>
    <w:p w14:paraId="36EC69D4" w14:textId="1B734515" w:rsidR="00F03551" w:rsidRDefault="00F03551" w:rsidP="00A4573F">
      <w:pPr>
        <w:spacing w:after="120"/>
        <w:jc w:val="both"/>
        <w:rPr>
          <w:rFonts w:asciiTheme="minorHAnsi" w:hAnsiTheme="minorHAnsi"/>
          <w:sz w:val="22"/>
          <w:szCs w:val="22"/>
        </w:rPr>
      </w:pPr>
      <w:r>
        <w:rPr>
          <w:rFonts w:asciiTheme="minorHAnsi" w:hAnsiTheme="minorHAnsi"/>
          <w:sz w:val="22"/>
          <w:szCs w:val="22"/>
        </w:rPr>
        <w:t>The Group delivered a profit before tax of £136m (</w:t>
      </w:r>
      <w:r w:rsidRPr="008277C2">
        <w:rPr>
          <w:rFonts w:asciiTheme="minorHAnsi" w:hAnsiTheme="minorHAnsi"/>
          <w:sz w:val="22"/>
          <w:szCs w:val="22"/>
        </w:rPr>
        <w:t>201</w:t>
      </w:r>
      <w:r>
        <w:rPr>
          <w:rFonts w:asciiTheme="minorHAnsi" w:hAnsiTheme="minorHAnsi"/>
          <w:sz w:val="22"/>
          <w:szCs w:val="22"/>
        </w:rPr>
        <w:t>8</w:t>
      </w:r>
      <w:r w:rsidRPr="008277C2">
        <w:rPr>
          <w:rFonts w:asciiTheme="minorHAnsi" w:hAnsiTheme="minorHAnsi"/>
          <w:sz w:val="22"/>
          <w:szCs w:val="22"/>
        </w:rPr>
        <w:t>: £219m)</w:t>
      </w:r>
      <w:r>
        <w:rPr>
          <w:rFonts w:asciiTheme="minorHAnsi" w:hAnsiTheme="minorHAnsi"/>
          <w:sz w:val="22"/>
          <w:szCs w:val="22"/>
        </w:rPr>
        <w:t xml:space="preserve"> a</w:t>
      </w:r>
      <w:r w:rsidR="00A4573F" w:rsidRPr="008277C2">
        <w:rPr>
          <w:rFonts w:asciiTheme="minorHAnsi" w:hAnsiTheme="minorHAnsi"/>
          <w:sz w:val="22"/>
          <w:szCs w:val="22"/>
        </w:rPr>
        <w:t xml:space="preserve">fter separately disclosed items, which do not relate to the usual business activity of the Group. </w:t>
      </w:r>
      <w:r w:rsidR="002C15B8">
        <w:rPr>
          <w:rFonts w:asciiTheme="minorHAnsi" w:hAnsiTheme="minorHAnsi"/>
          <w:sz w:val="22"/>
          <w:szCs w:val="22"/>
        </w:rPr>
        <w:t>Underlying</w:t>
      </w:r>
      <w:r w:rsidR="003D5E9F" w:rsidRPr="00EE61FC">
        <w:rPr>
          <w:rFonts w:asciiTheme="minorHAnsi" w:hAnsiTheme="minorHAnsi"/>
          <w:sz w:val="22"/>
          <w:szCs w:val="22"/>
          <w:vertAlign w:val="superscript"/>
        </w:rPr>
        <w:t>1</w:t>
      </w:r>
      <w:r w:rsidR="002C15B8">
        <w:rPr>
          <w:rFonts w:asciiTheme="minorHAnsi" w:hAnsiTheme="minorHAnsi"/>
          <w:sz w:val="22"/>
          <w:szCs w:val="22"/>
        </w:rPr>
        <w:t xml:space="preserve"> earnings per share reduced by 20% to 303</w:t>
      </w:r>
      <w:r w:rsidR="009E543A">
        <w:rPr>
          <w:rFonts w:asciiTheme="minorHAnsi" w:hAnsiTheme="minorHAnsi"/>
          <w:sz w:val="22"/>
          <w:szCs w:val="22"/>
        </w:rPr>
        <w:t xml:space="preserve"> </w:t>
      </w:r>
      <w:r w:rsidR="002C15B8">
        <w:rPr>
          <w:rFonts w:asciiTheme="minorHAnsi" w:hAnsiTheme="minorHAnsi"/>
          <w:sz w:val="22"/>
          <w:szCs w:val="22"/>
        </w:rPr>
        <w:t>p</w:t>
      </w:r>
      <w:r w:rsidR="009E543A">
        <w:rPr>
          <w:rFonts w:asciiTheme="minorHAnsi" w:hAnsiTheme="minorHAnsi"/>
          <w:sz w:val="22"/>
          <w:szCs w:val="22"/>
        </w:rPr>
        <w:t>ence</w:t>
      </w:r>
      <w:r w:rsidR="002C15B8">
        <w:rPr>
          <w:rFonts w:asciiTheme="minorHAnsi" w:hAnsiTheme="minorHAnsi"/>
          <w:sz w:val="22"/>
          <w:szCs w:val="22"/>
        </w:rPr>
        <w:t>.</w:t>
      </w:r>
    </w:p>
    <w:p w14:paraId="0DD8DF07" w14:textId="53F0BAED" w:rsidR="00903308" w:rsidRDefault="00903308" w:rsidP="00324B39">
      <w:pPr>
        <w:spacing w:after="120"/>
        <w:jc w:val="both"/>
        <w:rPr>
          <w:rFonts w:asciiTheme="minorHAnsi" w:hAnsiTheme="minorHAnsi"/>
          <w:b/>
          <w:sz w:val="22"/>
          <w:szCs w:val="22"/>
        </w:rPr>
      </w:pPr>
    </w:p>
    <w:p w14:paraId="553FF674" w14:textId="11DEB09C" w:rsidR="00903308" w:rsidRDefault="00903308" w:rsidP="00324B39">
      <w:pPr>
        <w:spacing w:after="120"/>
        <w:jc w:val="both"/>
        <w:rPr>
          <w:rFonts w:asciiTheme="minorHAnsi" w:hAnsiTheme="minorHAnsi"/>
          <w:b/>
          <w:sz w:val="22"/>
          <w:szCs w:val="22"/>
        </w:rPr>
      </w:pPr>
    </w:p>
    <w:p w14:paraId="272A1CCD" w14:textId="159FACEE" w:rsidR="00903308" w:rsidRDefault="00903308" w:rsidP="00324B39">
      <w:pPr>
        <w:spacing w:after="120"/>
        <w:jc w:val="both"/>
        <w:rPr>
          <w:rFonts w:asciiTheme="minorHAnsi" w:hAnsiTheme="minorHAnsi"/>
          <w:b/>
          <w:sz w:val="22"/>
          <w:szCs w:val="22"/>
        </w:rPr>
      </w:pPr>
    </w:p>
    <w:p w14:paraId="29B9F2BD" w14:textId="5DA2130D" w:rsidR="00903308" w:rsidRDefault="00903308" w:rsidP="00324B39">
      <w:pPr>
        <w:spacing w:after="120"/>
        <w:jc w:val="both"/>
        <w:rPr>
          <w:rFonts w:asciiTheme="minorHAnsi" w:hAnsiTheme="minorHAnsi"/>
          <w:b/>
          <w:sz w:val="22"/>
          <w:szCs w:val="22"/>
        </w:rPr>
      </w:pPr>
    </w:p>
    <w:p w14:paraId="2DC1C41F" w14:textId="7D8DB066" w:rsidR="00903308" w:rsidRDefault="00903308" w:rsidP="00324B39">
      <w:pPr>
        <w:spacing w:after="120"/>
        <w:jc w:val="both"/>
        <w:rPr>
          <w:rFonts w:asciiTheme="minorHAnsi" w:hAnsiTheme="minorHAnsi"/>
          <w:b/>
          <w:sz w:val="22"/>
          <w:szCs w:val="22"/>
        </w:rPr>
      </w:pPr>
    </w:p>
    <w:p w14:paraId="3FB542C6" w14:textId="27CF7A60" w:rsidR="00903308" w:rsidRDefault="00903308" w:rsidP="00324B39">
      <w:pPr>
        <w:spacing w:after="120"/>
        <w:jc w:val="both"/>
        <w:rPr>
          <w:rFonts w:asciiTheme="minorHAnsi" w:hAnsiTheme="minorHAnsi"/>
          <w:b/>
          <w:sz w:val="22"/>
          <w:szCs w:val="22"/>
        </w:rPr>
      </w:pPr>
    </w:p>
    <w:p w14:paraId="5D96838C" w14:textId="7241876B" w:rsidR="00903308" w:rsidRDefault="00903308" w:rsidP="00324B39">
      <w:pPr>
        <w:spacing w:after="120"/>
        <w:jc w:val="both"/>
        <w:rPr>
          <w:rFonts w:asciiTheme="minorHAnsi" w:hAnsiTheme="minorHAnsi"/>
          <w:b/>
          <w:sz w:val="22"/>
          <w:szCs w:val="22"/>
        </w:rPr>
      </w:pPr>
    </w:p>
    <w:p w14:paraId="56F513D9" w14:textId="13074EF7" w:rsidR="00903308" w:rsidRDefault="00903308" w:rsidP="00324B39">
      <w:pPr>
        <w:spacing w:after="120"/>
        <w:jc w:val="both"/>
        <w:rPr>
          <w:rFonts w:asciiTheme="minorHAnsi" w:hAnsiTheme="minorHAnsi"/>
          <w:b/>
          <w:sz w:val="22"/>
          <w:szCs w:val="22"/>
        </w:rPr>
      </w:pPr>
    </w:p>
    <w:p w14:paraId="1A6D191F" w14:textId="6669875C" w:rsidR="00903308" w:rsidRDefault="00903308" w:rsidP="00324B39">
      <w:pPr>
        <w:spacing w:after="120"/>
        <w:jc w:val="both"/>
        <w:rPr>
          <w:rFonts w:asciiTheme="minorHAnsi" w:hAnsiTheme="minorHAnsi"/>
          <w:b/>
          <w:sz w:val="22"/>
          <w:szCs w:val="22"/>
        </w:rPr>
      </w:pPr>
    </w:p>
    <w:p w14:paraId="797AD119" w14:textId="6A2392E8" w:rsidR="00903308" w:rsidRDefault="00903308" w:rsidP="00324B39">
      <w:pPr>
        <w:spacing w:after="120"/>
        <w:jc w:val="both"/>
        <w:rPr>
          <w:rFonts w:asciiTheme="minorHAnsi" w:hAnsiTheme="minorHAnsi"/>
          <w:b/>
          <w:sz w:val="22"/>
          <w:szCs w:val="22"/>
        </w:rPr>
      </w:pPr>
    </w:p>
    <w:p w14:paraId="71C7B66E" w14:textId="15AE863C" w:rsidR="00F12E99" w:rsidRDefault="00F12E99" w:rsidP="00324B39">
      <w:pPr>
        <w:spacing w:after="120"/>
        <w:jc w:val="both"/>
        <w:rPr>
          <w:rFonts w:asciiTheme="minorHAnsi" w:hAnsiTheme="minorHAnsi"/>
          <w:b/>
          <w:sz w:val="22"/>
          <w:szCs w:val="22"/>
        </w:rPr>
      </w:pPr>
    </w:p>
    <w:p w14:paraId="63607167" w14:textId="77777777" w:rsidR="00F12E99" w:rsidRDefault="00F12E99" w:rsidP="00324B39">
      <w:pPr>
        <w:spacing w:after="120"/>
        <w:jc w:val="both"/>
        <w:rPr>
          <w:rFonts w:asciiTheme="minorHAnsi" w:hAnsiTheme="minorHAnsi"/>
          <w:b/>
          <w:sz w:val="22"/>
          <w:szCs w:val="22"/>
        </w:rPr>
      </w:pPr>
    </w:p>
    <w:p w14:paraId="3EB629F5" w14:textId="59498471" w:rsidR="00D67830" w:rsidRDefault="00D67830" w:rsidP="00324B39">
      <w:pPr>
        <w:spacing w:after="120"/>
        <w:jc w:val="both"/>
        <w:rPr>
          <w:rFonts w:asciiTheme="minorHAnsi" w:hAnsiTheme="minorHAnsi"/>
          <w:b/>
          <w:sz w:val="22"/>
          <w:szCs w:val="22"/>
        </w:rPr>
      </w:pPr>
    </w:p>
    <w:p w14:paraId="746ACC19" w14:textId="4024CE3F" w:rsidR="00D67830" w:rsidRDefault="00D67830" w:rsidP="00324B39">
      <w:pPr>
        <w:spacing w:after="120"/>
        <w:jc w:val="both"/>
        <w:rPr>
          <w:rFonts w:asciiTheme="minorHAnsi" w:hAnsiTheme="minorHAnsi"/>
          <w:b/>
          <w:sz w:val="22"/>
          <w:szCs w:val="22"/>
        </w:rPr>
      </w:pPr>
    </w:p>
    <w:p w14:paraId="5F0927C4" w14:textId="77777777" w:rsidR="00D67830" w:rsidRDefault="00D67830" w:rsidP="00324B39">
      <w:pPr>
        <w:spacing w:after="120"/>
        <w:jc w:val="both"/>
        <w:rPr>
          <w:rFonts w:asciiTheme="minorHAnsi" w:hAnsiTheme="minorHAnsi"/>
          <w:b/>
          <w:sz w:val="22"/>
          <w:szCs w:val="22"/>
        </w:rPr>
      </w:pPr>
    </w:p>
    <w:p w14:paraId="6AB22DB6" w14:textId="50908924" w:rsidR="00903308" w:rsidRDefault="00903308" w:rsidP="00324B39">
      <w:pPr>
        <w:spacing w:after="120"/>
        <w:jc w:val="both"/>
        <w:rPr>
          <w:rFonts w:asciiTheme="minorHAnsi" w:hAnsiTheme="minorHAnsi"/>
          <w:b/>
          <w:sz w:val="22"/>
          <w:szCs w:val="22"/>
        </w:rPr>
      </w:pPr>
    </w:p>
    <w:p w14:paraId="53EA04BE" w14:textId="53C4BE9F" w:rsidR="00903308" w:rsidRDefault="00903308" w:rsidP="00324B39">
      <w:pPr>
        <w:spacing w:after="120"/>
        <w:jc w:val="both"/>
        <w:rPr>
          <w:rFonts w:asciiTheme="minorHAnsi" w:hAnsiTheme="minorHAnsi"/>
          <w:b/>
          <w:sz w:val="22"/>
          <w:szCs w:val="22"/>
        </w:rPr>
      </w:pPr>
    </w:p>
    <w:p w14:paraId="3DD1AC2F" w14:textId="2FC7596C" w:rsidR="00903308" w:rsidRDefault="00903308" w:rsidP="00324B39">
      <w:pPr>
        <w:spacing w:after="120"/>
        <w:jc w:val="both"/>
        <w:rPr>
          <w:rFonts w:asciiTheme="minorHAnsi" w:hAnsiTheme="minorHAnsi"/>
          <w:b/>
          <w:sz w:val="22"/>
          <w:szCs w:val="22"/>
        </w:rPr>
      </w:pPr>
    </w:p>
    <w:p w14:paraId="0DBE4F9E" w14:textId="59010988" w:rsidR="00903308" w:rsidRDefault="00903308" w:rsidP="00324B39">
      <w:pPr>
        <w:spacing w:after="120"/>
        <w:jc w:val="both"/>
        <w:rPr>
          <w:rFonts w:asciiTheme="minorHAnsi" w:hAnsiTheme="minorHAnsi"/>
          <w:b/>
          <w:sz w:val="22"/>
          <w:szCs w:val="22"/>
        </w:rPr>
      </w:pPr>
    </w:p>
    <w:p w14:paraId="17D79BE6" w14:textId="458472D6" w:rsidR="00903308" w:rsidRDefault="00903308" w:rsidP="00324B39">
      <w:pPr>
        <w:spacing w:after="120"/>
        <w:jc w:val="both"/>
        <w:rPr>
          <w:rFonts w:asciiTheme="minorHAnsi" w:hAnsiTheme="minorHAnsi"/>
          <w:b/>
          <w:sz w:val="22"/>
          <w:szCs w:val="22"/>
        </w:rPr>
      </w:pPr>
    </w:p>
    <w:p w14:paraId="053662FF" w14:textId="12808FA8" w:rsidR="00903308" w:rsidRDefault="00903308" w:rsidP="00324B39">
      <w:pPr>
        <w:spacing w:after="120"/>
        <w:jc w:val="both"/>
        <w:rPr>
          <w:rFonts w:asciiTheme="minorHAnsi" w:hAnsiTheme="minorHAnsi"/>
          <w:b/>
          <w:sz w:val="22"/>
          <w:szCs w:val="22"/>
        </w:rPr>
      </w:pPr>
    </w:p>
    <w:p w14:paraId="6913CA4A" w14:textId="374463CE" w:rsidR="00903308" w:rsidRDefault="00903308" w:rsidP="00324B39">
      <w:pPr>
        <w:spacing w:after="120"/>
        <w:jc w:val="both"/>
        <w:rPr>
          <w:rFonts w:asciiTheme="minorHAnsi" w:hAnsiTheme="minorHAnsi"/>
          <w:b/>
          <w:sz w:val="22"/>
          <w:szCs w:val="22"/>
        </w:rPr>
      </w:pPr>
    </w:p>
    <w:p w14:paraId="55B5B764" w14:textId="37496433" w:rsidR="00903308" w:rsidRDefault="00903308" w:rsidP="00324B39">
      <w:pPr>
        <w:spacing w:after="120"/>
        <w:jc w:val="both"/>
        <w:rPr>
          <w:rFonts w:asciiTheme="minorHAnsi" w:hAnsiTheme="minorHAnsi"/>
          <w:b/>
          <w:sz w:val="22"/>
          <w:szCs w:val="22"/>
        </w:rPr>
      </w:pPr>
    </w:p>
    <w:p w14:paraId="3F810610" w14:textId="77777777" w:rsidR="00C52C55" w:rsidRDefault="00C52C55">
      <w:pPr>
        <w:widowControl/>
        <w:autoSpaceDE/>
        <w:autoSpaceDN/>
        <w:adjustRightInd/>
        <w:rPr>
          <w:rFonts w:asciiTheme="minorHAnsi" w:hAnsiTheme="minorHAnsi"/>
          <w:b/>
          <w:sz w:val="22"/>
          <w:szCs w:val="22"/>
        </w:rPr>
      </w:pPr>
      <w:r>
        <w:rPr>
          <w:rFonts w:asciiTheme="minorHAnsi" w:hAnsiTheme="minorHAnsi"/>
          <w:b/>
          <w:sz w:val="22"/>
          <w:szCs w:val="22"/>
        </w:rPr>
        <w:br w:type="page"/>
      </w:r>
    </w:p>
    <w:p w14:paraId="7FE1F4C9" w14:textId="377468FD" w:rsidR="00324B39" w:rsidRPr="0085136D" w:rsidRDefault="00675CFC" w:rsidP="00324B39">
      <w:pPr>
        <w:spacing w:after="120"/>
        <w:jc w:val="both"/>
        <w:rPr>
          <w:rFonts w:asciiTheme="minorHAnsi" w:hAnsiTheme="minorHAnsi"/>
          <w:sz w:val="21"/>
          <w:szCs w:val="21"/>
        </w:rPr>
      </w:pPr>
      <w:r>
        <w:rPr>
          <w:rFonts w:asciiTheme="minorHAnsi" w:hAnsiTheme="minorHAnsi"/>
          <w:b/>
          <w:sz w:val="22"/>
          <w:szCs w:val="22"/>
        </w:rPr>
        <w:lastRenderedPageBreak/>
        <w:t>PPB</w:t>
      </w:r>
      <w:r w:rsidR="004D5458">
        <w:rPr>
          <w:rFonts w:asciiTheme="minorHAnsi" w:hAnsiTheme="minorHAnsi"/>
          <w:b/>
          <w:sz w:val="22"/>
          <w:szCs w:val="22"/>
        </w:rPr>
        <w:t xml:space="preserve"> </w:t>
      </w:r>
      <w:r w:rsidR="003E72CE">
        <w:rPr>
          <w:rFonts w:asciiTheme="minorHAnsi" w:hAnsiTheme="minorHAnsi"/>
          <w:b/>
          <w:sz w:val="22"/>
          <w:szCs w:val="22"/>
        </w:rPr>
        <w:t>O</w:t>
      </w:r>
      <w:r w:rsidR="00C34E9B" w:rsidRPr="000D0EFF">
        <w:rPr>
          <w:rFonts w:asciiTheme="minorHAnsi" w:hAnsiTheme="minorHAnsi"/>
          <w:b/>
          <w:sz w:val="22"/>
          <w:szCs w:val="22"/>
        </w:rPr>
        <w:t>nline</w:t>
      </w:r>
    </w:p>
    <w:tbl>
      <w:tblPr>
        <w:tblW w:w="7371" w:type="dxa"/>
        <w:tblLayout w:type="fixed"/>
        <w:tblCellMar>
          <w:left w:w="57" w:type="dxa"/>
          <w:right w:w="227" w:type="dxa"/>
        </w:tblCellMar>
        <w:tblLook w:val="04A0" w:firstRow="1" w:lastRow="0" w:firstColumn="1" w:lastColumn="0" w:noHBand="0" w:noVBand="1"/>
      </w:tblPr>
      <w:tblGrid>
        <w:gridCol w:w="3969"/>
        <w:gridCol w:w="1276"/>
        <w:gridCol w:w="992"/>
        <w:gridCol w:w="1134"/>
      </w:tblGrid>
      <w:tr w:rsidR="00324B39" w:rsidRPr="00443C47" w14:paraId="2159E3BA" w14:textId="77777777" w:rsidTr="00F91068">
        <w:trPr>
          <w:trHeight w:val="208"/>
        </w:trPr>
        <w:tc>
          <w:tcPr>
            <w:tcW w:w="3969" w:type="dxa"/>
            <w:tcBorders>
              <w:top w:val="single" w:sz="4" w:space="0" w:color="auto"/>
              <w:left w:val="single" w:sz="4" w:space="0" w:color="auto"/>
              <w:right w:val="nil"/>
            </w:tcBorders>
          </w:tcPr>
          <w:p w14:paraId="1A78D150"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Fonts w:asciiTheme="minorHAnsi" w:hAnsiTheme="minorHAnsi" w:cs="Times New Roman"/>
                <w:b/>
                <w:lang w:eastAsia="en-IE"/>
              </w:rPr>
            </w:pPr>
          </w:p>
        </w:tc>
        <w:tc>
          <w:tcPr>
            <w:tcW w:w="1276" w:type="dxa"/>
            <w:tcBorders>
              <w:top w:val="single" w:sz="4" w:space="0" w:color="auto"/>
              <w:left w:val="nil"/>
            </w:tcBorders>
            <w:shd w:val="clear" w:color="auto" w:fill="auto"/>
          </w:tcPr>
          <w:p w14:paraId="28029B24" w14:textId="77777777" w:rsidR="00324B39" w:rsidRDefault="00324B3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lang w:eastAsia="en-IE"/>
              </w:rPr>
            </w:pPr>
          </w:p>
        </w:tc>
        <w:tc>
          <w:tcPr>
            <w:tcW w:w="2126" w:type="dxa"/>
            <w:gridSpan w:val="2"/>
            <w:tcBorders>
              <w:top w:val="single" w:sz="4" w:space="0" w:color="auto"/>
              <w:left w:val="nil"/>
              <w:right w:val="single" w:sz="4" w:space="0" w:color="auto"/>
            </w:tcBorders>
            <w:shd w:val="clear" w:color="auto" w:fill="auto"/>
          </w:tcPr>
          <w:p w14:paraId="07068CF2" w14:textId="77777777" w:rsidR="00324B39" w:rsidRPr="00443C47" w:rsidRDefault="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lang w:eastAsia="en-IE"/>
              </w:rPr>
            </w:pPr>
          </w:p>
        </w:tc>
      </w:tr>
      <w:tr w:rsidR="00324B39" w:rsidRPr="00443C47" w14:paraId="723C21E5" w14:textId="77777777" w:rsidTr="00F91068">
        <w:trPr>
          <w:trHeight w:val="615"/>
        </w:trPr>
        <w:tc>
          <w:tcPr>
            <w:tcW w:w="3969" w:type="dxa"/>
            <w:tcBorders>
              <w:left w:val="single" w:sz="4" w:space="0" w:color="auto"/>
              <w:bottom w:val="single" w:sz="4" w:space="0" w:color="auto"/>
              <w:right w:val="nil"/>
            </w:tcBorders>
          </w:tcPr>
          <w:p w14:paraId="108218CF" w14:textId="77777777" w:rsidR="00324B39" w:rsidRPr="00443C47"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Fonts w:asciiTheme="minorHAnsi" w:hAnsiTheme="minorHAnsi" w:cs="Times New Roman"/>
                <w:b/>
                <w:lang w:eastAsia="en-IE"/>
              </w:rPr>
            </w:pPr>
            <w:r>
              <w:rPr>
                <w:rFonts w:asciiTheme="minorHAnsi" w:hAnsiTheme="minorHAnsi" w:cs="Times New Roman"/>
                <w:b/>
                <w:lang w:eastAsia="en-IE"/>
              </w:rPr>
              <w:t>£m</w:t>
            </w:r>
          </w:p>
          <w:p w14:paraId="69FE868D" w14:textId="004A3F6C" w:rsidR="00324B39" w:rsidRPr="00220D66" w:rsidRDefault="00345AD3"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i/>
                <w:sz w:val="18"/>
                <w:szCs w:val="18"/>
                <w:lang w:eastAsia="en-IE"/>
              </w:rPr>
            </w:pPr>
            <w:r>
              <w:rPr>
                <w:rFonts w:asciiTheme="minorHAnsi" w:hAnsiTheme="minorHAnsi" w:cs="Times New Roman"/>
                <w:i/>
                <w:sz w:val="18"/>
                <w:szCs w:val="18"/>
                <w:lang w:eastAsia="en-IE"/>
              </w:rPr>
              <w:t>Pre IFRS 16</w:t>
            </w:r>
          </w:p>
        </w:tc>
        <w:tc>
          <w:tcPr>
            <w:tcW w:w="1276" w:type="dxa"/>
            <w:tcBorders>
              <w:left w:val="nil"/>
              <w:bottom w:val="single" w:sz="4" w:space="0" w:color="auto"/>
            </w:tcBorders>
            <w:shd w:val="clear" w:color="auto" w:fill="auto"/>
          </w:tcPr>
          <w:p w14:paraId="222E85C8" w14:textId="3A9FAC97" w:rsidR="00324B39" w:rsidRPr="006D3B6C" w:rsidRDefault="00324B3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lang w:eastAsia="en-IE"/>
              </w:rPr>
            </w:pPr>
            <w:r w:rsidRPr="006D3B6C">
              <w:rPr>
                <w:rFonts w:asciiTheme="minorHAnsi" w:hAnsiTheme="minorHAnsi" w:cs="Times New Roman"/>
                <w:b/>
                <w:lang w:eastAsia="en-IE"/>
              </w:rPr>
              <w:t>201</w:t>
            </w:r>
            <w:r w:rsidR="002B33EA">
              <w:rPr>
                <w:rFonts w:asciiTheme="minorHAnsi" w:hAnsiTheme="minorHAnsi" w:cs="Times New Roman"/>
                <w:b/>
                <w:lang w:eastAsia="en-IE"/>
              </w:rPr>
              <w:t>9</w:t>
            </w:r>
          </w:p>
          <w:p w14:paraId="6DCF122F" w14:textId="77777777" w:rsidR="00324B39" w:rsidRPr="006D3B6C" w:rsidRDefault="00324B3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sidRPr="006D3B6C">
              <w:rPr>
                <w:rFonts w:asciiTheme="minorHAnsi" w:hAnsiTheme="minorHAnsi" w:cs="Times New Roman"/>
                <w:b/>
                <w:lang w:eastAsia="en-IE"/>
              </w:rPr>
              <w:t>£m</w:t>
            </w:r>
          </w:p>
        </w:tc>
        <w:tc>
          <w:tcPr>
            <w:tcW w:w="992" w:type="dxa"/>
            <w:tcBorders>
              <w:left w:val="nil"/>
              <w:bottom w:val="single" w:sz="4" w:space="0" w:color="auto"/>
              <w:right w:val="nil"/>
            </w:tcBorders>
            <w:shd w:val="clear" w:color="auto" w:fill="auto"/>
          </w:tcPr>
          <w:p w14:paraId="6FE3A1EB" w14:textId="788E54DD" w:rsidR="00324B39" w:rsidRPr="006D3B6C" w:rsidRDefault="00324B3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lang w:eastAsia="en-IE"/>
              </w:rPr>
            </w:pPr>
            <w:r w:rsidRPr="006D3B6C">
              <w:rPr>
                <w:rFonts w:asciiTheme="minorHAnsi" w:hAnsiTheme="minorHAnsi" w:cs="Times New Roman"/>
                <w:b/>
                <w:lang w:eastAsia="en-IE"/>
              </w:rPr>
              <w:t>201</w:t>
            </w:r>
            <w:r w:rsidR="002B33EA">
              <w:rPr>
                <w:rFonts w:asciiTheme="minorHAnsi" w:hAnsiTheme="minorHAnsi" w:cs="Times New Roman"/>
                <w:b/>
                <w:lang w:eastAsia="en-IE"/>
              </w:rPr>
              <w:t>8</w:t>
            </w:r>
          </w:p>
          <w:p w14:paraId="0AC7A61E" w14:textId="77777777" w:rsidR="00324B39" w:rsidRPr="006D3B6C" w:rsidRDefault="00324B3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sidRPr="006D3B6C">
              <w:rPr>
                <w:rFonts w:asciiTheme="minorHAnsi" w:hAnsiTheme="minorHAnsi" w:cs="Times New Roman"/>
                <w:b/>
                <w:lang w:eastAsia="en-IE"/>
              </w:rPr>
              <w:t>£m</w:t>
            </w:r>
          </w:p>
        </w:tc>
        <w:tc>
          <w:tcPr>
            <w:tcW w:w="1134" w:type="dxa"/>
            <w:tcBorders>
              <w:left w:val="nil"/>
              <w:bottom w:val="single" w:sz="4" w:space="0" w:color="auto"/>
              <w:right w:val="single" w:sz="4" w:space="0" w:color="auto"/>
            </w:tcBorders>
          </w:tcPr>
          <w:p w14:paraId="328EC623" w14:textId="77777777" w:rsidR="00324B39" w:rsidRPr="00443C47" w:rsidRDefault="00324B3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lang w:eastAsia="en-IE"/>
              </w:rPr>
            </w:pPr>
            <w:r w:rsidRPr="00443C47">
              <w:rPr>
                <w:rFonts w:asciiTheme="minorHAnsi" w:hAnsiTheme="minorHAnsi" w:cs="Times New Roman"/>
                <w:b/>
                <w:lang w:eastAsia="en-IE"/>
              </w:rPr>
              <w:t>Change</w:t>
            </w:r>
          </w:p>
          <w:p w14:paraId="2A53F71F" w14:textId="77777777" w:rsidR="00324B39" w:rsidRPr="00443C47" w:rsidRDefault="00324B3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lang w:eastAsia="en-IE"/>
              </w:rPr>
            </w:pPr>
            <w:r w:rsidRPr="00443C47">
              <w:rPr>
                <w:rFonts w:asciiTheme="minorHAnsi" w:hAnsiTheme="minorHAnsi" w:cs="Times New Roman"/>
                <w:b/>
                <w:lang w:eastAsia="en-IE"/>
              </w:rPr>
              <w:t>%</w:t>
            </w:r>
          </w:p>
        </w:tc>
      </w:tr>
      <w:tr w:rsidR="00324B39" w:rsidRPr="00CA2404" w14:paraId="1BBABC80" w14:textId="77777777" w:rsidTr="000C7A56">
        <w:trPr>
          <w:trHeight w:val="70"/>
        </w:trPr>
        <w:tc>
          <w:tcPr>
            <w:tcW w:w="3969" w:type="dxa"/>
            <w:tcBorders>
              <w:top w:val="single" w:sz="4" w:space="0" w:color="auto"/>
              <w:left w:val="single" w:sz="4" w:space="0" w:color="auto"/>
              <w:bottom w:val="nil"/>
              <w:right w:val="nil"/>
            </w:tcBorders>
          </w:tcPr>
          <w:p w14:paraId="07ED52E5" w14:textId="77777777" w:rsidR="00324B39" w:rsidRPr="007C6B21"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sz w:val="6"/>
                <w:szCs w:val="6"/>
                <w:lang w:eastAsia="en-IE"/>
              </w:rPr>
            </w:pPr>
          </w:p>
        </w:tc>
        <w:tc>
          <w:tcPr>
            <w:tcW w:w="1276" w:type="dxa"/>
            <w:tcBorders>
              <w:top w:val="single" w:sz="4" w:space="0" w:color="auto"/>
              <w:left w:val="nil"/>
              <w:bottom w:val="nil"/>
            </w:tcBorders>
            <w:shd w:val="clear" w:color="auto" w:fill="auto"/>
          </w:tcPr>
          <w:p w14:paraId="3691C2AE" w14:textId="77777777" w:rsidR="00324B39" w:rsidRPr="007C6B21"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992" w:type="dxa"/>
            <w:tcBorders>
              <w:top w:val="single" w:sz="4" w:space="0" w:color="auto"/>
              <w:left w:val="nil"/>
              <w:bottom w:val="nil"/>
              <w:right w:val="nil"/>
            </w:tcBorders>
            <w:shd w:val="clear" w:color="auto" w:fill="auto"/>
          </w:tcPr>
          <w:p w14:paraId="10E65C7D" w14:textId="77777777" w:rsidR="00324B39" w:rsidRPr="007C6B21"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1134" w:type="dxa"/>
            <w:tcBorders>
              <w:top w:val="single" w:sz="4" w:space="0" w:color="auto"/>
              <w:left w:val="nil"/>
              <w:bottom w:val="nil"/>
              <w:right w:val="single" w:sz="4" w:space="0" w:color="auto"/>
            </w:tcBorders>
          </w:tcPr>
          <w:p w14:paraId="7076E1A0" w14:textId="77777777" w:rsidR="00324B39" w:rsidRPr="007C6B21"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r>
      <w:tr w:rsidR="004378D7" w:rsidRPr="00CA2404" w14:paraId="1A816651" w14:textId="77777777" w:rsidTr="00C420C4">
        <w:trPr>
          <w:trHeight w:val="70"/>
        </w:trPr>
        <w:tc>
          <w:tcPr>
            <w:tcW w:w="3969" w:type="dxa"/>
            <w:tcBorders>
              <w:top w:val="nil"/>
              <w:left w:val="single" w:sz="4" w:space="0" w:color="auto"/>
              <w:bottom w:val="nil"/>
              <w:right w:val="nil"/>
            </w:tcBorders>
          </w:tcPr>
          <w:p w14:paraId="65DE3A43" w14:textId="77777777" w:rsidR="004378D7" w:rsidRPr="00CA240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r w:rsidRPr="006529D3">
              <w:rPr>
                <w:rFonts w:asciiTheme="minorHAnsi" w:hAnsiTheme="minorHAnsi" w:cs="Times New Roman"/>
                <w:b/>
                <w:lang w:eastAsia="en-IE"/>
              </w:rPr>
              <w:t>Sportsbook stakes</w:t>
            </w:r>
          </w:p>
        </w:tc>
        <w:tc>
          <w:tcPr>
            <w:tcW w:w="1276" w:type="dxa"/>
            <w:tcBorders>
              <w:top w:val="nil"/>
              <w:left w:val="nil"/>
              <w:bottom w:val="nil"/>
            </w:tcBorders>
            <w:shd w:val="clear" w:color="auto" w:fill="auto"/>
          </w:tcPr>
          <w:p w14:paraId="196E0C49" w14:textId="4041FC0F" w:rsidR="004378D7" w:rsidRPr="003F711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sidRPr="0008443D">
              <w:rPr>
                <w:rFonts w:asciiTheme="minorHAnsi" w:hAnsiTheme="minorHAnsi" w:cs="Times New Roman"/>
                <w:b/>
                <w:lang w:eastAsia="en-IE"/>
              </w:rPr>
              <w:t>5</w:t>
            </w:r>
            <w:r>
              <w:rPr>
                <w:rFonts w:asciiTheme="minorHAnsi" w:hAnsiTheme="minorHAnsi" w:cs="Times New Roman"/>
                <w:b/>
                <w:lang w:eastAsia="en-IE"/>
              </w:rPr>
              <w:t>,</w:t>
            </w:r>
            <w:r w:rsidRPr="0008443D">
              <w:rPr>
                <w:rFonts w:asciiTheme="minorHAnsi" w:hAnsiTheme="minorHAnsi" w:cs="Times New Roman"/>
                <w:b/>
                <w:lang w:eastAsia="en-IE"/>
              </w:rPr>
              <w:t>184</w:t>
            </w:r>
          </w:p>
        </w:tc>
        <w:tc>
          <w:tcPr>
            <w:tcW w:w="992" w:type="dxa"/>
            <w:tcBorders>
              <w:top w:val="nil"/>
              <w:left w:val="nil"/>
              <w:bottom w:val="nil"/>
              <w:right w:val="nil"/>
            </w:tcBorders>
            <w:shd w:val="clear" w:color="auto" w:fill="auto"/>
          </w:tcPr>
          <w:p w14:paraId="2DDA0E3C" w14:textId="288CC017" w:rsidR="004378D7" w:rsidRPr="00CA240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sidRPr="003F7114">
              <w:rPr>
                <w:rFonts w:asciiTheme="minorHAnsi" w:hAnsiTheme="minorHAnsi" w:cs="Times New Roman"/>
                <w:b/>
                <w:lang w:eastAsia="en-IE"/>
              </w:rPr>
              <w:t>5,453</w:t>
            </w:r>
          </w:p>
        </w:tc>
        <w:tc>
          <w:tcPr>
            <w:tcW w:w="1134" w:type="dxa"/>
            <w:tcBorders>
              <w:top w:val="nil"/>
              <w:left w:val="nil"/>
              <w:bottom w:val="nil"/>
              <w:right w:val="single" w:sz="4" w:space="0" w:color="auto"/>
            </w:tcBorders>
          </w:tcPr>
          <w:p w14:paraId="2160D2BD" w14:textId="2B73132E" w:rsidR="004378D7" w:rsidRPr="003F711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sidRPr="00B16EBF">
              <w:rPr>
                <w:rFonts w:asciiTheme="minorHAnsi" w:hAnsiTheme="minorHAnsi" w:cs="Times New Roman"/>
                <w:b/>
                <w:lang w:eastAsia="en-IE"/>
              </w:rPr>
              <w:t>-5%</w:t>
            </w:r>
          </w:p>
        </w:tc>
      </w:tr>
      <w:tr w:rsidR="004378D7" w:rsidRPr="00CA2404" w14:paraId="5D3A9F9A" w14:textId="77777777" w:rsidTr="00C420C4">
        <w:trPr>
          <w:trHeight w:val="70"/>
        </w:trPr>
        <w:tc>
          <w:tcPr>
            <w:tcW w:w="3969" w:type="dxa"/>
            <w:tcBorders>
              <w:top w:val="nil"/>
              <w:left w:val="single" w:sz="4" w:space="0" w:color="auto"/>
              <w:bottom w:val="nil"/>
              <w:right w:val="nil"/>
            </w:tcBorders>
          </w:tcPr>
          <w:p w14:paraId="713EFA1B" w14:textId="16AC78B8" w:rsidR="004378D7" w:rsidRPr="000C7A56"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18"/>
              </w:rPr>
            </w:pPr>
            <w:r w:rsidRPr="000C7A56">
              <w:rPr>
                <w:rFonts w:asciiTheme="minorHAnsi" w:hAnsiTheme="minorHAnsi"/>
                <w:i/>
                <w:sz w:val="18"/>
              </w:rPr>
              <w:t xml:space="preserve">Sportsbook net revenue </w:t>
            </w:r>
            <w:r w:rsidR="00C768B0" w:rsidRPr="006F15A9">
              <w:rPr>
                <w:rFonts w:asciiTheme="minorHAnsi" w:hAnsiTheme="minorHAnsi" w:cs="Times New Roman"/>
                <w:i/>
                <w:sz w:val="18"/>
                <w:szCs w:val="18"/>
                <w:lang w:eastAsia="en-IE"/>
              </w:rPr>
              <w:t>margin</w:t>
            </w:r>
          </w:p>
        </w:tc>
        <w:tc>
          <w:tcPr>
            <w:tcW w:w="1276" w:type="dxa"/>
            <w:tcBorders>
              <w:top w:val="nil"/>
              <w:left w:val="nil"/>
              <w:bottom w:val="nil"/>
            </w:tcBorders>
            <w:shd w:val="clear" w:color="auto" w:fill="auto"/>
          </w:tcPr>
          <w:p w14:paraId="180DBEFE" w14:textId="3E6F9E3F" w:rsidR="004378D7" w:rsidRPr="000C7A56"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8"/>
              </w:rPr>
            </w:pPr>
            <w:r w:rsidRPr="000C7A56">
              <w:rPr>
                <w:rFonts w:asciiTheme="minorHAnsi" w:hAnsiTheme="minorHAnsi"/>
                <w:i/>
                <w:sz w:val="18"/>
              </w:rPr>
              <w:t xml:space="preserve">             8.1%</w:t>
            </w:r>
          </w:p>
        </w:tc>
        <w:tc>
          <w:tcPr>
            <w:tcW w:w="992" w:type="dxa"/>
            <w:tcBorders>
              <w:top w:val="nil"/>
              <w:left w:val="nil"/>
              <w:bottom w:val="nil"/>
              <w:right w:val="nil"/>
            </w:tcBorders>
            <w:shd w:val="clear" w:color="auto" w:fill="auto"/>
          </w:tcPr>
          <w:p w14:paraId="6264E060" w14:textId="5B3A2F75" w:rsidR="004378D7" w:rsidRPr="000C7A56"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8"/>
              </w:rPr>
            </w:pPr>
            <w:r w:rsidRPr="000C7A56">
              <w:rPr>
                <w:rFonts w:asciiTheme="minorHAnsi" w:hAnsiTheme="minorHAnsi"/>
                <w:i/>
                <w:sz w:val="18"/>
              </w:rPr>
              <w:t>7.7%</w:t>
            </w:r>
          </w:p>
        </w:tc>
        <w:tc>
          <w:tcPr>
            <w:tcW w:w="1134" w:type="dxa"/>
            <w:tcBorders>
              <w:top w:val="nil"/>
              <w:left w:val="nil"/>
              <w:bottom w:val="nil"/>
              <w:right w:val="single" w:sz="4" w:space="0" w:color="auto"/>
            </w:tcBorders>
          </w:tcPr>
          <w:p w14:paraId="5300B55D" w14:textId="78B3A1CD" w:rsidR="004378D7" w:rsidRPr="000C7A56"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8"/>
              </w:rPr>
            </w:pPr>
            <w:r w:rsidRPr="000C7A56">
              <w:rPr>
                <w:rFonts w:asciiTheme="minorHAnsi" w:hAnsiTheme="minorHAnsi"/>
                <w:i/>
                <w:sz w:val="18"/>
              </w:rPr>
              <w:t>+40bps</w:t>
            </w:r>
          </w:p>
        </w:tc>
      </w:tr>
      <w:tr w:rsidR="004378D7" w:rsidRPr="00CA2404" w14:paraId="32F4F8EF" w14:textId="77777777" w:rsidTr="00C420C4">
        <w:trPr>
          <w:trHeight w:val="70"/>
        </w:trPr>
        <w:tc>
          <w:tcPr>
            <w:tcW w:w="3969" w:type="dxa"/>
            <w:tcBorders>
              <w:top w:val="nil"/>
              <w:left w:val="single" w:sz="4" w:space="0" w:color="auto"/>
              <w:bottom w:val="nil"/>
              <w:right w:val="nil"/>
            </w:tcBorders>
          </w:tcPr>
          <w:p w14:paraId="2D09C996" w14:textId="77777777" w:rsidR="004378D7" w:rsidRPr="00CA240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276" w:type="dxa"/>
            <w:tcBorders>
              <w:top w:val="nil"/>
              <w:left w:val="nil"/>
              <w:bottom w:val="nil"/>
            </w:tcBorders>
            <w:shd w:val="clear" w:color="auto" w:fill="auto"/>
          </w:tcPr>
          <w:p w14:paraId="6B8755E2" w14:textId="77777777" w:rsidR="004378D7" w:rsidRPr="003F711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2" w:type="dxa"/>
            <w:tcBorders>
              <w:top w:val="nil"/>
              <w:left w:val="nil"/>
              <w:bottom w:val="nil"/>
              <w:right w:val="nil"/>
            </w:tcBorders>
            <w:shd w:val="clear" w:color="auto" w:fill="auto"/>
          </w:tcPr>
          <w:p w14:paraId="41F6A980" w14:textId="77777777" w:rsidR="004378D7" w:rsidRPr="00CA240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134" w:type="dxa"/>
            <w:tcBorders>
              <w:top w:val="nil"/>
              <w:left w:val="nil"/>
              <w:bottom w:val="nil"/>
              <w:right w:val="single" w:sz="4" w:space="0" w:color="auto"/>
            </w:tcBorders>
          </w:tcPr>
          <w:p w14:paraId="2ED16AA5" w14:textId="77777777" w:rsidR="004378D7" w:rsidRPr="008D5F7B"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highlight w:val="yellow"/>
                <w:lang w:eastAsia="en-IE"/>
              </w:rPr>
            </w:pPr>
          </w:p>
        </w:tc>
      </w:tr>
      <w:tr w:rsidR="004378D7" w:rsidRPr="00CA2404" w14:paraId="3A65602F" w14:textId="77777777" w:rsidTr="00C420C4">
        <w:trPr>
          <w:trHeight w:val="70"/>
        </w:trPr>
        <w:tc>
          <w:tcPr>
            <w:tcW w:w="3969" w:type="dxa"/>
            <w:tcBorders>
              <w:top w:val="nil"/>
              <w:left w:val="single" w:sz="4" w:space="0" w:color="auto"/>
              <w:bottom w:val="nil"/>
              <w:right w:val="nil"/>
            </w:tcBorders>
          </w:tcPr>
          <w:p w14:paraId="7AFEBD1E" w14:textId="77777777" w:rsidR="004378D7" w:rsidRPr="00CA240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r>
              <w:rPr>
                <w:rFonts w:asciiTheme="minorHAnsi" w:hAnsiTheme="minorHAnsi" w:cs="Times New Roman"/>
                <w:lang w:eastAsia="en-IE"/>
              </w:rPr>
              <w:t>Sports revenue</w:t>
            </w:r>
          </w:p>
        </w:tc>
        <w:tc>
          <w:tcPr>
            <w:tcW w:w="1276" w:type="dxa"/>
            <w:tcBorders>
              <w:top w:val="nil"/>
              <w:left w:val="nil"/>
              <w:bottom w:val="nil"/>
            </w:tcBorders>
            <w:shd w:val="clear" w:color="auto" w:fill="auto"/>
          </w:tcPr>
          <w:p w14:paraId="19AA0F01" w14:textId="5B16A5B6" w:rsidR="004378D7" w:rsidRPr="003F711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666</w:t>
            </w:r>
          </w:p>
        </w:tc>
        <w:tc>
          <w:tcPr>
            <w:tcW w:w="992" w:type="dxa"/>
            <w:tcBorders>
              <w:top w:val="nil"/>
              <w:left w:val="nil"/>
              <w:bottom w:val="nil"/>
              <w:right w:val="nil"/>
            </w:tcBorders>
            <w:shd w:val="clear" w:color="auto" w:fill="auto"/>
          </w:tcPr>
          <w:p w14:paraId="2C0E4A71" w14:textId="1E0BC2E7" w:rsidR="004378D7" w:rsidRPr="005C0FA7"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3F7114">
              <w:rPr>
                <w:rFonts w:asciiTheme="minorHAnsi" w:hAnsiTheme="minorHAnsi" w:cs="Times New Roman"/>
                <w:lang w:eastAsia="en-IE"/>
              </w:rPr>
              <w:t>67</w:t>
            </w:r>
            <w:r>
              <w:rPr>
                <w:rFonts w:asciiTheme="minorHAnsi" w:hAnsiTheme="minorHAnsi" w:cs="Times New Roman"/>
                <w:lang w:eastAsia="en-IE"/>
              </w:rPr>
              <w:t>8</w:t>
            </w:r>
          </w:p>
        </w:tc>
        <w:tc>
          <w:tcPr>
            <w:tcW w:w="1134" w:type="dxa"/>
            <w:tcBorders>
              <w:top w:val="nil"/>
              <w:left w:val="nil"/>
              <w:bottom w:val="nil"/>
              <w:right w:val="single" w:sz="4" w:space="0" w:color="auto"/>
            </w:tcBorders>
          </w:tcPr>
          <w:p w14:paraId="3B4AA9EB" w14:textId="1E532A5D" w:rsidR="004378D7" w:rsidRPr="003F711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-2%</w:t>
            </w:r>
          </w:p>
        </w:tc>
      </w:tr>
      <w:tr w:rsidR="004378D7" w:rsidRPr="00CA2404" w14:paraId="595D3694" w14:textId="77777777" w:rsidTr="00C420C4">
        <w:trPr>
          <w:trHeight w:val="70"/>
        </w:trPr>
        <w:tc>
          <w:tcPr>
            <w:tcW w:w="3969" w:type="dxa"/>
            <w:tcBorders>
              <w:top w:val="nil"/>
              <w:left w:val="single" w:sz="4" w:space="0" w:color="auto"/>
              <w:bottom w:val="nil"/>
              <w:right w:val="nil"/>
            </w:tcBorders>
          </w:tcPr>
          <w:p w14:paraId="5E27AD4F" w14:textId="77777777" w:rsidR="004378D7" w:rsidRPr="00CA240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r>
              <w:rPr>
                <w:rFonts w:asciiTheme="minorHAnsi" w:hAnsiTheme="minorHAnsi" w:cs="Times New Roman"/>
                <w:lang w:eastAsia="en-IE"/>
              </w:rPr>
              <w:t>Gaming revenue</w:t>
            </w:r>
          </w:p>
        </w:tc>
        <w:tc>
          <w:tcPr>
            <w:tcW w:w="1276" w:type="dxa"/>
            <w:tcBorders>
              <w:top w:val="nil"/>
              <w:left w:val="nil"/>
              <w:bottom w:val="single" w:sz="4" w:space="0" w:color="auto"/>
            </w:tcBorders>
            <w:shd w:val="clear" w:color="auto" w:fill="auto"/>
          </w:tcPr>
          <w:p w14:paraId="33309F6B" w14:textId="0EE01442" w:rsidR="004378D7" w:rsidRPr="003F711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Pr>
                <w:rFonts w:asciiTheme="minorHAnsi" w:hAnsiTheme="minorHAnsi" w:cs="Times New Roman"/>
                <w:lang w:eastAsia="en-IE"/>
              </w:rPr>
              <w:t>340</w:t>
            </w:r>
          </w:p>
        </w:tc>
        <w:tc>
          <w:tcPr>
            <w:tcW w:w="992" w:type="dxa"/>
            <w:tcBorders>
              <w:top w:val="nil"/>
              <w:left w:val="nil"/>
              <w:bottom w:val="single" w:sz="4" w:space="0" w:color="auto"/>
              <w:right w:val="nil"/>
            </w:tcBorders>
            <w:shd w:val="clear" w:color="auto" w:fill="auto"/>
          </w:tcPr>
          <w:p w14:paraId="6B609F0A" w14:textId="05F2A5EB" w:rsidR="004378D7" w:rsidRPr="00CA240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sidRPr="003F7114">
              <w:rPr>
                <w:rFonts w:asciiTheme="minorHAnsi" w:hAnsiTheme="minorHAnsi" w:cs="Times New Roman"/>
                <w:lang w:eastAsia="en-IE"/>
              </w:rPr>
              <w:t>27</w:t>
            </w:r>
            <w:r>
              <w:rPr>
                <w:rFonts w:asciiTheme="minorHAnsi" w:hAnsiTheme="minorHAnsi" w:cs="Times New Roman"/>
                <w:lang w:eastAsia="en-IE"/>
              </w:rPr>
              <w:t>0</w:t>
            </w:r>
          </w:p>
        </w:tc>
        <w:tc>
          <w:tcPr>
            <w:tcW w:w="1134" w:type="dxa"/>
            <w:tcBorders>
              <w:top w:val="nil"/>
              <w:left w:val="nil"/>
              <w:bottom w:val="single" w:sz="4" w:space="0" w:color="auto"/>
              <w:right w:val="single" w:sz="4" w:space="0" w:color="auto"/>
            </w:tcBorders>
          </w:tcPr>
          <w:p w14:paraId="74C2344C" w14:textId="778CF30B" w:rsidR="004378D7" w:rsidRPr="003F711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sidRPr="00B16EBF">
              <w:rPr>
                <w:rFonts w:asciiTheme="minorHAnsi" w:hAnsiTheme="minorHAnsi" w:cs="Times New Roman"/>
                <w:lang w:eastAsia="en-IE"/>
              </w:rPr>
              <w:t>+26%</w:t>
            </w:r>
          </w:p>
        </w:tc>
      </w:tr>
      <w:tr w:rsidR="004378D7" w:rsidRPr="00443C47" w14:paraId="3397CB54" w14:textId="77777777" w:rsidTr="00C420C4">
        <w:trPr>
          <w:trHeight w:val="93"/>
        </w:trPr>
        <w:tc>
          <w:tcPr>
            <w:tcW w:w="3969" w:type="dxa"/>
            <w:tcBorders>
              <w:top w:val="nil"/>
              <w:left w:val="single" w:sz="4" w:space="0" w:color="auto"/>
              <w:bottom w:val="nil"/>
              <w:right w:val="nil"/>
            </w:tcBorders>
          </w:tcPr>
          <w:p w14:paraId="6803A60D" w14:textId="77777777" w:rsidR="004378D7" w:rsidRPr="004C7C0F"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C7C0F">
              <w:rPr>
                <w:rFonts w:asciiTheme="minorHAnsi" w:hAnsiTheme="minorHAnsi" w:cs="Times New Roman"/>
                <w:b/>
                <w:lang w:eastAsia="en-IE"/>
              </w:rPr>
              <w:t>Total revenue</w:t>
            </w:r>
          </w:p>
        </w:tc>
        <w:tc>
          <w:tcPr>
            <w:tcW w:w="1276" w:type="dxa"/>
            <w:tcBorders>
              <w:top w:val="single" w:sz="4" w:space="0" w:color="auto"/>
              <w:left w:val="nil"/>
              <w:bottom w:val="nil"/>
            </w:tcBorders>
            <w:shd w:val="clear" w:color="auto" w:fill="auto"/>
          </w:tcPr>
          <w:p w14:paraId="6F063C34" w14:textId="4575D2FC" w:rsidR="004378D7" w:rsidRPr="003F711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1,006</w:t>
            </w:r>
          </w:p>
        </w:tc>
        <w:tc>
          <w:tcPr>
            <w:tcW w:w="992" w:type="dxa"/>
            <w:tcBorders>
              <w:top w:val="single" w:sz="4" w:space="0" w:color="auto"/>
              <w:left w:val="nil"/>
              <w:bottom w:val="nil"/>
              <w:right w:val="nil"/>
            </w:tcBorders>
            <w:shd w:val="clear" w:color="auto" w:fill="auto"/>
          </w:tcPr>
          <w:p w14:paraId="5D407DEA" w14:textId="0197B1AA" w:rsidR="004378D7" w:rsidRPr="004C7C0F"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3F7114">
              <w:rPr>
                <w:rFonts w:asciiTheme="minorHAnsi" w:hAnsiTheme="minorHAnsi" w:cs="Times New Roman"/>
                <w:b/>
                <w:lang w:eastAsia="en-IE"/>
              </w:rPr>
              <w:t>948</w:t>
            </w:r>
          </w:p>
        </w:tc>
        <w:tc>
          <w:tcPr>
            <w:tcW w:w="1134" w:type="dxa"/>
            <w:tcBorders>
              <w:top w:val="single" w:sz="4" w:space="0" w:color="auto"/>
              <w:left w:val="nil"/>
              <w:bottom w:val="nil"/>
              <w:right w:val="single" w:sz="4" w:space="0" w:color="auto"/>
            </w:tcBorders>
          </w:tcPr>
          <w:p w14:paraId="0E2B70EC" w14:textId="7554F536" w:rsidR="004378D7" w:rsidRPr="003F711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+6%</w:t>
            </w:r>
          </w:p>
        </w:tc>
      </w:tr>
      <w:tr w:rsidR="004378D7" w:rsidRPr="001F75A8" w14:paraId="495EC484" w14:textId="77777777" w:rsidTr="00C420C4">
        <w:trPr>
          <w:trHeight w:val="70"/>
        </w:trPr>
        <w:tc>
          <w:tcPr>
            <w:tcW w:w="3969" w:type="dxa"/>
            <w:tcBorders>
              <w:top w:val="nil"/>
              <w:left w:val="single" w:sz="4" w:space="0" w:color="auto"/>
              <w:bottom w:val="nil"/>
              <w:right w:val="nil"/>
            </w:tcBorders>
          </w:tcPr>
          <w:p w14:paraId="616014D4" w14:textId="77777777" w:rsidR="004378D7" w:rsidRPr="00220D66"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276" w:type="dxa"/>
            <w:tcBorders>
              <w:top w:val="nil"/>
              <w:left w:val="nil"/>
              <w:bottom w:val="nil"/>
            </w:tcBorders>
            <w:shd w:val="clear" w:color="auto" w:fill="auto"/>
          </w:tcPr>
          <w:p w14:paraId="3E0BF583" w14:textId="77777777" w:rsidR="004378D7" w:rsidRPr="008D5F7B"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highlight w:val="yellow"/>
                <w:lang w:eastAsia="en-IE"/>
              </w:rPr>
            </w:pPr>
          </w:p>
        </w:tc>
        <w:tc>
          <w:tcPr>
            <w:tcW w:w="992" w:type="dxa"/>
            <w:tcBorders>
              <w:top w:val="nil"/>
              <w:left w:val="nil"/>
              <w:bottom w:val="nil"/>
              <w:right w:val="nil"/>
            </w:tcBorders>
            <w:shd w:val="clear" w:color="auto" w:fill="auto"/>
          </w:tcPr>
          <w:p w14:paraId="6BD67D07" w14:textId="77777777" w:rsidR="004378D7" w:rsidRPr="00220D66"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134" w:type="dxa"/>
            <w:tcBorders>
              <w:top w:val="nil"/>
              <w:left w:val="nil"/>
              <w:bottom w:val="nil"/>
              <w:right w:val="single" w:sz="4" w:space="0" w:color="auto"/>
            </w:tcBorders>
          </w:tcPr>
          <w:p w14:paraId="1E87589A" w14:textId="77777777" w:rsidR="004378D7" w:rsidRPr="008D5F7B"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highlight w:val="yellow"/>
                <w:lang w:eastAsia="en-IE"/>
              </w:rPr>
            </w:pPr>
          </w:p>
        </w:tc>
      </w:tr>
      <w:tr w:rsidR="004378D7" w:rsidRPr="00443C47" w14:paraId="213841A1" w14:textId="77777777" w:rsidTr="000C7A56">
        <w:trPr>
          <w:trHeight w:val="70"/>
        </w:trPr>
        <w:tc>
          <w:tcPr>
            <w:tcW w:w="3969" w:type="dxa"/>
            <w:tcBorders>
              <w:top w:val="nil"/>
              <w:left w:val="single" w:sz="4" w:space="0" w:color="auto"/>
              <w:right w:val="nil"/>
            </w:tcBorders>
          </w:tcPr>
          <w:p w14:paraId="53A5DB1C" w14:textId="77777777" w:rsidR="004378D7" w:rsidRPr="00220D66"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Cost of sales</w:t>
            </w:r>
          </w:p>
        </w:tc>
        <w:tc>
          <w:tcPr>
            <w:tcW w:w="1276" w:type="dxa"/>
            <w:tcBorders>
              <w:top w:val="nil"/>
              <w:left w:val="nil"/>
            </w:tcBorders>
            <w:shd w:val="clear" w:color="auto" w:fill="auto"/>
          </w:tcPr>
          <w:p w14:paraId="1CD3B53D" w14:textId="623310B8" w:rsidR="004378D7" w:rsidRPr="008D5F7B"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highlight w:val="yellow"/>
                <w:lang w:eastAsia="en-IE"/>
              </w:rPr>
            </w:pPr>
            <w:r w:rsidRPr="00B16EBF">
              <w:rPr>
                <w:rFonts w:asciiTheme="minorHAnsi" w:hAnsiTheme="minorHAnsi" w:cs="Times New Roman"/>
                <w:lang w:eastAsia="en-IE"/>
              </w:rPr>
              <w:t>(</w:t>
            </w:r>
            <w:r w:rsidR="008277C2" w:rsidRPr="00B16EBF">
              <w:rPr>
                <w:rFonts w:asciiTheme="minorHAnsi" w:hAnsiTheme="minorHAnsi" w:cs="Times New Roman"/>
                <w:lang w:eastAsia="en-IE"/>
              </w:rPr>
              <w:t>28</w:t>
            </w:r>
            <w:r w:rsidR="008277C2">
              <w:rPr>
                <w:rFonts w:asciiTheme="minorHAnsi" w:hAnsiTheme="minorHAnsi" w:cs="Times New Roman"/>
                <w:lang w:eastAsia="en-IE"/>
              </w:rPr>
              <w:t>3</w:t>
            </w:r>
            <w:r w:rsidRPr="00B16EBF">
              <w:rPr>
                <w:rFonts w:asciiTheme="minorHAnsi" w:hAnsiTheme="minorHAnsi" w:cs="Times New Roman"/>
                <w:lang w:eastAsia="en-IE"/>
              </w:rPr>
              <w:t>)</w:t>
            </w:r>
          </w:p>
        </w:tc>
        <w:tc>
          <w:tcPr>
            <w:tcW w:w="992" w:type="dxa"/>
            <w:tcBorders>
              <w:top w:val="nil"/>
              <w:left w:val="nil"/>
              <w:right w:val="nil"/>
            </w:tcBorders>
            <w:shd w:val="clear" w:color="auto" w:fill="auto"/>
          </w:tcPr>
          <w:p w14:paraId="00DCA680" w14:textId="6FE79BC7" w:rsidR="004378D7"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3F7114">
              <w:rPr>
                <w:rFonts w:asciiTheme="minorHAnsi" w:hAnsiTheme="minorHAnsi" w:cs="Times New Roman"/>
                <w:lang w:eastAsia="en-IE"/>
              </w:rPr>
              <w:t>(231)</w:t>
            </w:r>
          </w:p>
        </w:tc>
        <w:tc>
          <w:tcPr>
            <w:tcW w:w="1134" w:type="dxa"/>
            <w:tcBorders>
              <w:top w:val="nil"/>
              <w:left w:val="nil"/>
              <w:right w:val="single" w:sz="4" w:space="0" w:color="auto"/>
            </w:tcBorders>
          </w:tcPr>
          <w:p w14:paraId="2BEC3EF7" w14:textId="57502183" w:rsidR="004378D7" w:rsidRPr="003F7114" w:rsidRDefault="004378D7" w:rsidP="004378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+23%</w:t>
            </w:r>
          </w:p>
        </w:tc>
      </w:tr>
      <w:tr w:rsidR="0089179A" w:rsidRPr="00443C47" w:rsidDel="00EB0124" w14:paraId="6AF2C6FF" w14:textId="77777777" w:rsidTr="00E464CE">
        <w:trPr>
          <w:trHeight w:val="70"/>
        </w:trPr>
        <w:tc>
          <w:tcPr>
            <w:tcW w:w="3969" w:type="dxa"/>
            <w:tcBorders>
              <w:left w:val="single" w:sz="4" w:space="0" w:color="auto"/>
              <w:bottom w:val="nil"/>
              <w:right w:val="nil"/>
            </w:tcBorders>
          </w:tcPr>
          <w:p w14:paraId="308A7837" w14:textId="324479ED" w:rsidR="0089179A" w:rsidRPr="00B32CCA" w:rsidRDefault="00CF1D00"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18"/>
                <w:szCs w:val="18"/>
                <w:lang w:eastAsia="en-IE"/>
              </w:rPr>
            </w:pPr>
            <w:r w:rsidRPr="00B32CCA">
              <w:rPr>
                <w:rFonts w:asciiTheme="minorHAnsi" w:hAnsiTheme="minorHAnsi" w:cs="Times New Roman"/>
                <w:i/>
                <w:sz w:val="18"/>
                <w:szCs w:val="18"/>
                <w:lang w:eastAsia="en-IE"/>
              </w:rPr>
              <w:t>Cost of sales as a % of net revenue</w:t>
            </w:r>
          </w:p>
        </w:tc>
        <w:tc>
          <w:tcPr>
            <w:tcW w:w="1276" w:type="dxa"/>
            <w:tcBorders>
              <w:left w:val="nil"/>
              <w:bottom w:val="nil"/>
            </w:tcBorders>
            <w:shd w:val="clear" w:color="auto" w:fill="auto"/>
          </w:tcPr>
          <w:p w14:paraId="4B32AE65" w14:textId="18B6F29D" w:rsidR="0089179A" w:rsidRPr="00B32CCA" w:rsidDel="00EB0124" w:rsidRDefault="00C768B0"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sidRPr="00B32CCA">
              <w:rPr>
                <w:rFonts w:asciiTheme="minorHAnsi" w:hAnsiTheme="minorHAnsi" w:cs="Times New Roman"/>
                <w:i/>
                <w:sz w:val="18"/>
                <w:szCs w:val="18"/>
                <w:lang w:eastAsia="en-IE"/>
              </w:rPr>
              <w:t>28.1%</w:t>
            </w:r>
          </w:p>
        </w:tc>
        <w:tc>
          <w:tcPr>
            <w:tcW w:w="992" w:type="dxa"/>
            <w:tcBorders>
              <w:left w:val="nil"/>
              <w:bottom w:val="nil"/>
              <w:right w:val="nil"/>
            </w:tcBorders>
            <w:shd w:val="clear" w:color="auto" w:fill="auto"/>
          </w:tcPr>
          <w:p w14:paraId="72593F6A" w14:textId="549DFB8D" w:rsidR="0089179A" w:rsidRPr="00B32CCA" w:rsidDel="00EB0124" w:rsidRDefault="00C768B0"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B32CCA">
              <w:rPr>
                <w:rFonts w:asciiTheme="minorHAnsi" w:hAnsiTheme="minorHAnsi" w:cs="Times New Roman"/>
                <w:i/>
                <w:sz w:val="18"/>
                <w:szCs w:val="18"/>
                <w:lang w:eastAsia="en-IE"/>
              </w:rPr>
              <w:t>24.4%</w:t>
            </w:r>
          </w:p>
        </w:tc>
        <w:tc>
          <w:tcPr>
            <w:tcW w:w="1134" w:type="dxa"/>
            <w:tcBorders>
              <w:left w:val="nil"/>
              <w:bottom w:val="nil"/>
              <w:right w:val="single" w:sz="4" w:space="0" w:color="auto"/>
            </w:tcBorders>
          </w:tcPr>
          <w:p w14:paraId="64E2C6D5" w14:textId="69DA168B" w:rsidR="0089179A" w:rsidRPr="00B32CCA" w:rsidDel="00EB0124" w:rsidRDefault="00C768B0"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B32CCA">
              <w:rPr>
                <w:rFonts w:asciiTheme="minorHAnsi" w:hAnsiTheme="minorHAnsi" w:cs="Times New Roman"/>
                <w:i/>
                <w:sz w:val="18"/>
                <w:szCs w:val="18"/>
                <w:lang w:eastAsia="en-IE"/>
              </w:rPr>
              <w:t>+380bps</w:t>
            </w:r>
          </w:p>
        </w:tc>
      </w:tr>
      <w:tr w:rsidR="00C768B0" w:rsidRPr="00C768B0" w:rsidDel="00EB0124" w14:paraId="7A324760" w14:textId="77777777" w:rsidTr="000C7A56">
        <w:trPr>
          <w:trHeight w:val="70"/>
        </w:trPr>
        <w:tc>
          <w:tcPr>
            <w:tcW w:w="3969" w:type="dxa"/>
            <w:tcBorders>
              <w:left w:val="single" w:sz="4" w:space="0" w:color="auto"/>
              <w:bottom w:val="nil"/>
              <w:right w:val="nil"/>
            </w:tcBorders>
          </w:tcPr>
          <w:p w14:paraId="553EABBD" w14:textId="77777777" w:rsidR="00C768B0" w:rsidRPr="000C7A56" w:rsidRDefault="00C768B0"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i/>
                <w:sz w:val="8"/>
              </w:rPr>
            </w:pPr>
          </w:p>
        </w:tc>
        <w:tc>
          <w:tcPr>
            <w:tcW w:w="1276" w:type="dxa"/>
            <w:tcBorders>
              <w:left w:val="nil"/>
              <w:bottom w:val="nil"/>
            </w:tcBorders>
            <w:shd w:val="clear" w:color="auto" w:fill="auto"/>
          </w:tcPr>
          <w:p w14:paraId="604F41D6" w14:textId="77777777" w:rsidR="00C768B0" w:rsidRPr="000C7A56" w:rsidRDefault="00C768B0"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8"/>
              </w:rPr>
            </w:pPr>
          </w:p>
        </w:tc>
        <w:tc>
          <w:tcPr>
            <w:tcW w:w="992" w:type="dxa"/>
            <w:tcBorders>
              <w:left w:val="nil"/>
              <w:bottom w:val="nil"/>
              <w:right w:val="nil"/>
            </w:tcBorders>
            <w:shd w:val="clear" w:color="auto" w:fill="auto"/>
          </w:tcPr>
          <w:p w14:paraId="5B9D86DB" w14:textId="77777777" w:rsidR="00C768B0" w:rsidRPr="000C7A56" w:rsidRDefault="00C768B0"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8"/>
              </w:rPr>
            </w:pPr>
          </w:p>
        </w:tc>
        <w:tc>
          <w:tcPr>
            <w:tcW w:w="1134" w:type="dxa"/>
            <w:tcBorders>
              <w:left w:val="nil"/>
              <w:bottom w:val="nil"/>
              <w:right w:val="single" w:sz="4" w:space="0" w:color="auto"/>
            </w:tcBorders>
          </w:tcPr>
          <w:p w14:paraId="454B70C6" w14:textId="77777777" w:rsidR="00C768B0" w:rsidRPr="000C7A56" w:rsidRDefault="00C768B0"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8"/>
              </w:rPr>
            </w:pPr>
          </w:p>
        </w:tc>
      </w:tr>
      <w:tr w:rsidR="0089179A" w:rsidRPr="00443C47" w14:paraId="3E333176" w14:textId="77777777" w:rsidTr="00C420C4">
        <w:trPr>
          <w:trHeight w:val="70"/>
        </w:trPr>
        <w:tc>
          <w:tcPr>
            <w:tcW w:w="3969" w:type="dxa"/>
            <w:tcBorders>
              <w:top w:val="nil"/>
              <w:left w:val="single" w:sz="4" w:space="0" w:color="auto"/>
              <w:bottom w:val="nil"/>
              <w:right w:val="nil"/>
            </w:tcBorders>
          </w:tcPr>
          <w:p w14:paraId="6BAD09BC" w14:textId="77777777" w:rsidR="0089179A" w:rsidRPr="004C7C0F"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C7C0F">
              <w:rPr>
                <w:rFonts w:asciiTheme="minorHAnsi" w:hAnsiTheme="minorHAnsi" w:cs="Times New Roman"/>
                <w:b/>
                <w:lang w:eastAsia="en-IE"/>
              </w:rPr>
              <w:t>Gross profit</w:t>
            </w:r>
          </w:p>
        </w:tc>
        <w:tc>
          <w:tcPr>
            <w:tcW w:w="1276" w:type="dxa"/>
            <w:tcBorders>
              <w:top w:val="nil"/>
              <w:left w:val="nil"/>
              <w:bottom w:val="nil"/>
            </w:tcBorders>
            <w:shd w:val="clear" w:color="auto" w:fill="auto"/>
          </w:tcPr>
          <w:p w14:paraId="685B6AFA" w14:textId="5C154B11"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723</w:t>
            </w:r>
          </w:p>
        </w:tc>
        <w:tc>
          <w:tcPr>
            <w:tcW w:w="992" w:type="dxa"/>
            <w:tcBorders>
              <w:top w:val="nil"/>
              <w:left w:val="nil"/>
              <w:bottom w:val="nil"/>
              <w:right w:val="nil"/>
            </w:tcBorders>
            <w:shd w:val="clear" w:color="auto" w:fill="auto"/>
          </w:tcPr>
          <w:p w14:paraId="1623F86D" w14:textId="519C83F4" w:rsidR="0089179A" w:rsidRPr="004C7C0F"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3F7114">
              <w:rPr>
                <w:rFonts w:asciiTheme="minorHAnsi" w:hAnsiTheme="minorHAnsi" w:cs="Times New Roman"/>
                <w:b/>
                <w:lang w:eastAsia="en-IE"/>
              </w:rPr>
              <w:t>717</w:t>
            </w:r>
          </w:p>
        </w:tc>
        <w:tc>
          <w:tcPr>
            <w:tcW w:w="1134" w:type="dxa"/>
            <w:tcBorders>
              <w:top w:val="nil"/>
              <w:left w:val="nil"/>
              <w:bottom w:val="nil"/>
              <w:right w:val="single" w:sz="4" w:space="0" w:color="auto"/>
            </w:tcBorders>
          </w:tcPr>
          <w:p w14:paraId="7CFE2DE2" w14:textId="38227309"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w:t>
            </w:r>
          </w:p>
        </w:tc>
      </w:tr>
      <w:tr w:rsidR="0089179A" w:rsidRPr="00E40E55" w14:paraId="6BDFE4E1" w14:textId="77777777" w:rsidTr="00C420C4">
        <w:trPr>
          <w:trHeight w:val="70"/>
        </w:trPr>
        <w:tc>
          <w:tcPr>
            <w:tcW w:w="3969" w:type="dxa"/>
            <w:tcBorders>
              <w:top w:val="nil"/>
              <w:left w:val="single" w:sz="4" w:space="0" w:color="auto"/>
              <w:bottom w:val="nil"/>
              <w:right w:val="nil"/>
            </w:tcBorders>
          </w:tcPr>
          <w:p w14:paraId="4CFD472B" w14:textId="77777777" w:rsidR="0089179A" w:rsidRPr="00E40E55"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276" w:type="dxa"/>
            <w:tcBorders>
              <w:top w:val="nil"/>
              <w:left w:val="nil"/>
              <w:bottom w:val="nil"/>
            </w:tcBorders>
            <w:shd w:val="clear" w:color="auto" w:fill="auto"/>
          </w:tcPr>
          <w:p w14:paraId="2BA02B84" w14:textId="77777777"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2" w:type="dxa"/>
            <w:tcBorders>
              <w:top w:val="nil"/>
              <w:left w:val="nil"/>
              <w:bottom w:val="nil"/>
              <w:right w:val="nil"/>
            </w:tcBorders>
            <w:shd w:val="clear" w:color="auto" w:fill="auto"/>
          </w:tcPr>
          <w:p w14:paraId="3AB23A33" w14:textId="77777777" w:rsidR="0089179A" w:rsidRPr="00E40E55"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134" w:type="dxa"/>
            <w:tcBorders>
              <w:top w:val="nil"/>
              <w:left w:val="nil"/>
              <w:bottom w:val="nil"/>
              <w:right w:val="single" w:sz="4" w:space="0" w:color="auto"/>
            </w:tcBorders>
          </w:tcPr>
          <w:p w14:paraId="626F88CC" w14:textId="77777777" w:rsidR="0089179A" w:rsidRPr="00E464CE"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89179A" w:rsidRPr="00E40E55" w14:paraId="47AAB1D3" w14:textId="77777777" w:rsidTr="000C7A56">
        <w:trPr>
          <w:trHeight w:val="70"/>
        </w:trPr>
        <w:tc>
          <w:tcPr>
            <w:tcW w:w="3969" w:type="dxa"/>
            <w:tcBorders>
              <w:top w:val="nil"/>
              <w:left w:val="single" w:sz="4" w:space="0" w:color="auto"/>
              <w:bottom w:val="nil"/>
              <w:right w:val="nil"/>
            </w:tcBorders>
          </w:tcPr>
          <w:p w14:paraId="075C85BA" w14:textId="77777777" w:rsidR="0089179A" w:rsidRPr="00E40E55"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Sales and marketing</w:t>
            </w:r>
          </w:p>
        </w:tc>
        <w:tc>
          <w:tcPr>
            <w:tcW w:w="1276" w:type="dxa"/>
            <w:tcBorders>
              <w:top w:val="nil"/>
              <w:left w:val="nil"/>
              <w:bottom w:val="single" w:sz="4" w:space="0" w:color="auto"/>
            </w:tcBorders>
            <w:shd w:val="clear" w:color="auto" w:fill="auto"/>
          </w:tcPr>
          <w:p w14:paraId="0382D8F6" w14:textId="20D9BDF5"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(240)</w:t>
            </w:r>
          </w:p>
        </w:tc>
        <w:tc>
          <w:tcPr>
            <w:tcW w:w="992" w:type="dxa"/>
            <w:tcBorders>
              <w:top w:val="nil"/>
              <w:left w:val="nil"/>
              <w:bottom w:val="single" w:sz="4" w:space="0" w:color="auto"/>
              <w:right w:val="nil"/>
            </w:tcBorders>
            <w:shd w:val="clear" w:color="auto" w:fill="auto"/>
          </w:tcPr>
          <w:p w14:paraId="4DCA052C" w14:textId="31936466" w:rsidR="0089179A" w:rsidRPr="00E40E55"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3F7114">
              <w:rPr>
                <w:rFonts w:asciiTheme="minorHAnsi" w:hAnsiTheme="minorHAnsi" w:cs="Times New Roman"/>
                <w:lang w:eastAsia="en-IE"/>
              </w:rPr>
              <w:t>(242)</w:t>
            </w:r>
          </w:p>
        </w:tc>
        <w:tc>
          <w:tcPr>
            <w:tcW w:w="1134" w:type="dxa"/>
            <w:tcBorders>
              <w:top w:val="nil"/>
              <w:left w:val="nil"/>
              <w:bottom w:val="single" w:sz="4" w:space="0" w:color="auto"/>
              <w:right w:val="single" w:sz="4" w:space="0" w:color="auto"/>
            </w:tcBorders>
          </w:tcPr>
          <w:p w14:paraId="5A353E7A" w14:textId="1CA3EEF2"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w:t>
            </w:r>
          </w:p>
        </w:tc>
      </w:tr>
      <w:tr w:rsidR="0089179A" w:rsidRPr="00E40E55" w14:paraId="2FDDEAB9" w14:textId="77777777" w:rsidTr="00E464CE">
        <w:trPr>
          <w:trHeight w:val="70"/>
        </w:trPr>
        <w:tc>
          <w:tcPr>
            <w:tcW w:w="3969" w:type="dxa"/>
            <w:tcBorders>
              <w:top w:val="nil"/>
              <w:left w:val="single" w:sz="4" w:space="0" w:color="auto"/>
              <w:bottom w:val="nil"/>
              <w:right w:val="nil"/>
            </w:tcBorders>
          </w:tcPr>
          <w:p w14:paraId="7ECFE100" w14:textId="660E8AA0" w:rsidR="0089179A" w:rsidRPr="00EA1798"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EA1798">
              <w:rPr>
                <w:rFonts w:asciiTheme="minorHAnsi" w:hAnsiTheme="minorHAnsi" w:cs="Times New Roman"/>
                <w:b/>
                <w:lang w:eastAsia="en-IE"/>
              </w:rPr>
              <w:t>Contribution</w:t>
            </w:r>
          </w:p>
        </w:tc>
        <w:tc>
          <w:tcPr>
            <w:tcW w:w="1276" w:type="dxa"/>
            <w:tcBorders>
              <w:top w:val="single" w:sz="4" w:space="0" w:color="auto"/>
              <w:left w:val="nil"/>
            </w:tcBorders>
            <w:shd w:val="clear" w:color="auto" w:fill="auto"/>
          </w:tcPr>
          <w:p w14:paraId="07F7AA66" w14:textId="156E3C02" w:rsidR="0089179A" w:rsidRPr="00EA1798"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483</w:t>
            </w:r>
          </w:p>
        </w:tc>
        <w:tc>
          <w:tcPr>
            <w:tcW w:w="992" w:type="dxa"/>
            <w:tcBorders>
              <w:top w:val="single" w:sz="4" w:space="0" w:color="auto"/>
              <w:left w:val="nil"/>
              <w:right w:val="nil"/>
            </w:tcBorders>
            <w:shd w:val="clear" w:color="auto" w:fill="auto"/>
          </w:tcPr>
          <w:p w14:paraId="4350C606" w14:textId="07AD926F" w:rsidR="0089179A" w:rsidRPr="00EA1798"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475</w:t>
            </w:r>
          </w:p>
        </w:tc>
        <w:tc>
          <w:tcPr>
            <w:tcW w:w="1134" w:type="dxa"/>
            <w:tcBorders>
              <w:top w:val="single" w:sz="4" w:space="0" w:color="auto"/>
              <w:left w:val="nil"/>
              <w:right w:val="single" w:sz="4" w:space="0" w:color="auto"/>
            </w:tcBorders>
          </w:tcPr>
          <w:p w14:paraId="0CC9AC26" w14:textId="02A5F064" w:rsidR="0089179A" w:rsidRPr="00EA1798"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EA1798">
              <w:rPr>
                <w:rFonts w:asciiTheme="minorHAnsi" w:hAnsiTheme="minorHAnsi" w:cs="Times New Roman"/>
                <w:b/>
                <w:lang w:eastAsia="en-IE"/>
              </w:rPr>
              <w:t>+2%</w:t>
            </w:r>
          </w:p>
        </w:tc>
      </w:tr>
      <w:tr w:rsidR="0089179A" w:rsidRPr="00E40E55" w14:paraId="34C00FAD" w14:textId="77777777" w:rsidTr="00E464CE">
        <w:trPr>
          <w:trHeight w:val="60"/>
        </w:trPr>
        <w:tc>
          <w:tcPr>
            <w:tcW w:w="3969" w:type="dxa"/>
            <w:tcBorders>
              <w:top w:val="nil"/>
              <w:left w:val="single" w:sz="4" w:space="0" w:color="auto"/>
              <w:bottom w:val="nil"/>
              <w:right w:val="nil"/>
            </w:tcBorders>
          </w:tcPr>
          <w:p w14:paraId="385C592C" w14:textId="77777777" w:rsidR="0089179A" w:rsidRPr="00E464CE"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8"/>
                <w:szCs w:val="8"/>
                <w:lang w:eastAsia="en-IE"/>
              </w:rPr>
            </w:pPr>
          </w:p>
        </w:tc>
        <w:tc>
          <w:tcPr>
            <w:tcW w:w="1276" w:type="dxa"/>
            <w:tcBorders>
              <w:left w:val="nil"/>
              <w:bottom w:val="nil"/>
            </w:tcBorders>
            <w:shd w:val="clear" w:color="auto" w:fill="auto"/>
          </w:tcPr>
          <w:p w14:paraId="49D5D06A" w14:textId="77777777" w:rsidR="0089179A" w:rsidRPr="00E464CE"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c>
          <w:tcPr>
            <w:tcW w:w="992" w:type="dxa"/>
            <w:tcBorders>
              <w:left w:val="nil"/>
              <w:bottom w:val="nil"/>
              <w:right w:val="nil"/>
            </w:tcBorders>
            <w:shd w:val="clear" w:color="auto" w:fill="auto"/>
          </w:tcPr>
          <w:p w14:paraId="2AA94DC6" w14:textId="77777777" w:rsidR="0089179A" w:rsidRPr="00E464CE"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c>
          <w:tcPr>
            <w:tcW w:w="1134" w:type="dxa"/>
            <w:tcBorders>
              <w:left w:val="nil"/>
              <w:bottom w:val="nil"/>
              <w:right w:val="single" w:sz="4" w:space="0" w:color="auto"/>
            </w:tcBorders>
          </w:tcPr>
          <w:p w14:paraId="3C19618C" w14:textId="77777777" w:rsidR="0089179A" w:rsidRPr="00E464CE"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r>
      <w:tr w:rsidR="0089179A" w:rsidRPr="00E40E55" w14:paraId="16CD298C" w14:textId="77777777" w:rsidTr="000C7A56">
        <w:trPr>
          <w:trHeight w:val="70"/>
        </w:trPr>
        <w:tc>
          <w:tcPr>
            <w:tcW w:w="3969" w:type="dxa"/>
            <w:tcBorders>
              <w:top w:val="nil"/>
              <w:left w:val="single" w:sz="4" w:space="0" w:color="auto"/>
              <w:bottom w:val="nil"/>
              <w:right w:val="nil"/>
            </w:tcBorders>
          </w:tcPr>
          <w:p w14:paraId="7A74CDE1" w14:textId="77777777" w:rsidR="0089179A" w:rsidRPr="00E40E55"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Product and technology</w:t>
            </w:r>
          </w:p>
        </w:tc>
        <w:tc>
          <w:tcPr>
            <w:tcW w:w="1276" w:type="dxa"/>
            <w:tcBorders>
              <w:left w:val="nil"/>
              <w:bottom w:val="nil"/>
            </w:tcBorders>
            <w:shd w:val="clear" w:color="auto" w:fill="auto"/>
          </w:tcPr>
          <w:p w14:paraId="6E0B35F5" w14:textId="37EDBE6B"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(99)</w:t>
            </w:r>
          </w:p>
        </w:tc>
        <w:tc>
          <w:tcPr>
            <w:tcW w:w="992" w:type="dxa"/>
            <w:tcBorders>
              <w:left w:val="nil"/>
              <w:bottom w:val="nil"/>
              <w:right w:val="nil"/>
            </w:tcBorders>
            <w:shd w:val="clear" w:color="auto" w:fill="auto"/>
          </w:tcPr>
          <w:p w14:paraId="3F21F6B5" w14:textId="76BCB201" w:rsidR="0089179A" w:rsidRPr="00E40E55"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3F7114">
              <w:rPr>
                <w:rFonts w:asciiTheme="minorHAnsi" w:hAnsiTheme="minorHAnsi" w:cs="Times New Roman"/>
                <w:lang w:eastAsia="en-IE"/>
              </w:rPr>
              <w:t>(95)</w:t>
            </w:r>
          </w:p>
        </w:tc>
        <w:tc>
          <w:tcPr>
            <w:tcW w:w="1134" w:type="dxa"/>
            <w:tcBorders>
              <w:left w:val="nil"/>
              <w:bottom w:val="nil"/>
              <w:right w:val="single" w:sz="4" w:space="0" w:color="auto"/>
            </w:tcBorders>
          </w:tcPr>
          <w:p w14:paraId="15025D97" w14:textId="5812891D"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+5%</w:t>
            </w:r>
          </w:p>
        </w:tc>
      </w:tr>
      <w:tr w:rsidR="0089179A" w:rsidRPr="00E40E55" w14:paraId="38B00251" w14:textId="77777777" w:rsidTr="00C420C4">
        <w:trPr>
          <w:trHeight w:val="70"/>
        </w:trPr>
        <w:tc>
          <w:tcPr>
            <w:tcW w:w="3969" w:type="dxa"/>
            <w:tcBorders>
              <w:top w:val="nil"/>
              <w:left w:val="single" w:sz="4" w:space="0" w:color="auto"/>
              <w:bottom w:val="nil"/>
              <w:right w:val="nil"/>
            </w:tcBorders>
          </w:tcPr>
          <w:p w14:paraId="57BFA278" w14:textId="77777777" w:rsidR="0089179A" w:rsidRPr="00E40E55"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Operations</w:t>
            </w:r>
          </w:p>
        </w:tc>
        <w:tc>
          <w:tcPr>
            <w:tcW w:w="1276" w:type="dxa"/>
            <w:tcBorders>
              <w:top w:val="nil"/>
              <w:left w:val="nil"/>
              <w:bottom w:val="nil"/>
            </w:tcBorders>
            <w:shd w:val="clear" w:color="auto" w:fill="auto"/>
          </w:tcPr>
          <w:p w14:paraId="6DC8C1CA" w14:textId="36AED049"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(76)</w:t>
            </w:r>
          </w:p>
        </w:tc>
        <w:tc>
          <w:tcPr>
            <w:tcW w:w="992" w:type="dxa"/>
            <w:tcBorders>
              <w:top w:val="nil"/>
              <w:left w:val="nil"/>
              <w:bottom w:val="nil"/>
              <w:right w:val="nil"/>
            </w:tcBorders>
            <w:shd w:val="clear" w:color="auto" w:fill="auto"/>
          </w:tcPr>
          <w:p w14:paraId="49BF4750" w14:textId="390B28D7" w:rsidR="0089179A" w:rsidRPr="00E40E55"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3F7114">
              <w:rPr>
                <w:rFonts w:asciiTheme="minorHAnsi" w:hAnsiTheme="minorHAnsi" w:cs="Times New Roman"/>
                <w:lang w:eastAsia="en-IE"/>
              </w:rPr>
              <w:t>(64)</w:t>
            </w:r>
          </w:p>
        </w:tc>
        <w:tc>
          <w:tcPr>
            <w:tcW w:w="1134" w:type="dxa"/>
            <w:tcBorders>
              <w:top w:val="nil"/>
              <w:left w:val="nil"/>
              <w:bottom w:val="nil"/>
              <w:right w:val="single" w:sz="4" w:space="0" w:color="auto"/>
            </w:tcBorders>
          </w:tcPr>
          <w:p w14:paraId="4A1F9550" w14:textId="5CBC99C9"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+20%</w:t>
            </w:r>
          </w:p>
        </w:tc>
      </w:tr>
      <w:tr w:rsidR="0089179A" w:rsidRPr="00E40E55" w14:paraId="07DA6DDC" w14:textId="77777777" w:rsidTr="00C420C4">
        <w:trPr>
          <w:trHeight w:val="70"/>
        </w:trPr>
        <w:tc>
          <w:tcPr>
            <w:tcW w:w="3969" w:type="dxa"/>
            <w:tcBorders>
              <w:top w:val="nil"/>
              <w:left w:val="single" w:sz="4" w:space="0" w:color="auto"/>
              <w:bottom w:val="nil"/>
              <w:right w:val="nil"/>
            </w:tcBorders>
          </w:tcPr>
          <w:p w14:paraId="5355B89D" w14:textId="719FDBC5" w:rsidR="0089179A" w:rsidRPr="00E40E55"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Other operating costs</w:t>
            </w:r>
          </w:p>
        </w:tc>
        <w:tc>
          <w:tcPr>
            <w:tcW w:w="1276" w:type="dxa"/>
            <w:tcBorders>
              <w:top w:val="single" w:sz="4" w:space="0" w:color="auto"/>
              <w:left w:val="nil"/>
              <w:bottom w:val="single" w:sz="4" w:space="0" w:color="auto"/>
            </w:tcBorders>
            <w:shd w:val="clear" w:color="auto" w:fill="auto"/>
          </w:tcPr>
          <w:p w14:paraId="1A983B0D" w14:textId="1CBF05DC"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(176)</w:t>
            </w:r>
          </w:p>
        </w:tc>
        <w:tc>
          <w:tcPr>
            <w:tcW w:w="992" w:type="dxa"/>
            <w:tcBorders>
              <w:top w:val="single" w:sz="4" w:space="0" w:color="auto"/>
              <w:left w:val="nil"/>
              <w:bottom w:val="single" w:sz="4" w:space="0" w:color="auto"/>
              <w:right w:val="nil"/>
            </w:tcBorders>
            <w:shd w:val="clear" w:color="auto" w:fill="auto"/>
          </w:tcPr>
          <w:p w14:paraId="5D1E174C" w14:textId="675094F9" w:rsidR="0089179A" w:rsidRPr="00E40E55"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3F7114">
              <w:rPr>
                <w:rFonts w:asciiTheme="minorHAnsi" w:hAnsiTheme="minorHAnsi" w:cs="Times New Roman"/>
                <w:lang w:eastAsia="en-IE"/>
              </w:rPr>
              <w:t>(</w:t>
            </w:r>
            <w:r w:rsidR="00695E69">
              <w:rPr>
                <w:rFonts w:asciiTheme="minorHAnsi" w:hAnsiTheme="minorHAnsi" w:cs="Times New Roman"/>
                <w:lang w:eastAsia="en-IE"/>
              </w:rPr>
              <w:t>158</w:t>
            </w:r>
            <w:r w:rsidRPr="003F7114">
              <w:rPr>
                <w:rFonts w:asciiTheme="minorHAnsi" w:hAnsiTheme="minorHAnsi" w:cs="Times New Roman"/>
                <w:lang w:eastAsia="en-IE"/>
              </w:rPr>
              <w:t>)</w:t>
            </w:r>
          </w:p>
        </w:tc>
        <w:tc>
          <w:tcPr>
            <w:tcW w:w="1134" w:type="dxa"/>
            <w:tcBorders>
              <w:top w:val="single" w:sz="4" w:space="0" w:color="auto"/>
              <w:left w:val="nil"/>
              <w:bottom w:val="single" w:sz="4" w:space="0" w:color="auto"/>
              <w:right w:val="single" w:sz="4" w:space="0" w:color="auto"/>
            </w:tcBorders>
          </w:tcPr>
          <w:p w14:paraId="66709393" w14:textId="196FFC4F"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+11%</w:t>
            </w:r>
          </w:p>
        </w:tc>
      </w:tr>
      <w:tr w:rsidR="0089179A" w:rsidRPr="00E40E55" w14:paraId="4029A871" w14:textId="77777777" w:rsidTr="00C420C4">
        <w:trPr>
          <w:trHeight w:val="70"/>
        </w:trPr>
        <w:tc>
          <w:tcPr>
            <w:tcW w:w="3969" w:type="dxa"/>
            <w:tcBorders>
              <w:top w:val="nil"/>
              <w:left w:val="single" w:sz="4" w:space="0" w:color="auto"/>
              <w:bottom w:val="nil"/>
              <w:right w:val="nil"/>
            </w:tcBorders>
          </w:tcPr>
          <w:p w14:paraId="61B54346" w14:textId="77777777" w:rsidR="0089179A" w:rsidRPr="004C7C0F"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sz w:val="6"/>
                <w:szCs w:val="6"/>
                <w:lang w:eastAsia="en-IE"/>
              </w:rPr>
            </w:pPr>
          </w:p>
        </w:tc>
        <w:tc>
          <w:tcPr>
            <w:tcW w:w="1276" w:type="dxa"/>
            <w:tcBorders>
              <w:top w:val="single" w:sz="4" w:space="0" w:color="auto"/>
              <w:left w:val="nil"/>
              <w:bottom w:val="nil"/>
            </w:tcBorders>
            <w:shd w:val="clear" w:color="auto" w:fill="auto"/>
          </w:tcPr>
          <w:p w14:paraId="01E2B0AC" w14:textId="77777777"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992" w:type="dxa"/>
            <w:tcBorders>
              <w:top w:val="single" w:sz="4" w:space="0" w:color="auto"/>
              <w:left w:val="nil"/>
              <w:bottom w:val="nil"/>
              <w:right w:val="nil"/>
            </w:tcBorders>
            <w:shd w:val="clear" w:color="auto" w:fill="auto"/>
          </w:tcPr>
          <w:p w14:paraId="70A05A99" w14:textId="77777777" w:rsidR="0089179A" w:rsidRPr="004C7C0F"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1134" w:type="dxa"/>
            <w:tcBorders>
              <w:top w:val="single" w:sz="4" w:space="0" w:color="auto"/>
              <w:left w:val="nil"/>
              <w:bottom w:val="nil"/>
              <w:right w:val="single" w:sz="4" w:space="0" w:color="auto"/>
            </w:tcBorders>
          </w:tcPr>
          <w:p w14:paraId="52C08E8D" w14:textId="77777777"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r>
      <w:tr w:rsidR="0089179A" w:rsidRPr="00443C47" w14:paraId="2FE08BA1" w14:textId="77777777" w:rsidTr="00C420C4">
        <w:trPr>
          <w:trHeight w:val="70"/>
        </w:trPr>
        <w:tc>
          <w:tcPr>
            <w:tcW w:w="3969" w:type="dxa"/>
            <w:tcBorders>
              <w:top w:val="nil"/>
              <w:left w:val="single" w:sz="4" w:space="0" w:color="auto"/>
              <w:bottom w:val="nil"/>
              <w:right w:val="nil"/>
            </w:tcBorders>
          </w:tcPr>
          <w:p w14:paraId="192FBC23" w14:textId="77777777" w:rsidR="0089179A" w:rsidRPr="004C7C0F"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C7C0F">
              <w:rPr>
                <w:rFonts w:asciiTheme="minorHAnsi" w:hAnsiTheme="minorHAnsi" w:cs="Times New Roman"/>
                <w:b/>
                <w:lang w:eastAsia="en-IE"/>
              </w:rPr>
              <w:t>Underlying EBITDA</w:t>
            </w:r>
            <w:r>
              <w:rPr>
                <w:rFonts w:asciiTheme="minorHAnsi" w:hAnsiTheme="minorHAnsi"/>
                <w:i/>
                <w:sz w:val="18"/>
                <w:szCs w:val="18"/>
                <w:vertAlign w:val="superscript"/>
              </w:rPr>
              <w:t>1,2</w:t>
            </w:r>
          </w:p>
        </w:tc>
        <w:tc>
          <w:tcPr>
            <w:tcW w:w="1276" w:type="dxa"/>
            <w:tcBorders>
              <w:top w:val="nil"/>
              <w:left w:val="nil"/>
              <w:bottom w:val="nil"/>
            </w:tcBorders>
            <w:shd w:val="clear" w:color="auto" w:fill="auto"/>
          </w:tcPr>
          <w:p w14:paraId="57515052" w14:textId="2716C96B"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307</w:t>
            </w:r>
          </w:p>
        </w:tc>
        <w:tc>
          <w:tcPr>
            <w:tcW w:w="992" w:type="dxa"/>
            <w:tcBorders>
              <w:top w:val="nil"/>
              <w:left w:val="nil"/>
              <w:bottom w:val="nil"/>
              <w:right w:val="nil"/>
            </w:tcBorders>
            <w:shd w:val="clear" w:color="auto" w:fill="auto"/>
          </w:tcPr>
          <w:p w14:paraId="6583502C" w14:textId="5BC12777" w:rsidR="0089179A" w:rsidRPr="004C7C0F"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3F7114">
              <w:rPr>
                <w:rFonts w:asciiTheme="minorHAnsi" w:hAnsiTheme="minorHAnsi" w:cs="Times New Roman"/>
                <w:b/>
                <w:lang w:eastAsia="en-IE"/>
              </w:rPr>
              <w:t>316</w:t>
            </w:r>
          </w:p>
        </w:tc>
        <w:tc>
          <w:tcPr>
            <w:tcW w:w="1134" w:type="dxa"/>
            <w:tcBorders>
              <w:top w:val="nil"/>
              <w:left w:val="nil"/>
              <w:bottom w:val="nil"/>
              <w:right w:val="single" w:sz="4" w:space="0" w:color="auto"/>
            </w:tcBorders>
            <w:shd w:val="clear" w:color="auto" w:fill="auto"/>
          </w:tcPr>
          <w:p w14:paraId="79A7A7E2" w14:textId="11B76994"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-3%</w:t>
            </w:r>
          </w:p>
        </w:tc>
      </w:tr>
      <w:tr w:rsidR="0089179A" w:rsidRPr="00443C47" w14:paraId="0921E9A9" w14:textId="77777777" w:rsidTr="00C420C4">
        <w:trPr>
          <w:trHeight w:val="70"/>
        </w:trPr>
        <w:tc>
          <w:tcPr>
            <w:tcW w:w="3969" w:type="dxa"/>
            <w:tcBorders>
              <w:top w:val="nil"/>
              <w:left w:val="single" w:sz="4" w:space="0" w:color="auto"/>
              <w:bottom w:val="nil"/>
              <w:right w:val="nil"/>
            </w:tcBorders>
          </w:tcPr>
          <w:p w14:paraId="5604F83C" w14:textId="747B465B" w:rsidR="0089179A" w:rsidRPr="00B32CCA"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Underlying</w:t>
            </w:r>
            <w:r w:rsidR="003D5E9F">
              <w:rPr>
                <w:rFonts w:asciiTheme="minorHAnsi" w:hAnsiTheme="minorHAnsi" w:cs="Times New Roman"/>
                <w:i/>
                <w:sz w:val="18"/>
                <w:szCs w:val="18"/>
                <w:lang w:eastAsia="en-IE"/>
              </w:rPr>
              <w:t xml:space="preserve"> </w:t>
            </w:r>
            <w:r w:rsidRPr="00B32CCA">
              <w:rPr>
                <w:rFonts w:asciiTheme="minorHAnsi" w:hAnsiTheme="minorHAnsi" w:cs="Times New Roman"/>
                <w:i/>
                <w:sz w:val="18"/>
                <w:szCs w:val="18"/>
                <w:lang w:eastAsia="en-IE"/>
              </w:rPr>
              <w:t>EBITDA</w:t>
            </w:r>
            <w:r w:rsidR="003D5E9F">
              <w:rPr>
                <w:rFonts w:asciiTheme="minorHAnsi" w:hAnsiTheme="minorHAnsi"/>
                <w:i/>
                <w:sz w:val="18"/>
                <w:szCs w:val="18"/>
                <w:vertAlign w:val="superscript"/>
              </w:rPr>
              <w:t>1,2</w:t>
            </w:r>
            <w:r w:rsidRPr="00B32CCA">
              <w:rPr>
                <w:rFonts w:asciiTheme="minorHAnsi" w:hAnsiTheme="minorHAnsi" w:cs="Times New Roman"/>
                <w:i/>
                <w:sz w:val="18"/>
                <w:szCs w:val="18"/>
                <w:lang w:eastAsia="en-IE"/>
              </w:rPr>
              <w:t xml:space="preserve"> margin</w:t>
            </w:r>
          </w:p>
        </w:tc>
        <w:tc>
          <w:tcPr>
            <w:tcW w:w="1276" w:type="dxa"/>
            <w:tcBorders>
              <w:top w:val="nil"/>
              <w:left w:val="nil"/>
              <w:bottom w:val="nil"/>
            </w:tcBorders>
            <w:shd w:val="clear" w:color="auto" w:fill="auto"/>
          </w:tcPr>
          <w:p w14:paraId="17B3F868" w14:textId="1C45F48A" w:rsidR="0089179A" w:rsidRPr="00B32CCA"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30.5%</w:t>
            </w:r>
          </w:p>
        </w:tc>
        <w:tc>
          <w:tcPr>
            <w:tcW w:w="992" w:type="dxa"/>
            <w:tcBorders>
              <w:top w:val="nil"/>
              <w:left w:val="nil"/>
              <w:bottom w:val="nil"/>
              <w:right w:val="nil"/>
            </w:tcBorders>
            <w:shd w:val="clear" w:color="auto" w:fill="auto"/>
          </w:tcPr>
          <w:p w14:paraId="6E4D62C1" w14:textId="7C4A8EAD" w:rsidR="0089179A" w:rsidRPr="00B32CCA"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33.4%</w:t>
            </w:r>
          </w:p>
        </w:tc>
        <w:tc>
          <w:tcPr>
            <w:tcW w:w="1134" w:type="dxa"/>
            <w:tcBorders>
              <w:top w:val="nil"/>
              <w:left w:val="nil"/>
              <w:bottom w:val="nil"/>
              <w:right w:val="single" w:sz="4" w:space="0" w:color="auto"/>
            </w:tcBorders>
            <w:shd w:val="clear" w:color="auto" w:fill="auto"/>
          </w:tcPr>
          <w:p w14:paraId="29D27010" w14:textId="5AA998B9" w:rsidR="0089179A" w:rsidRPr="00B32CCA"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-280bps</w:t>
            </w:r>
          </w:p>
        </w:tc>
      </w:tr>
      <w:tr w:rsidR="0089179A" w:rsidRPr="001F75A8" w14:paraId="07B8230F" w14:textId="77777777" w:rsidTr="00C420C4">
        <w:trPr>
          <w:trHeight w:val="70"/>
        </w:trPr>
        <w:tc>
          <w:tcPr>
            <w:tcW w:w="3969" w:type="dxa"/>
            <w:tcBorders>
              <w:top w:val="nil"/>
              <w:left w:val="single" w:sz="4" w:space="0" w:color="auto"/>
              <w:bottom w:val="nil"/>
              <w:right w:val="nil"/>
            </w:tcBorders>
          </w:tcPr>
          <w:p w14:paraId="54596326" w14:textId="77777777" w:rsidR="0089179A" w:rsidRPr="000C7A56"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18"/>
              </w:rPr>
            </w:pPr>
          </w:p>
        </w:tc>
        <w:tc>
          <w:tcPr>
            <w:tcW w:w="1276" w:type="dxa"/>
            <w:tcBorders>
              <w:top w:val="nil"/>
              <w:left w:val="nil"/>
              <w:bottom w:val="nil"/>
            </w:tcBorders>
            <w:shd w:val="clear" w:color="auto" w:fill="auto"/>
          </w:tcPr>
          <w:p w14:paraId="043D8379" w14:textId="77777777" w:rsidR="0089179A" w:rsidRPr="000C7A56"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8"/>
              </w:rPr>
            </w:pPr>
          </w:p>
        </w:tc>
        <w:tc>
          <w:tcPr>
            <w:tcW w:w="992" w:type="dxa"/>
            <w:tcBorders>
              <w:top w:val="nil"/>
              <w:left w:val="nil"/>
              <w:bottom w:val="nil"/>
              <w:right w:val="nil"/>
            </w:tcBorders>
            <w:shd w:val="clear" w:color="auto" w:fill="auto"/>
          </w:tcPr>
          <w:p w14:paraId="46E96431" w14:textId="77777777" w:rsidR="0089179A" w:rsidRPr="000C7A56"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8"/>
              </w:rPr>
            </w:pPr>
          </w:p>
        </w:tc>
        <w:tc>
          <w:tcPr>
            <w:tcW w:w="1134" w:type="dxa"/>
            <w:tcBorders>
              <w:top w:val="nil"/>
              <w:left w:val="nil"/>
              <w:bottom w:val="nil"/>
              <w:right w:val="single" w:sz="4" w:space="0" w:color="auto"/>
            </w:tcBorders>
          </w:tcPr>
          <w:p w14:paraId="02B57E3A" w14:textId="77777777" w:rsidR="0089179A" w:rsidRPr="000C7A56"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8"/>
              </w:rPr>
            </w:pPr>
          </w:p>
        </w:tc>
      </w:tr>
      <w:tr w:rsidR="0089179A" w:rsidRPr="00B03B43" w14:paraId="6C10427C" w14:textId="77777777" w:rsidTr="00C420C4">
        <w:trPr>
          <w:trHeight w:val="70"/>
        </w:trPr>
        <w:tc>
          <w:tcPr>
            <w:tcW w:w="3969" w:type="dxa"/>
            <w:tcBorders>
              <w:top w:val="nil"/>
              <w:left w:val="single" w:sz="4" w:space="0" w:color="auto"/>
              <w:bottom w:val="nil"/>
              <w:right w:val="nil"/>
            </w:tcBorders>
          </w:tcPr>
          <w:p w14:paraId="3E259B77" w14:textId="77777777" w:rsidR="0089179A" w:rsidRPr="00B03B43"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Depreciation and amortisation</w:t>
            </w:r>
          </w:p>
        </w:tc>
        <w:tc>
          <w:tcPr>
            <w:tcW w:w="1276" w:type="dxa"/>
            <w:tcBorders>
              <w:top w:val="nil"/>
              <w:left w:val="nil"/>
              <w:bottom w:val="single" w:sz="4" w:space="0" w:color="auto"/>
            </w:tcBorders>
            <w:shd w:val="clear" w:color="auto" w:fill="auto"/>
          </w:tcPr>
          <w:p w14:paraId="43CA0AB9" w14:textId="24A6393A"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(45)</w:t>
            </w:r>
          </w:p>
        </w:tc>
        <w:tc>
          <w:tcPr>
            <w:tcW w:w="992" w:type="dxa"/>
            <w:tcBorders>
              <w:top w:val="nil"/>
              <w:left w:val="nil"/>
              <w:bottom w:val="single" w:sz="4" w:space="0" w:color="auto"/>
              <w:right w:val="nil"/>
            </w:tcBorders>
            <w:shd w:val="clear" w:color="auto" w:fill="auto"/>
          </w:tcPr>
          <w:p w14:paraId="390A3858" w14:textId="3FC7400A" w:rsidR="0089179A" w:rsidRPr="00B03B43"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3F7114">
              <w:rPr>
                <w:rFonts w:asciiTheme="minorHAnsi" w:hAnsiTheme="minorHAnsi" w:cs="Times New Roman"/>
                <w:lang w:eastAsia="en-IE"/>
              </w:rPr>
              <w:t>(42)</w:t>
            </w:r>
          </w:p>
        </w:tc>
        <w:tc>
          <w:tcPr>
            <w:tcW w:w="1134" w:type="dxa"/>
            <w:tcBorders>
              <w:top w:val="nil"/>
              <w:left w:val="nil"/>
              <w:bottom w:val="single" w:sz="4" w:space="0" w:color="auto"/>
              <w:right w:val="single" w:sz="4" w:space="0" w:color="auto"/>
            </w:tcBorders>
          </w:tcPr>
          <w:p w14:paraId="58205957" w14:textId="445A1FDE"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+8%</w:t>
            </w:r>
          </w:p>
        </w:tc>
      </w:tr>
      <w:tr w:rsidR="0089179A" w:rsidRPr="001F75A8" w14:paraId="06D6F403" w14:textId="77777777" w:rsidTr="00C420C4">
        <w:trPr>
          <w:trHeight w:val="70"/>
        </w:trPr>
        <w:tc>
          <w:tcPr>
            <w:tcW w:w="3969" w:type="dxa"/>
            <w:tcBorders>
              <w:top w:val="nil"/>
              <w:left w:val="single" w:sz="4" w:space="0" w:color="auto"/>
              <w:bottom w:val="nil"/>
              <w:right w:val="nil"/>
            </w:tcBorders>
          </w:tcPr>
          <w:p w14:paraId="46D36DC2" w14:textId="77777777" w:rsidR="0089179A" w:rsidRPr="00220D66"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276" w:type="dxa"/>
            <w:tcBorders>
              <w:top w:val="single" w:sz="4" w:space="0" w:color="auto"/>
              <w:left w:val="nil"/>
            </w:tcBorders>
            <w:shd w:val="clear" w:color="auto" w:fill="auto"/>
          </w:tcPr>
          <w:p w14:paraId="382675BB" w14:textId="77777777"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992" w:type="dxa"/>
            <w:tcBorders>
              <w:top w:val="single" w:sz="4" w:space="0" w:color="auto"/>
              <w:left w:val="nil"/>
              <w:right w:val="nil"/>
            </w:tcBorders>
            <w:shd w:val="clear" w:color="auto" w:fill="auto"/>
          </w:tcPr>
          <w:p w14:paraId="367F6100" w14:textId="77777777" w:rsidR="0089179A" w:rsidRPr="00220D66"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134" w:type="dxa"/>
            <w:tcBorders>
              <w:top w:val="single" w:sz="4" w:space="0" w:color="auto"/>
              <w:left w:val="nil"/>
              <w:right w:val="single" w:sz="4" w:space="0" w:color="auto"/>
            </w:tcBorders>
          </w:tcPr>
          <w:p w14:paraId="4FB8FD37" w14:textId="77777777"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89179A" w:rsidRPr="00443C47" w14:paraId="77FEF211" w14:textId="77777777" w:rsidTr="00C420C4">
        <w:trPr>
          <w:trHeight w:val="70"/>
        </w:trPr>
        <w:tc>
          <w:tcPr>
            <w:tcW w:w="3969" w:type="dxa"/>
            <w:tcBorders>
              <w:top w:val="nil"/>
              <w:left w:val="single" w:sz="4" w:space="0" w:color="auto"/>
              <w:bottom w:val="nil"/>
              <w:right w:val="nil"/>
            </w:tcBorders>
          </w:tcPr>
          <w:p w14:paraId="7F5BC012" w14:textId="77777777" w:rsidR="0089179A" w:rsidRPr="004C7C0F"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sz w:val="6"/>
                <w:szCs w:val="6"/>
                <w:lang w:eastAsia="en-IE"/>
              </w:rPr>
            </w:pPr>
          </w:p>
        </w:tc>
        <w:tc>
          <w:tcPr>
            <w:tcW w:w="1276" w:type="dxa"/>
            <w:tcBorders>
              <w:left w:val="nil"/>
            </w:tcBorders>
            <w:shd w:val="clear" w:color="auto" w:fill="auto"/>
          </w:tcPr>
          <w:p w14:paraId="7DE48073" w14:textId="77777777"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992" w:type="dxa"/>
            <w:tcBorders>
              <w:left w:val="nil"/>
              <w:right w:val="nil"/>
            </w:tcBorders>
            <w:shd w:val="clear" w:color="auto" w:fill="auto"/>
          </w:tcPr>
          <w:p w14:paraId="4220BD2E" w14:textId="77777777" w:rsidR="0089179A" w:rsidRPr="0072730E"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1134" w:type="dxa"/>
            <w:tcBorders>
              <w:left w:val="nil"/>
              <w:right w:val="single" w:sz="4" w:space="0" w:color="auto"/>
            </w:tcBorders>
          </w:tcPr>
          <w:p w14:paraId="7D065BDC" w14:textId="77777777"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r>
      <w:tr w:rsidR="0089179A" w:rsidRPr="00443C47" w14:paraId="4DBF9BDC" w14:textId="77777777" w:rsidTr="00C420C4">
        <w:trPr>
          <w:trHeight w:val="70"/>
        </w:trPr>
        <w:tc>
          <w:tcPr>
            <w:tcW w:w="3969" w:type="dxa"/>
            <w:tcBorders>
              <w:top w:val="nil"/>
              <w:left w:val="single" w:sz="4" w:space="0" w:color="auto"/>
              <w:bottom w:val="nil"/>
              <w:right w:val="nil"/>
            </w:tcBorders>
          </w:tcPr>
          <w:p w14:paraId="0A996CCA" w14:textId="77777777" w:rsidR="0089179A" w:rsidRPr="004C7C0F"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C7C0F">
              <w:rPr>
                <w:rFonts w:asciiTheme="minorHAnsi" w:hAnsiTheme="minorHAnsi" w:cs="Times New Roman"/>
                <w:b/>
                <w:lang w:eastAsia="en-IE"/>
              </w:rPr>
              <w:t>Underlying</w:t>
            </w:r>
            <w:r>
              <w:rPr>
                <w:rFonts w:asciiTheme="minorHAnsi" w:hAnsiTheme="minorHAnsi"/>
                <w:i/>
                <w:sz w:val="18"/>
                <w:szCs w:val="18"/>
                <w:vertAlign w:val="superscript"/>
              </w:rPr>
              <w:t xml:space="preserve">1 </w:t>
            </w:r>
            <w:r w:rsidRPr="004C7C0F">
              <w:rPr>
                <w:rFonts w:asciiTheme="minorHAnsi" w:hAnsiTheme="minorHAnsi" w:cs="Times New Roman"/>
                <w:b/>
                <w:lang w:eastAsia="en-IE"/>
              </w:rPr>
              <w:t>operating profit</w:t>
            </w:r>
          </w:p>
        </w:tc>
        <w:tc>
          <w:tcPr>
            <w:tcW w:w="1276" w:type="dxa"/>
            <w:tcBorders>
              <w:top w:val="nil"/>
              <w:left w:val="nil"/>
            </w:tcBorders>
            <w:shd w:val="clear" w:color="auto" w:fill="auto"/>
          </w:tcPr>
          <w:p w14:paraId="3AEF498A" w14:textId="17EE1A99"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263</w:t>
            </w:r>
          </w:p>
        </w:tc>
        <w:tc>
          <w:tcPr>
            <w:tcW w:w="992" w:type="dxa"/>
            <w:tcBorders>
              <w:top w:val="nil"/>
              <w:left w:val="nil"/>
              <w:right w:val="nil"/>
            </w:tcBorders>
            <w:shd w:val="clear" w:color="auto" w:fill="auto"/>
          </w:tcPr>
          <w:p w14:paraId="08E509E7" w14:textId="7F1CBE8A" w:rsidR="0089179A" w:rsidRPr="0072730E"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3F7114">
              <w:rPr>
                <w:rFonts w:asciiTheme="minorHAnsi" w:hAnsiTheme="minorHAnsi" w:cs="Times New Roman"/>
                <w:b/>
                <w:lang w:eastAsia="en-IE"/>
              </w:rPr>
              <w:t>27</w:t>
            </w:r>
            <w:r>
              <w:rPr>
                <w:rFonts w:asciiTheme="minorHAnsi" w:hAnsiTheme="minorHAnsi" w:cs="Times New Roman"/>
                <w:b/>
                <w:lang w:eastAsia="en-IE"/>
              </w:rPr>
              <w:t>5</w:t>
            </w:r>
          </w:p>
        </w:tc>
        <w:tc>
          <w:tcPr>
            <w:tcW w:w="1134" w:type="dxa"/>
            <w:tcBorders>
              <w:top w:val="nil"/>
              <w:left w:val="nil"/>
              <w:right w:val="single" w:sz="4" w:space="0" w:color="auto"/>
            </w:tcBorders>
          </w:tcPr>
          <w:p w14:paraId="55B9A36E" w14:textId="50855DF7" w:rsidR="0089179A" w:rsidRPr="003F7114"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-4%</w:t>
            </w:r>
          </w:p>
        </w:tc>
      </w:tr>
      <w:tr w:rsidR="0089179A" w:rsidRPr="004F4DF1" w14:paraId="1BBB42DC" w14:textId="77777777" w:rsidTr="00C420C4">
        <w:trPr>
          <w:trHeight w:val="70"/>
        </w:trPr>
        <w:tc>
          <w:tcPr>
            <w:tcW w:w="3969" w:type="dxa"/>
            <w:tcBorders>
              <w:top w:val="nil"/>
              <w:left w:val="single" w:sz="4" w:space="0" w:color="auto"/>
              <w:bottom w:val="single" w:sz="4" w:space="0" w:color="auto"/>
              <w:right w:val="nil"/>
            </w:tcBorders>
          </w:tcPr>
          <w:p w14:paraId="4ACB2C26" w14:textId="77777777" w:rsidR="0089179A" w:rsidRPr="004F4DF1"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sz w:val="4"/>
                <w:szCs w:val="4"/>
                <w:lang w:eastAsia="en-IE"/>
              </w:rPr>
            </w:pPr>
          </w:p>
        </w:tc>
        <w:tc>
          <w:tcPr>
            <w:tcW w:w="1276" w:type="dxa"/>
            <w:tcBorders>
              <w:left w:val="nil"/>
              <w:bottom w:val="single" w:sz="4" w:space="0" w:color="auto"/>
            </w:tcBorders>
            <w:shd w:val="clear" w:color="auto" w:fill="auto"/>
          </w:tcPr>
          <w:p w14:paraId="6F6996DA" w14:textId="77777777" w:rsidR="0089179A" w:rsidRPr="004F4DF1"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992" w:type="dxa"/>
            <w:tcBorders>
              <w:left w:val="nil"/>
              <w:bottom w:val="single" w:sz="4" w:space="0" w:color="auto"/>
              <w:right w:val="nil"/>
            </w:tcBorders>
            <w:shd w:val="clear" w:color="auto" w:fill="auto"/>
          </w:tcPr>
          <w:p w14:paraId="40CD1C5C" w14:textId="77777777" w:rsidR="0089179A" w:rsidRPr="004F4DF1"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1134" w:type="dxa"/>
            <w:tcBorders>
              <w:left w:val="nil"/>
              <w:bottom w:val="single" w:sz="4" w:space="0" w:color="auto"/>
              <w:right w:val="single" w:sz="4" w:space="0" w:color="auto"/>
            </w:tcBorders>
          </w:tcPr>
          <w:p w14:paraId="17C5D64F" w14:textId="77777777" w:rsidR="0089179A" w:rsidRPr="004F4DF1" w:rsidRDefault="0089179A" w:rsidP="0089179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r>
    </w:tbl>
    <w:p w14:paraId="0775805D" w14:textId="1C97B8CA" w:rsidR="00A4573F" w:rsidRPr="00855D70" w:rsidRDefault="005142F9" w:rsidP="000C7A56">
      <w:pPr>
        <w:spacing w:before="120" w:after="120"/>
        <w:jc w:val="both"/>
        <w:rPr>
          <w:rFonts w:asciiTheme="minorHAnsi" w:hAnsiTheme="minorHAnsi"/>
          <w:i/>
          <w:sz w:val="16"/>
          <w:szCs w:val="16"/>
        </w:rPr>
      </w:pPr>
      <w:r w:rsidRPr="00855D70">
        <w:rPr>
          <w:rFonts w:asciiTheme="minorHAnsi" w:hAnsiTheme="minorHAnsi"/>
          <w:i/>
          <w:sz w:val="16"/>
          <w:szCs w:val="16"/>
        </w:rPr>
        <w:t>Our o</w:t>
      </w:r>
      <w:r w:rsidR="00A4573F" w:rsidRPr="00855D70">
        <w:rPr>
          <w:rFonts w:asciiTheme="minorHAnsi" w:hAnsiTheme="minorHAnsi"/>
          <w:i/>
          <w:sz w:val="16"/>
          <w:szCs w:val="16"/>
        </w:rPr>
        <w:t xml:space="preserve">nline </w:t>
      </w:r>
      <w:r w:rsidRPr="00855D70">
        <w:rPr>
          <w:rFonts w:asciiTheme="minorHAnsi" w:hAnsiTheme="minorHAnsi"/>
          <w:i/>
          <w:sz w:val="16"/>
          <w:szCs w:val="16"/>
        </w:rPr>
        <w:t xml:space="preserve">division </w:t>
      </w:r>
      <w:r w:rsidR="00A4573F" w:rsidRPr="00855D70">
        <w:rPr>
          <w:rFonts w:asciiTheme="minorHAnsi" w:hAnsiTheme="minorHAnsi"/>
          <w:i/>
          <w:sz w:val="16"/>
          <w:szCs w:val="16"/>
        </w:rPr>
        <w:t>includes the online brands of Paddy Power, Betfair and Adjarabet along with a number of B2B partnerships.</w:t>
      </w:r>
    </w:p>
    <w:p w14:paraId="40D8D5E7" w14:textId="521BD5BE" w:rsidR="00C0392B" w:rsidRPr="008277C2" w:rsidRDefault="005142F9" w:rsidP="00A4573F">
      <w:pPr>
        <w:spacing w:after="120"/>
        <w:jc w:val="both"/>
        <w:rPr>
          <w:rFonts w:asciiTheme="minorHAnsi" w:hAnsiTheme="minorHAnsi"/>
          <w:sz w:val="22"/>
          <w:szCs w:val="22"/>
        </w:rPr>
      </w:pPr>
      <w:r w:rsidRPr="008277C2">
        <w:rPr>
          <w:rFonts w:asciiTheme="minorHAnsi" w:hAnsiTheme="minorHAnsi"/>
          <w:sz w:val="22"/>
          <w:szCs w:val="22"/>
        </w:rPr>
        <w:t xml:space="preserve">PPB </w:t>
      </w:r>
      <w:r w:rsidR="00012A96">
        <w:rPr>
          <w:rFonts w:asciiTheme="minorHAnsi" w:hAnsiTheme="minorHAnsi"/>
          <w:sz w:val="22"/>
          <w:szCs w:val="22"/>
        </w:rPr>
        <w:t>O</w:t>
      </w:r>
      <w:r w:rsidRPr="008277C2">
        <w:rPr>
          <w:rFonts w:asciiTheme="minorHAnsi" w:hAnsiTheme="minorHAnsi"/>
          <w:sz w:val="22"/>
          <w:szCs w:val="22"/>
        </w:rPr>
        <w:t>nline revenues grew by 6% to just over £1bn</w:t>
      </w:r>
      <w:r w:rsidR="004E4900" w:rsidRPr="008277C2">
        <w:rPr>
          <w:rFonts w:asciiTheme="minorHAnsi" w:hAnsiTheme="minorHAnsi"/>
          <w:sz w:val="22"/>
          <w:szCs w:val="22"/>
        </w:rPr>
        <w:t xml:space="preserve"> </w:t>
      </w:r>
      <w:r w:rsidR="00E64F5C" w:rsidRPr="008277C2">
        <w:rPr>
          <w:rFonts w:asciiTheme="minorHAnsi" w:hAnsiTheme="minorHAnsi"/>
          <w:sz w:val="22"/>
          <w:szCs w:val="22"/>
        </w:rPr>
        <w:t>during 2019</w:t>
      </w:r>
      <w:r w:rsidR="00345AD3">
        <w:rPr>
          <w:rFonts w:asciiTheme="minorHAnsi" w:hAnsiTheme="minorHAnsi"/>
          <w:sz w:val="22"/>
          <w:szCs w:val="22"/>
        </w:rPr>
        <w:t>, benefitting in part from the acquisition of Adjarabet. Revenues</w:t>
      </w:r>
      <w:r w:rsidR="004A5742">
        <w:rPr>
          <w:rFonts w:asciiTheme="minorHAnsi" w:hAnsiTheme="minorHAnsi"/>
          <w:sz w:val="22"/>
          <w:szCs w:val="22"/>
        </w:rPr>
        <w:t xml:space="preserve"> were </w:t>
      </w:r>
      <w:r w:rsidR="003C4A6F" w:rsidRPr="008277C2">
        <w:rPr>
          <w:rFonts w:asciiTheme="minorHAnsi" w:hAnsiTheme="minorHAnsi"/>
          <w:sz w:val="22"/>
          <w:szCs w:val="22"/>
        </w:rPr>
        <w:t xml:space="preserve">flat </w:t>
      </w:r>
      <w:r w:rsidRPr="008277C2">
        <w:rPr>
          <w:rFonts w:asciiTheme="minorHAnsi" w:hAnsiTheme="minorHAnsi"/>
          <w:sz w:val="22"/>
          <w:szCs w:val="22"/>
        </w:rPr>
        <w:t>on a pro</w:t>
      </w:r>
      <w:r w:rsidR="00444932" w:rsidRPr="008277C2">
        <w:rPr>
          <w:rFonts w:asciiTheme="minorHAnsi" w:hAnsiTheme="minorHAnsi"/>
          <w:sz w:val="22"/>
          <w:szCs w:val="22"/>
        </w:rPr>
        <w:t>f</w:t>
      </w:r>
      <w:r w:rsidRPr="008277C2">
        <w:rPr>
          <w:rFonts w:asciiTheme="minorHAnsi" w:hAnsiTheme="minorHAnsi"/>
          <w:sz w:val="22"/>
          <w:szCs w:val="22"/>
        </w:rPr>
        <w:t xml:space="preserve">orma basis. There were a number of significant </w:t>
      </w:r>
      <w:r w:rsidR="004E4900" w:rsidRPr="008277C2">
        <w:rPr>
          <w:rFonts w:asciiTheme="minorHAnsi" w:hAnsiTheme="minorHAnsi"/>
          <w:sz w:val="22"/>
          <w:szCs w:val="22"/>
        </w:rPr>
        <w:t xml:space="preserve">factors that drove </w:t>
      </w:r>
      <w:r w:rsidRPr="008277C2">
        <w:rPr>
          <w:rFonts w:asciiTheme="minorHAnsi" w:hAnsiTheme="minorHAnsi"/>
          <w:sz w:val="22"/>
          <w:szCs w:val="22"/>
        </w:rPr>
        <w:t>this</w:t>
      </w:r>
      <w:r w:rsidR="00E80C2B" w:rsidRPr="008277C2">
        <w:rPr>
          <w:rFonts w:asciiTheme="minorHAnsi" w:hAnsiTheme="minorHAnsi"/>
          <w:sz w:val="22"/>
          <w:szCs w:val="22"/>
        </w:rPr>
        <w:t xml:space="preserve"> outcome</w:t>
      </w:r>
      <w:r w:rsidR="004D76B0">
        <w:rPr>
          <w:rFonts w:asciiTheme="minorHAnsi" w:hAnsiTheme="minorHAnsi"/>
          <w:sz w:val="22"/>
          <w:szCs w:val="22"/>
        </w:rPr>
        <w:t>, including</w:t>
      </w:r>
      <w:r w:rsidRPr="008277C2">
        <w:rPr>
          <w:rFonts w:asciiTheme="minorHAnsi" w:hAnsiTheme="minorHAnsi"/>
          <w:sz w:val="22"/>
          <w:szCs w:val="22"/>
        </w:rPr>
        <w:t>:</w:t>
      </w:r>
    </w:p>
    <w:p w14:paraId="0AAAA85B" w14:textId="26BD5E7E" w:rsidR="005142F9" w:rsidRPr="008277C2" w:rsidRDefault="005142F9" w:rsidP="00CD1403">
      <w:pPr>
        <w:pStyle w:val="ListParagraph"/>
        <w:numPr>
          <w:ilvl w:val="0"/>
          <w:numId w:val="20"/>
        </w:numPr>
        <w:spacing w:after="120"/>
        <w:jc w:val="both"/>
        <w:rPr>
          <w:rFonts w:asciiTheme="minorHAnsi" w:hAnsiTheme="minorHAnsi"/>
        </w:rPr>
      </w:pPr>
      <w:r w:rsidRPr="008277C2">
        <w:rPr>
          <w:rFonts w:asciiTheme="minorHAnsi" w:hAnsiTheme="minorHAnsi"/>
        </w:rPr>
        <w:t xml:space="preserve">Good </w:t>
      </w:r>
      <w:r w:rsidR="009358D5">
        <w:rPr>
          <w:rFonts w:asciiTheme="minorHAnsi" w:hAnsiTheme="minorHAnsi"/>
        </w:rPr>
        <w:t xml:space="preserve">underlying </w:t>
      </w:r>
      <w:r w:rsidRPr="008277C2">
        <w:rPr>
          <w:rFonts w:asciiTheme="minorHAnsi" w:hAnsiTheme="minorHAnsi"/>
        </w:rPr>
        <w:t xml:space="preserve">growth </w:t>
      </w:r>
      <w:r w:rsidR="004E4900" w:rsidRPr="008277C2">
        <w:rPr>
          <w:rFonts w:asciiTheme="minorHAnsi" w:hAnsiTheme="minorHAnsi"/>
        </w:rPr>
        <w:t xml:space="preserve">in daily active customers across our </w:t>
      </w:r>
      <w:r w:rsidR="007C51BC" w:rsidRPr="008277C2">
        <w:rPr>
          <w:rFonts w:asciiTheme="minorHAnsi" w:hAnsiTheme="minorHAnsi"/>
        </w:rPr>
        <w:t>three</w:t>
      </w:r>
      <w:r w:rsidR="005A235D" w:rsidRPr="008277C2">
        <w:rPr>
          <w:rFonts w:asciiTheme="minorHAnsi" w:hAnsiTheme="minorHAnsi"/>
        </w:rPr>
        <w:t xml:space="preserve"> </w:t>
      </w:r>
      <w:r w:rsidR="004E4900" w:rsidRPr="008277C2">
        <w:rPr>
          <w:rFonts w:asciiTheme="minorHAnsi" w:hAnsiTheme="minorHAnsi"/>
        </w:rPr>
        <w:t xml:space="preserve">brands </w:t>
      </w:r>
      <w:r w:rsidR="007C51BC" w:rsidRPr="008277C2">
        <w:rPr>
          <w:rFonts w:asciiTheme="minorHAnsi" w:hAnsiTheme="minorHAnsi"/>
        </w:rPr>
        <w:t xml:space="preserve">of </w:t>
      </w:r>
      <w:r w:rsidR="009358D5">
        <w:rPr>
          <w:rFonts w:asciiTheme="minorHAnsi" w:hAnsiTheme="minorHAnsi"/>
        </w:rPr>
        <w:t>8</w:t>
      </w:r>
      <w:r w:rsidR="007C51BC" w:rsidRPr="008277C2">
        <w:rPr>
          <w:rFonts w:asciiTheme="minorHAnsi" w:hAnsiTheme="minorHAnsi"/>
        </w:rPr>
        <w:t>%</w:t>
      </w:r>
      <w:r w:rsidR="007C51BC" w:rsidRPr="008277C2" w:rsidDel="007C51BC">
        <w:rPr>
          <w:rFonts w:asciiTheme="minorHAnsi" w:hAnsiTheme="minorHAnsi"/>
        </w:rPr>
        <w:t xml:space="preserve"> </w:t>
      </w:r>
    </w:p>
    <w:p w14:paraId="169FC73A" w14:textId="64B7F2E5" w:rsidR="005142F9" w:rsidRPr="008277C2" w:rsidRDefault="005142F9" w:rsidP="00CD1403">
      <w:pPr>
        <w:pStyle w:val="ListParagraph"/>
        <w:numPr>
          <w:ilvl w:val="0"/>
          <w:numId w:val="20"/>
        </w:numPr>
        <w:spacing w:after="120"/>
        <w:jc w:val="both"/>
        <w:rPr>
          <w:rFonts w:asciiTheme="minorHAnsi" w:hAnsiTheme="minorHAnsi"/>
        </w:rPr>
      </w:pPr>
      <w:r w:rsidRPr="008277C2">
        <w:rPr>
          <w:rFonts w:asciiTheme="minorHAnsi" w:hAnsiTheme="minorHAnsi"/>
        </w:rPr>
        <w:t>A</w:t>
      </w:r>
      <w:r w:rsidR="008D4E09" w:rsidRPr="008277C2">
        <w:rPr>
          <w:rFonts w:asciiTheme="minorHAnsi" w:hAnsiTheme="minorHAnsi"/>
        </w:rPr>
        <w:t xml:space="preserve">n </w:t>
      </w:r>
      <w:r w:rsidRPr="008277C2">
        <w:rPr>
          <w:rFonts w:asciiTheme="minorHAnsi" w:hAnsiTheme="minorHAnsi"/>
        </w:rPr>
        <w:t>improvement in expected net revenue margin across sportsbook following the roll-out of country specific pricing</w:t>
      </w:r>
      <w:r w:rsidR="004E4900" w:rsidRPr="008277C2">
        <w:rPr>
          <w:rFonts w:asciiTheme="minorHAnsi" w:hAnsiTheme="minorHAnsi"/>
        </w:rPr>
        <w:t xml:space="preserve"> </w:t>
      </w:r>
    </w:p>
    <w:p w14:paraId="3A7150D6" w14:textId="55693FDE" w:rsidR="005142F9" w:rsidRPr="008277C2" w:rsidRDefault="005142F9" w:rsidP="00CD1403">
      <w:pPr>
        <w:pStyle w:val="ListParagraph"/>
        <w:numPr>
          <w:ilvl w:val="0"/>
          <w:numId w:val="20"/>
        </w:numPr>
        <w:spacing w:after="120"/>
        <w:jc w:val="both"/>
        <w:rPr>
          <w:rFonts w:asciiTheme="minorHAnsi" w:hAnsiTheme="minorHAnsi"/>
        </w:rPr>
      </w:pPr>
      <w:r w:rsidRPr="008277C2">
        <w:rPr>
          <w:rFonts w:asciiTheme="minorHAnsi" w:hAnsiTheme="minorHAnsi"/>
        </w:rPr>
        <w:t>The impact of enhanced responsible gambling measures which saw the Group materially reduce its revenues from high-value customers</w:t>
      </w:r>
    </w:p>
    <w:p w14:paraId="1E20B8C2" w14:textId="77777777" w:rsidR="00B40062" w:rsidRPr="008277C2" w:rsidRDefault="005142F9" w:rsidP="00CD1403">
      <w:pPr>
        <w:pStyle w:val="ListParagraph"/>
        <w:numPr>
          <w:ilvl w:val="0"/>
          <w:numId w:val="20"/>
        </w:numPr>
        <w:spacing w:after="120"/>
        <w:jc w:val="both"/>
        <w:rPr>
          <w:rFonts w:asciiTheme="minorHAnsi" w:hAnsiTheme="minorHAnsi"/>
        </w:rPr>
      </w:pPr>
      <w:r w:rsidRPr="008277C2">
        <w:rPr>
          <w:rFonts w:asciiTheme="minorHAnsi" w:hAnsiTheme="minorHAnsi"/>
        </w:rPr>
        <w:t>The impact of a series of unanticipated international market switch offs</w:t>
      </w:r>
    </w:p>
    <w:p w14:paraId="7B402F92" w14:textId="44E0E44C" w:rsidR="003C4A6F" w:rsidRPr="008277C2" w:rsidRDefault="00B40062" w:rsidP="003C4A6F">
      <w:pPr>
        <w:spacing w:after="120"/>
        <w:jc w:val="both"/>
        <w:rPr>
          <w:rFonts w:asciiTheme="minorHAnsi" w:hAnsiTheme="minorHAnsi"/>
          <w:sz w:val="22"/>
          <w:szCs w:val="22"/>
        </w:rPr>
      </w:pPr>
      <w:r w:rsidRPr="008277C2">
        <w:rPr>
          <w:rFonts w:asciiTheme="minorHAnsi" w:hAnsiTheme="minorHAnsi"/>
          <w:sz w:val="22"/>
          <w:szCs w:val="22"/>
        </w:rPr>
        <w:t xml:space="preserve">At a brand level, good performance across Paddy Power and Adjarabet was </w:t>
      </w:r>
      <w:r w:rsidRPr="006E41E4">
        <w:rPr>
          <w:rFonts w:asciiTheme="minorHAnsi" w:hAnsiTheme="minorHAnsi"/>
          <w:sz w:val="22"/>
          <w:szCs w:val="22"/>
        </w:rPr>
        <w:t xml:space="preserve">offset by the </w:t>
      </w:r>
      <w:r w:rsidR="00E62573" w:rsidRPr="006E41E4">
        <w:rPr>
          <w:rFonts w:asciiTheme="minorHAnsi" w:hAnsiTheme="minorHAnsi"/>
          <w:sz w:val="22"/>
          <w:szCs w:val="22"/>
        </w:rPr>
        <w:t>changes</w:t>
      </w:r>
      <w:r w:rsidR="00E62573" w:rsidRPr="002826B4">
        <w:rPr>
          <w:rFonts w:asciiTheme="minorHAnsi" w:hAnsiTheme="minorHAnsi"/>
          <w:sz w:val="22"/>
          <w:szCs w:val="22"/>
        </w:rPr>
        <w:t xml:space="preserve"> </w:t>
      </w:r>
      <w:r w:rsidR="00E62573" w:rsidRPr="006E41E4">
        <w:rPr>
          <w:rFonts w:asciiTheme="minorHAnsi" w:hAnsiTheme="minorHAnsi"/>
          <w:sz w:val="22"/>
          <w:szCs w:val="22"/>
        </w:rPr>
        <w:t>we</w:t>
      </w:r>
      <w:r w:rsidR="00E62573">
        <w:rPr>
          <w:rFonts w:asciiTheme="minorHAnsi" w:hAnsiTheme="minorHAnsi"/>
          <w:sz w:val="22"/>
          <w:szCs w:val="22"/>
        </w:rPr>
        <w:t xml:space="preserve"> are making at</w:t>
      </w:r>
      <w:r w:rsidRPr="008277C2">
        <w:rPr>
          <w:rFonts w:asciiTheme="minorHAnsi" w:hAnsiTheme="minorHAnsi"/>
          <w:sz w:val="22"/>
          <w:szCs w:val="22"/>
        </w:rPr>
        <w:t xml:space="preserve"> Betfair. </w:t>
      </w:r>
      <w:r w:rsidR="003C4A6F" w:rsidRPr="008277C2">
        <w:rPr>
          <w:rFonts w:asciiTheme="minorHAnsi" w:hAnsiTheme="minorHAnsi"/>
          <w:sz w:val="22"/>
          <w:szCs w:val="22"/>
        </w:rPr>
        <w:t xml:space="preserve">Looking at growth by product, </w:t>
      </w:r>
      <w:r w:rsidR="00A4573F" w:rsidRPr="008277C2">
        <w:rPr>
          <w:rFonts w:asciiTheme="minorHAnsi" w:hAnsiTheme="minorHAnsi"/>
          <w:sz w:val="22"/>
          <w:szCs w:val="22"/>
        </w:rPr>
        <w:t xml:space="preserve">sports revenues </w:t>
      </w:r>
      <w:r w:rsidR="003C4A6F" w:rsidRPr="008277C2">
        <w:rPr>
          <w:rFonts w:asciiTheme="minorHAnsi" w:hAnsiTheme="minorHAnsi"/>
          <w:sz w:val="22"/>
          <w:szCs w:val="22"/>
        </w:rPr>
        <w:t xml:space="preserve">declined </w:t>
      </w:r>
      <w:r w:rsidR="004E4900" w:rsidRPr="008277C2">
        <w:rPr>
          <w:rFonts w:asciiTheme="minorHAnsi" w:hAnsiTheme="minorHAnsi"/>
          <w:sz w:val="22"/>
          <w:szCs w:val="22"/>
        </w:rPr>
        <w:t xml:space="preserve">by </w:t>
      </w:r>
      <w:r w:rsidR="00A4573F" w:rsidRPr="008277C2">
        <w:rPr>
          <w:rFonts w:asciiTheme="minorHAnsi" w:hAnsiTheme="minorHAnsi"/>
          <w:sz w:val="22"/>
          <w:szCs w:val="22"/>
        </w:rPr>
        <w:t>2%</w:t>
      </w:r>
      <w:r w:rsidR="003C4A6F" w:rsidRPr="008277C2">
        <w:rPr>
          <w:rFonts w:asciiTheme="minorHAnsi" w:hAnsiTheme="minorHAnsi"/>
          <w:sz w:val="22"/>
          <w:szCs w:val="22"/>
        </w:rPr>
        <w:t xml:space="preserve"> while gaming revenues grew 26%.</w:t>
      </w:r>
      <w:r w:rsidR="00A4573F" w:rsidRPr="008277C2">
        <w:rPr>
          <w:rFonts w:asciiTheme="minorHAnsi" w:hAnsiTheme="minorHAnsi"/>
          <w:sz w:val="22"/>
          <w:szCs w:val="22"/>
        </w:rPr>
        <w:t xml:space="preserve"> </w:t>
      </w:r>
      <w:r w:rsidR="00AC6631" w:rsidRPr="008277C2">
        <w:rPr>
          <w:rFonts w:asciiTheme="minorHAnsi" w:hAnsiTheme="minorHAnsi"/>
          <w:sz w:val="22"/>
          <w:szCs w:val="22"/>
        </w:rPr>
        <w:t>On a proforma</w:t>
      </w:r>
      <w:r w:rsidR="00012A96" w:rsidRPr="004070FF">
        <w:rPr>
          <w:rFonts w:asciiTheme="minorHAnsi" w:hAnsiTheme="minorHAnsi"/>
          <w:sz w:val="22"/>
          <w:szCs w:val="22"/>
          <w:vertAlign w:val="superscript"/>
        </w:rPr>
        <w:t>4</w:t>
      </w:r>
      <w:r w:rsidR="00AC6631" w:rsidRPr="008277C2">
        <w:rPr>
          <w:rFonts w:asciiTheme="minorHAnsi" w:hAnsiTheme="minorHAnsi"/>
          <w:sz w:val="22"/>
          <w:szCs w:val="22"/>
        </w:rPr>
        <w:t>, constant currency basis</w:t>
      </w:r>
      <w:r w:rsidR="00012A96" w:rsidRPr="004070FF">
        <w:rPr>
          <w:rFonts w:asciiTheme="minorHAnsi" w:hAnsiTheme="minorHAnsi"/>
          <w:sz w:val="22"/>
          <w:szCs w:val="22"/>
          <w:vertAlign w:val="superscript"/>
        </w:rPr>
        <w:t>3</w:t>
      </w:r>
      <w:r w:rsidR="00A4573F" w:rsidRPr="008277C2">
        <w:rPr>
          <w:rFonts w:asciiTheme="minorHAnsi" w:hAnsiTheme="minorHAnsi"/>
          <w:sz w:val="22"/>
          <w:szCs w:val="22"/>
        </w:rPr>
        <w:t xml:space="preserve">, gaming revenues were up </w:t>
      </w:r>
      <w:r w:rsidR="003C4A6F" w:rsidRPr="008277C2">
        <w:rPr>
          <w:rFonts w:asciiTheme="minorHAnsi" w:hAnsiTheme="minorHAnsi"/>
          <w:sz w:val="22"/>
          <w:szCs w:val="22"/>
        </w:rPr>
        <w:t>7</w:t>
      </w:r>
      <w:r w:rsidR="00A4573F" w:rsidRPr="008277C2">
        <w:rPr>
          <w:rFonts w:asciiTheme="minorHAnsi" w:hAnsiTheme="minorHAnsi"/>
          <w:sz w:val="22"/>
          <w:szCs w:val="22"/>
        </w:rPr>
        <w:t xml:space="preserve">%. </w:t>
      </w:r>
    </w:p>
    <w:p w14:paraId="111C2880" w14:textId="782F3318" w:rsidR="008D4E09" w:rsidRPr="008277C2" w:rsidRDefault="008D4E09" w:rsidP="008D4E09">
      <w:pPr>
        <w:spacing w:after="120"/>
        <w:jc w:val="both"/>
        <w:rPr>
          <w:rFonts w:asciiTheme="minorHAnsi" w:hAnsiTheme="minorHAnsi"/>
          <w:sz w:val="22"/>
          <w:szCs w:val="22"/>
        </w:rPr>
      </w:pPr>
      <w:r w:rsidRPr="008277C2">
        <w:rPr>
          <w:rFonts w:asciiTheme="minorHAnsi" w:hAnsiTheme="minorHAnsi"/>
          <w:sz w:val="22"/>
          <w:szCs w:val="22"/>
        </w:rPr>
        <w:t>S</w:t>
      </w:r>
      <w:r w:rsidR="00A4573F" w:rsidRPr="008277C2">
        <w:rPr>
          <w:rFonts w:asciiTheme="minorHAnsi" w:hAnsiTheme="minorHAnsi"/>
          <w:sz w:val="22"/>
          <w:szCs w:val="22"/>
        </w:rPr>
        <w:t xml:space="preserve">portsbook </w:t>
      </w:r>
      <w:r w:rsidRPr="008277C2">
        <w:rPr>
          <w:rFonts w:asciiTheme="minorHAnsi" w:hAnsiTheme="minorHAnsi"/>
          <w:sz w:val="22"/>
          <w:szCs w:val="22"/>
        </w:rPr>
        <w:t xml:space="preserve">revenue was flat </w:t>
      </w:r>
      <w:r w:rsidR="00E80C2B" w:rsidRPr="008277C2">
        <w:rPr>
          <w:rFonts w:asciiTheme="minorHAnsi" w:hAnsiTheme="minorHAnsi"/>
          <w:sz w:val="22"/>
          <w:szCs w:val="22"/>
        </w:rPr>
        <w:t xml:space="preserve">and </w:t>
      </w:r>
      <w:r w:rsidRPr="008277C2">
        <w:rPr>
          <w:rFonts w:asciiTheme="minorHAnsi" w:hAnsiTheme="minorHAnsi"/>
          <w:sz w:val="22"/>
          <w:szCs w:val="22"/>
        </w:rPr>
        <w:t xml:space="preserve">6% </w:t>
      </w:r>
      <w:r w:rsidR="004D76B0">
        <w:rPr>
          <w:rFonts w:asciiTheme="minorHAnsi" w:hAnsiTheme="minorHAnsi"/>
          <w:sz w:val="22"/>
          <w:szCs w:val="22"/>
        </w:rPr>
        <w:t xml:space="preserve">higher </w:t>
      </w:r>
      <w:r w:rsidRPr="008277C2">
        <w:rPr>
          <w:rFonts w:asciiTheme="minorHAnsi" w:hAnsiTheme="minorHAnsi"/>
          <w:sz w:val="22"/>
          <w:szCs w:val="22"/>
        </w:rPr>
        <w:t xml:space="preserve">excluding the impact of </w:t>
      </w:r>
      <w:r w:rsidR="00444932" w:rsidRPr="008277C2">
        <w:rPr>
          <w:rFonts w:asciiTheme="minorHAnsi" w:hAnsiTheme="minorHAnsi"/>
          <w:sz w:val="22"/>
          <w:szCs w:val="22"/>
        </w:rPr>
        <w:t xml:space="preserve">the </w:t>
      </w:r>
      <w:r w:rsidRPr="008277C2">
        <w:rPr>
          <w:rFonts w:asciiTheme="minorHAnsi" w:hAnsiTheme="minorHAnsi"/>
          <w:sz w:val="22"/>
          <w:szCs w:val="22"/>
        </w:rPr>
        <w:t xml:space="preserve">World Cup in 2018. Net revenue margin </w:t>
      </w:r>
      <w:r w:rsidR="00D56393">
        <w:rPr>
          <w:rFonts w:asciiTheme="minorHAnsi" w:hAnsiTheme="minorHAnsi"/>
          <w:sz w:val="22"/>
          <w:szCs w:val="22"/>
        </w:rPr>
        <w:t xml:space="preserve">of </w:t>
      </w:r>
      <w:r w:rsidR="00D56393" w:rsidRPr="008277C2">
        <w:rPr>
          <w:rFonts w:asciiTheme="minorHAnsi" w:hAnsiTheme="minorHAnsi"/>
          <w:sz w:val="22"/>
          <w:szCs w:val="22"/>
        </w:rPr>
        <w:t>8.1%</w:t>
      </w:r>
      <w:r w:rsidR="00D56393">
        <w:rPr>
          <w:rFonts w:asciiTheme="minorHAnsi" w:hAnsiTheme="minorHAnsi"/>
          <w:sz w:val="22"/>
          <w:szCs w:val="22"/>
        </w:rPr>
        <w:t xml:space="preserve"> </w:t>
      </w:r>
      <w:r w:rsidR="004D76B0">
        <w:rPr>
          <w:rFonts w:asciiTheme="minorHAnsi" w:hAnsiTheme="minorHAnsi"/>
          <w:sz w:val="22"/>
          <w:szCs w:val="22"/>
        </w:rPr>
        <w:t>was</w:t>
      </w:r>
      <w:r w:rsidRPr="008277C2">
        <w:rPr>
          <w:rFonts w:asciiTheme="minorHAnsi" w:hAnsiTheme="minorHAnsi"/>
          <w:sz w:val="22"/>
          <w:szCs w:val="22"/>
        </w:rPr>
        <w:t xml:space="preserve"> </w:t>
      </w:r>
      <w:r w:rsidR="004D76B0">
        <w:rPr>
          <w:rFonts w:asciiTheme="minorHAnsi" w:hAnsiTheme="minorHAnsi"/>
          <w:sz w:val="22"/>
          <w:szCs w:val="22"/>
        </w:rPr>
        <w:t>20bps</w:t>
      </w:r>
      <w:r w:rsidR="004D76B0" w:rsidRPr="008277C2">
        <w:rPr>
          <w:rFonts w:asciiTheme="minorHAnsi" w:hAnsiTheme="minorHAnsi"/>
          <w:sz w:val="22"/>
          <w:szCs w:val="22"/>
        </w:rPr>
        <w:t xml:space="preserve"> </w:t>
      </w:r>
      <w:r w:rsidRPr="008277C2">
        <w:rPr>
          <w:rFonts w:asciiTheme="minorHAnsi" w:hAnsiTheme="minorHAnsi"/>
          <w:sz w:val="22"/>
          <w:szCs w:val="22"/>
        </w:rPr>
        <w:t xml:space="preserve">above expected margin. </w:t>
      </w:r>
      <w:r w:rsidR="00E80C2B" w:rsidRPr="008277C2">
        <w:rPr>
          <w:rFonts w:asciiTheme="minorHAnsi" w:hAnsiTheme="minorHAnsi"/>
          <w:sz w:val="22"/>
          <w:szCs w:val="22"/>
        </w:rPr>
        <w:t xml:space="preserve">The combination of </w:t>
      </w:r>
      <w:r w:rsidRPr="008277C2">
        <w:rPr>
          <w:rFonts w:asciiTheme="minorHAnsi" w:hAnsiTheme="minorHAnsi"/>
          <w:sz w:val="22"/>
          <w:szCs w:val="22"/>
        </w:rPr>
        <w:t>the introduction of country specific pricing in Q1</w:t>
      </w:r>
      <w:r w:rsidR="00141B12" w:rsidRPr="008277C2">
        <w:rPr>
          <w:rFonts w:asciiTheme="minorHAnsi" w:hAnsiTheme="minorHAnsi"/>
          <w:sz w:val="22"/>
          <w:szCs w:val="22"/>
        </w:rPr>
        <w:t xml:space="preserve"> </w:t>
      </w:r>
      <w:r w:rsidR="00DA5234">
        <w:rPr>
          <w:rFonts w:asciiTheme="minorHAnsi" w:hAnsiTheme="minorHAnsi"/>
          <w:sz w:val="22"/>
          <w:szCs w:val="22"/>
        </w:rPr>
        <w:t>(</w:t>
      </w:r>
      <w:r w:rsidR="00141B12" w:rsidRPr="008277C2">
        <w:rPr>
          <w:rFonts w:asciiTheme="minorHAnsi" w:hAnsiTheme="minorHAnsi"/>
          <w:sz w:val="22"/>
          <w:szCs w:val="22"/>
        </w:rPr>
        <w:t>which had a material impact on low value international staking</w:t>
      </w:r>
      <w:r w:rsidR="00DA5234">
        <w:rPr>
          <w:rFonts w:asciiTheme="minorHAnsi" w:hAnsiTheme="minorHAnsi"/>
          <w:sz w:val="22"/>
          <w:szCs w:val="22"/>
        </w:rPr>
        <w:t>)</w:t>
      </w:r>
      <w:r w:rsidRPr="008277C2">
        <w:rPr>
          <w:rFonts w:asciiTheme="minorHAnsi" w:hAnsiTheme="minorHAnsi"/>
          <w:sz w:val="22"/>
          <w:szCs w:val="22"/>
        </w:rPr>
        <w:t xml:space="preserve">, </w:t>
      </w:r>
      <w:r w:rsidR="00DA5234">
        <w:rPr>
          <w:rFonts w:asciiTheme="minorHAnsi" w:hAnsiTheme="minorHAnsi"/>
          <w:sz w:val="22"/>
          <w:szCs w:val="22"/>
        </w:rPr>
        <w:t xml:space="preserve">the ongoing </w:t>
      </w:r>
      <w:r w:rsidRPr="008277C2">
        <w:rPr>
          <w:rFonts w:asciiTheme="minorHAnsi" w:hAnsiTheme="minorHAnsi"/>
          <w:sz w:val="22"/>
          <w:szCs w:val="22"/>
        </w:rPr>
        <w:t xml:space="preserve">refinement of </w:t>
      </w:r>
      <w:r w:rsidR="00DA5234">
        <w:rPr>
          <w:rFonts w:asciiTheme="minorHAnsi" w:hAnsiTheme="minorHAnsi"/>
          <w:sz w:val="22"/>
          <w:szCs w:val="22"/>
        </w:rPr>
        <w:t xml:space="preserve">our </w:t>
      </w:r>
      <w:r w:rsidRPr="008277C2">
        <w:rPr>
          <w:rFonts w:asciiTheme="minorHAnsi" w:hAnsiTheme="minorHAnsi"/>
          <w:sz w:val="22"/>
          <w:szCs w:val="22"/>
        </w:rPr>
        <w:t>risk management capabilities and changes in our customer bet mix</w:t>
      </w:r>
      <w:r w:rsidR="00E80C2B" w:rsidRPr="008277C2">
        <w:rPr>
          <w:rFonts w:asciiTheme="minorHAnsi" w:hAnsiTheme="minorHAnsi"/>
          <w:sz w:val="22"/>
          <w:szCs w:val="22"/>
        </w:rPr>
        <w:t xml:space="preserve"> led to </w:t>
      </w:r>
      <w:r w:rsidRPr="008277C2">
        <w:rPr>
          <w:rFonts w:asciiTheme="minorHAnsi" w:hAnsiTheme="minorHAnsi"/>
          <w:sz w:val="22"/>
          <w:szCs w:val="22"/>
        </w:rPr>
        <w:t xml:space="preserve">expected margin </w:t>
      </w:r>
      <w:r w:rsidR="00E80C2B" w:rsidRPr="008277C2">
        <w:rPr>
          <w:rFonts w:asciiTheme="minorHAnsi" w:hAnsiTheme="minorHAnsi"/>
          <w:sz w:val="22"/>
          <w:szCs w:val="22"/>
        </w:rPr>
        <w:t xml:space="preserve">improving </w:t>
      </w:r>
      <w:r w:rsidRPr="008277C2">
        <w:rPr>
          <w:rFonts w:asciiTheme="minorHAnsi" w:hAnsiTheme="minorHAnsi"/>
          <w:sz w:val="22"/>
          <w:szCs w:val="22"/>
        </w:rPr>
        <w:t xml:space="preserve">by 90 bps during the year. </w:t>
      </w:r>
      <w:r w:rsidR="00295B6A">
        <w:rPr>
          <w:rFonts w:asciiTheme="minorHAnsi" w:hAnsiTheme="minorHAnsi"/>
          <w:sz w:val="22"/>
          <w:szCs w:val="22"/>
        </w:rPr>
        <w:t>It should be noted</w:t>
      </w:r>
      <w:r w:rsidR="00DA5234">
        <w:rPr>
          <w:rFonts w:asciiTheme="minorHAnsi" w:hAnsiTheme="minorHAnsi"/>
          <w:sz w:val="22"/>
          <w:szCs w:val="22"/>
        </w:rPr>
        <w:t xml:space="preserve"> that t</w:t>
      </w:r>
      <w:r w:rsidR="00E80C2B" w:rsidRPr="008277C2">
        <w:rPr>
          <w:rFonts w:asciiTheme="minorHAnsi" w:hAnsiTheme="minorHAnsi"/>
          <w:sz w:val="22"/>
          <w:szCs w:val="22"/>
        </w:rPr>
        <w:t xml:space="preserve">he prior year </w:t>
      </w:r>
      <w:r w:rsidR="00DA5234">
        <w:rPr>
          <w:rFonts w:asciiTheme="minorHAnsi" w:hAnsiTheme="minorHAnsi"/>
          <w:sz w:val="22"/>
          <w:szCs w:val="22"/>
        </w:rPr>
        <w:t xml:space="preserve">had </w:t>
      </w:r>
      <w:r w:rsidR="00B40062" w:rsidRPr="008277C2">
        <w:rPr>
          <w:rFonts w:asciiTheme="minorHAnsi" w:hAnsiTheme="minorHAnsi"/>
          <w:sz w:val="22"/>
          <w:szCs w:val="22"/>
        </w:rPr>
        <w:t>benefit</w:t>
      </w:r>
      <w:r w:rsidR="00B64D8C">
        <w:rPr>
          <w:rFonts w:asciiTheme="minorHAnsi" w:hAnsiTheme="minorHAnsi"/>
          <w:sz w:val="22"/>
          <w:szCs w:val="22"/>
        </w:rPr>
        <w:t xml:space="preserve">ted from </w:t>
      </w:r>
      <w:r w:rsidR="00B40062" w:rsidRPr="008277C2">
        <w:rPr>
          <w:rFonts w:asciiTheme="minorHAnsi" w:hAnsiTheme="minorHAnsi"/>
          <w:sz w:val="22"/>
          <w:szCs w:val="22"/>
        </w:rPr>
        <w:t>favourable sports results</w:t>
      </w:r>
      <w:r w:rsidR="00DA5234">
        <w:rPr>
          <w:rFonts w:asciiTheme="minorHAnsi" w:hAnsiTheme="minorHAnsi"/>
          <w:sz w:val="22"/>
          <w:szCs w:val="22"/>
        </w:rPr>
        <w:t xml:space="preserve"> </w:t>
      </w:r>
      <w:r w:rsidR="0003050B">
        <w:rPr>
          <w:rFonts w:asciiTheme="minorHAnsi" w:hAnsiTheme="minorHAnsi"/>
          <w:sz w:val="22"/>
          <w:szCs w:val="22"/>
        </w:rPr>
        <w:t>with</w:t>
      </w:r>
      <w:r w:rsidR="00DA5234">
        <w:rPr>
          <w:rFonts w:asciiTheme="minorHAnsi" w:hAnsiTheme="minorHAnsi"/>
          <w:sz w:val="22"/>
          <w:szCs w:val="22"/>
        </w:rPr>
        <w:t xml:space="preserve"> </w:t>
      </w:r>
      <w:r w:rsidR="00B64D8C">
        <w:rPr>
          <w:rFonts w:asciiTheme="minorHAnsi" w:hAnsiTheme="minorHAnsi"/>
          <w:sz w:val="22"/>
          <w:szCs w:val="22"/>
        </w:rPr>
        <w:t xml:space="preserve">actual margin </w:t>
      </w:r>
      <w:r w:rsidR="003F718F">
        <w:rPr>
          <w:rFonts w:asciiTheme="minorHAnsi" w:hAnsiTheme="minorHAnsi"/>
          <w:sz w:val="22"/>
          <w:szCs w:val="22"/>
        </w:rPr>
        <w:t>70bps</w:t>
      </w:r>
      <w:r w:rsidR="0003050B">
        <w:rPr>
          <w:rFonts w:asciiTheme="minorHAnsi" w:hAnsiTheme="minorHAnsi"/>
          <w:sz w:val="22"/>
          <w:szCs w:val="22"/>
        </w:rPr>
        <w:t xml:space="preserve"> higher than expected margin</w:t>
      </w:r>
      <w:r w:rsidRPr="008277C2">
        <w:rPr>
          <w:rFonts w:asciiTheme="minorHAnsi" w:hAnsiTheme="minorHAnsi"/>
          <w:sz w:val="22"/>
          <w:szCs w:val="22"/>
        </w:rPr>
        <w:t>.</w:t>
      </w:r>
      <w:r w:rsidR="004F2332">
        <w:rPr>
          <w:rFonts w:asciiTheme="minorHAnsi" w:hAnsiTheme="minorHAnsi"/>
          <w:sz w:val="22"/>
          <w:szCs w:val="22"/>
        </w:rPr>
        <w:t xml:space="preserve"> </w:t>
      </w:r>
    </w:p>
    <w:p w14:paraId="17E49C0B" w14:textId="1F620E4C" w:rsidR="00B40062" w:rsidRPr="008277C2" w:rsidRDefault="008D4E09" w:rsidP="008D4E09">
      <w:pPr>
        <w:spacing w:after="120"/>
        <w:jc w:val="both"/>
        <w:rPr>
          <w:rFonts w:asciiTheme="minorHAnsi" w:hAnsiTheme="minorHAnsi"/>
          <w:sz w:val="22"/>
          <w:szCs w:val="22"/>
        </w:rPr>
      </w:pPr>
      <w:r w:rsidRPr="008277C2">
        <w:rPr>
          <w:rFonts w:asciiTheme="minorHAnsi" w:hAnsiTheme="minorHAnsi"/>
          <w:sz w:val="22"/>
          <w:szCs w:val="22"/>
        </w:rPr>
        <w:t>Exchange and B2B revenues were down 5% with market switch offs</w:t>
      </w:r>
      <w:r w:rsidR="00B40062" w:rsidRPr="008277C2">
        <w:rPr>
          <w:rFonts w:asciiTheme="minorHAnsi" w:hAnsiTheme="minorHAnsi"/>
          <w:sz w:val="22"/>
          <w:szCs w:val="22"/>
        </w:rPr>
        <w:t xml:space="preserve"> having a </w:t>
      </w:r>
      <w:r w:rsidR="00444932" w:rsidRPr="008277C2">
        <w:rPr>
          <w:rFonts w:asciiTheme="minorHAnsi" w:hAnsiTheme="minorHAnsi"/>
          <w:sz w:val="22"/>
          <w:szCs w:val="22"/>
        </w:rPr>
        <w:t>material</w:t>
      </w:r>
      <w:r w:rsidR="00B40062" w:rsidRPr="008277C2">
        <w:rPr>
          <w:rFonts w:asciiTheme="minorHAnsi" w:hAnsiTheme="minorHAnsi"/>
          <w:sz w:val="22"/>
          <w:szCs w:val="22"/>
        </w:rPr>
        <w:t xml:space="preserve"> impact</w:t>
      </w:r>
      <w:r w:rsidRPr="008277C2">
        <w:rPr>
          <w:rFonts w:asciiTheme="minorHAnsi" w:hAnsiTheme="minorHAnsi"/>
          <w:sz w:val="22"/>
          <w:szCs w:val="22"/>
        </w:rPr>
        <w:t>. Adjusting for switch offs and World Cup, Exchange and B2B revenues were up 1%.</w:t>
      </w:r>
    </w:p>
    <w:p w14:paraId="38430FD0" w14:textId="435640DE" w:rsidR="00B40062" w:rsidRPr="008277C2" w:rsidRDefault="00B40062" w:rsidP="00B40062">
      <w:pPr>
        <w:spacing w:after="120"/>
        <w:jc w:val="both"/>
        <w:rPr>
          <w:rFonts w:asciiTheme="minorHAnsi" w:hAnsiTheme="minorHAnsi"/>
          <w:sz w:val="22"/>
          <w:szCs w:val="22"/>
        </w:rPr>
      </w:pPr>
      <w:r w:rsidRPr="008277C2">
        <w:rPr>
          <w:rFonts w:asciiTheme="minorHAnsi" w:hAnsiTheme="minorHAnsi"/>
          <w:sz w:val="22"/>
          <w:szCs w:val="22"/>
        </w:rPr>
        <w:t>Gaming revenue</w:t>
      </w:r>
      <w:r w:rsidR="00E80C2B" w:rsidRPr="008277C2">
        <w:rPr>
          <w:rFonts w:asciiTheme="minorHAnsi" w:hAnsiTheme="minorHAnsi"/>
          <w:sz w:val="22"/>
          <w:szCs w:val="22"/>
        </w:rPr>
        <w:t xml:space="preserve">s grew </w:t>
      </w:r>
      <w:r w:rsidR="00BF741D" w:rsidRPr="008277C2">
        <w:rPr>
          <w:rFonts w:asciiTheme="minorHAnsi" w:hAnsiTheme="minorHAnsi"/>
          <w:sz w:val="22"/>
          <w:szCs w:val="22"/>
        </w:rPr>
        <w:t>26</w:t>
      </w:r>
      <w:r w:rsidR="00E80C2B" w:rsidRPr="008277C2">
        <w:rPr>
          <w:rFonts w:asciiTheme="minorHAnsi" w:hAnsiTheme="minorHAnsi"/>
          <w:sz w:val="22"/>
          <w:szCs w:val="22"/>
        </w:rPr>
        <w:t xml:space="preserve">%, </w:t>
      </w:r>
      <w:r w:rsidRPr="008277C2">
        <w:rPr>
          <w:rFonts w:asciiTheme="minorHAnsi" w:hAnsiTheme="minorHAnsi"/>
          <w:sz w:val="22"/>
          <w:szCs w:val="22"/>
        </w:rPr>
        <w:t>reflect</w:t>
      </w:r>
      <w:r w:rsidR="00E80C2B" w:rsidRPr="008277C2">
        <w:rPr>
          <w:rFonts w:asciiTheme="minorHAnsi" w:hAnsiTheme="minorHAnsi"/>
          <w:sz w:val="22"/>
          <w:szCs w:val="22"/>
        </w:rPr>
        <w:t>ing</w:t>
      </w:r>
      <w:r w:rsidRPr="008277C2">
        <w:rPr>
          <w:rFonts w:asciiTheme="minorHAnsi" w:hAnsiTheme="minorHAnsi"/>
          <w:sz w:val="22"/>
          <w:szCs w:val="22"/>
        </w:rPr>
        <w:t xml:space="preserve"> the strong performance of Adjarabet. Gaming momentum in Paddy </w:t>
      </w:r>
      <w:r w:rsidRPr="008277C2">
        <w:rPr>
          <w:rFonts w:asciiTheme="minorHAnsi" w:hAnsiTheme="minorHAnsi"/>
          <w:sz w:val="22"/>
          <w:szCs w:val="22"/>
        </w:rPr>
        <w:lastRenderedPageBreak/>
        <w:t xml:space="preserve">Power </w:t>
      </w:r>
      <w:r w:rsidR="00BF741D" w:rsidRPr="008277C2">
        <w:rPr>
          <w:rFonts w:asciiTheme="minorHAnsi" w:hAnsiTheme="minorHAnsi"/>
          <w:sz w:val="22"/>
          <w:szCs w:val="22"/>
        </w:rPr>
        <w:t xml:space="preserve">also </w:t>
      </w:r>
      <w:r w:rsidRPr="008277C2">
        <w:rPr>
          <w:rFonts w:asciiTheme="minorHAnsi" w:hAnsiTheme="minorHAnsi"/>
          <w:sz w:val="22"/>
          <w:szCs w:val="22"/>
        </w:rPr>
        <w:t>continue</w:t>
      </w:r>
      <w:r w:rsidR="00BF741D" w:rsidRPr="008277C2">
        <w:rPr>
          <w:rFonts w:asciiTheme="minorHAnsi" w:hAnsiTheme="minorHAnsi"/>
          <w:sz w:val="22"/>
          <w:szCs w:val="22"/>
        </w:rPr>
        <w:t>d</w:t>
      </w:r>
      <w:r w:rsidRPr="008277C2">
        <w:rPr>
          <w:rFonts w:asciiTheme="minorHAnsi" w:hAnsiTheme="minorHAnsi"/>
          <w:sz w:val="22"/>
          <w:szCs w:val="22"/>
        </w:rPr>
        <w:t xml:space="preserve"> to be strong with</w:t>
      </w:r>
      <w:r w:rsidR="0022586C" w:rsidRPr="008277C2">
        <w:rPr>
          <w:rFonts w:asciiTheme="minorHAnsi" w:hAnsiTheme="minorHAnsi"/>
          <w:sz w:val="22"/>
          <w:szCs w:val="22"/>
        </w:rPr>
        <w:t xml:space="preserve"> increased </w:t>
      </w:r>
      <w:r w:rsidR="0024381D">
        <w:rPr>
          <w:rFonts w:asciiTheme="minorHAnsi" w:hAnsiTheme="minorHAnsi"/>
          <w:sz w:val="22"/>
          <w:szCs w:val="22"/>
        </w:rPr>
        <w:t xml:space="preserve">customer </w:t>
      </w:r>
      <w:r w:rsidR="0022586C" w:rsidRPr="008277C2">
        <w:rPr>
          <w:rFonts w:asciiTheme="minorHAnsi" w:hAnsiTheme="minorHAnsi"/>
          <w:sz w:val="22"/>
          <w:szCs w:val="22"/>
        </w:rPr>
        <w:t xml:space="preserve">acquisition following the launch of our </w:t>
      </w:r>
      <w:r w:rsidR="00295B6A">
        <w:rPr>
          <w:rFonts w:asciiTheme="minorHAnsi" w:hAnsiTheme="minorHAnsi"/>
          <w:sz w:val="22"/>
          <w:szCs w:val="22"/>
        </w:rPr>
        <w:t>“Don’t think you’re special”</w:t>
      </w:r>
      <w:r w:rsidR="0022586C" w:rsidRPr="008277C2">
        <w:rPr>
          <w:rFonts w:asciiTheme="minorHAnsi" w:hAnsiTheme="minorHAnsi"/>
          <w:sz w:val="22"/>
          <w:szCs w:val="22"/>
        </w:rPr>
        <w:t xml:space="preserve"> campaign</w:t>
      </w:r>
      <w:r w:rsidRPr="008277C2">
        <w:rPr>
          <w:rFonts w:asciiTheme="minorHAnsi" w:hAnsiTheme="minorHAnsi"/>
          <w:sz w:val="22"/>
          <w:szCs w:val="22"/>
        </w:rPr>
        <w:t xml:space="preserve">. </w:t>
      </w:r>
      <w:r w:rsidR="00413D81">
        <w:rPr>
          <w:rFonts w:asciiTheme="minorHAnsi" w:hAnsiTheme="minorHAnsi"/>
          <w:sz w:val="22"/>
          <w:szCs w:val="22"/>
        </w:rPr>
        <w:t>Combined g</w:t>
      </w:r>
      <w:r w:rsidR="00413D81" w:rsidRPr="008277C2">
        <w:rPr>
          <w:rFonts w:asciiTheme="minorHAnsi" w:hAnsiTheme="minorHAnsi"/>
          <w:sz w:val="22"/>
          <w:szCs w:val="22"/>
        </w:rPr>
        <w:t xml:space="preserve">aming </w:t>
      </w:r>
      <w:r w:rsidRPr="008277C2">
        <w:rPr>
          <w:rFonts w:asciiTheme="minorHAnsi" w:hAnsiTheme="minorHAnsi"/>
          <w:sz w:val="22"/>
          <w:szCs w:val="22"/>
        </w:rPr>
        <w:t xml:space="preserve">actives across Paddy Power and Betfair were up 14% during the year. </w:t>
      </w:r>
      <w:r w:rsidR="00B64D8C">
        <w:rPr>
          <w:rFonts w:asciiTheme="minorHAnsi" w:hAnsiTheme="minorHAnsi"/>
          <w:sz w:val="22"/>
          <w:szCs w:val="22"/>
        </w:rPr>
        <w:t>O</w:t>
      </w:r>
      <w:r w:rsidRPr="008277C2">
        <w:rPr>
          <w:rFonts w:asciiTheme="minorHAnsi" w:hAnsiTheme="minorHAnsi"/>
          <w:sz w:val="22"/>
          <w:szCs w:val="22"/>
        </w:rPr>
        <w:t xml:space="preserve">ur increased focus on responsible gambling </w:t>
      </w:r>
      <w:r w:rsidR="00B64D8C">
        <w:rPr>
          <w:rFonts w:asciiTheme="minorHAnsi" w:hAnsiTheme="minorHAnsi"/>
          <w:sz w:val="22"/>
          <w:szCs w:val="22"/>
        </w:rPr>
        <w:t xml:space="preserve">is building </w:t>
      </w:r>
      <w:r w:rsidR="00D074AC">
        <w:rPr>
          <w:rFonts w:asciiTheme="minorHAnsi" w:hAnsiTheme="minorHAnsi"/>
          <w:sz w:val="22"/>
          <w:szCs w:val="22"/>
        </w:rPr>
        <w:t xml:space="preserve">a </w:t>
      </w:r>
      <w:r w:rsidR="00B64D8C">
        <w:rPr>
          <w:rFonts w:asciiTheme="minorHAnsi" w:hAnsiTheme="minorHAnsi"/>
          <w:sz w:val="22"/>
          <w:szCs w:val="22"/>
        </w:rPr>
        <w:t>more sustainable revenue</w:t>
      </w:r>
      <w:r w:rsidR="00D074AC">
        <w:rPr>
          <w:rFonts w:asciiTheme="minorHAnsi" w:hAnsiTheme="minorHAnsi"/>
          <w:sz w:val="22"/>
          <w:szCs w:val="22"/>
        </w:rPr>
        <w:t xml:space="preserve"> base</w:t>
      </w:r>
      <w:r w:rsidR="00B17B33">
        <w:rPr>
          <w:rFonts w:asciiTheme="minorHAnsi" w:hAnsiTheme="minorHAnsi"/>
          <w:sz w:val="22"/>
          <w:szCs w:val="22"/>
        </w:rPr>
        <w:t>,</w:t>
      </w:r>
      <w:r w:rsidR="00B64D8C">
        <w:rPr>
          <w:rFonts w:asciiTheme="minorHAnsi" w:hAnsiTheme="minorHAnsi"/>
          <w:sz w:val="22"/>
          <w:szCs w:val="22"/>
        </w:rPr>
        <w:t xml:space="preserve"> </w:t>
      </w:r>
      <w:r w:rsidR="00D074AC">
        <w:rPr>
          <w:rFonts w:asciiTheme="minorHAnsi" w:hAnsiTheme="minorHAnsi"/>
          <w:sz w:val="22"/>
          <w:szCs w:val="22"/>
        </w:rPr>
        <w:t xml:space="preserve">though this </w:t>
      </w:r>
      <w:r w:rsidR="00B64D8C">
        <w:rPr>
          <w:rFonts w:asciiTheme="minorHAnsi" w:hAnsiTheme="minorHAnsi"/>
          <w:sz w:val="22"/>
          <w:szCs w:val="22"/>
        </w:rPr>
        <w:t>clearly reduces revenues</w:t>
      </w:r>
      <w:r w:rsidR="00BF741D" w:rsidRPr="008277C2">
        <w:rPr>
          <w:rFonts w:asciiTheme="minorHAnsi" w:hAnsiTheme="minorHAnsi"/>
          <w:sz w:val="22"/>
          <w:szCs w:val="22"/>
        </w:rPr>
        <w:t xml:space="preserve"> </w:t>
      </w:r>
      <w:r w:rsidRPr="008277C2">
        <w:rPr>
          <w:rFonts w:asciiTheme="minorHAnsi" w:hAnsiTheme="minorHAnsi"/>
          <w:sz w:val="22"/>
          <w:szCs w:val="22"/>
        </w:rPr>
        <w:t xml:space="preserve">in the short term as higher value customers </w:t>
      </w:r>
      <w:r w:rsidR="00020CCE">
        <w:rPr>
          <w:rFonts w:asciiTheme="minorHAnsi" w:hAnsiTheme="minorHAnsi"/>
          <w:sz w:val="22"/>
          <w:szCs w:val="22"/>
        </w:rPr>
        <w:t>are replaced with lower spending recreational customers</w:t>
      </w:r>
      <w:r w:rsidRPr="008277C2">
        <w:rPr>
          <w:rFonts w:asciiTheme="minorHAnsi" w:hAnsiTheme="minorHAnsi"/>
          <w:sz w:val="22"/>
          <w:szCs w:val="22"/>
        </w:rPr>
        <w:t xml:space="preserve">.  </w:t>
      </w:r>
    </w:p>
    <w:p w14:paraId="252C130D" w14:textId="1021D7BD" w:rsidR="00BF741D" w:rsidRPr="008277C2" w:rsidRDefault="00A4573F" w:rsidP="00A4573F">
      <w:pPr>
        <w:spacing w:after="120"/>
        <w:jc w:val="both"/>
        <w:rPr>
          <w:rFonts w:asciiTheme="minorHAnsi" w:hAnsiTheme="minorHAnsi"/>
          <w:sz w:val="22"/>
          <w:szCs w:val="22"/>
        </w:rPr>
      </w:pPr>
      <w:r w:rsidRPr="008277C2">
        <w:rPr>
          <w:rFonts w:asciiTheme="minorHAnsi" w:hAnsiTheme="minorHAnsi"/>
          <w:sz w:val="22"/>
          <w:szCs w:val="22"/>
        </w:rPr>
        <w:t xml:space="preserve">Cost of sales were </w:t>
      </w:r>
      <w:r w:rsidR="0082583F" w:rsidRPr="008277C2">
        <w:rPr>
          <w:rFonts w:asciiTheme="minorHAnsi" w:hAnsiTheme="minorHAnsi"/>
          <w:sz w:val="22"/>
          <w:szCs w:val="22"/>
        </w:rPr>
        <w:t xml:space="preserve">primarily </w:t>
      </w:r>
      <w:r w:rsidRPr="008277C2">
        <w:rPr>
          <w:rFonts w:asciiTheme="minorHAnsi" w:hAnsiTheme="minorHAnsi"/>
          <w:sz w:val="22"/>
          <w:szCs w:val="22"/>
        </w:rPr>
        <w:t xml:space="preserve">adversely affected by the </w:t>
      </w:r>
      <w:r w:rsidR="00FC4852" w:rsidRPr="008277C2">
        <w:rPr>
          <w:rFonts w:asciiTheme="minorHAnsi" w:hAnsiTheme="minorHAnsi"/>
          <w:sz w:val="22"/>
          <w:szCs w:val="22"/>
        </w:rPr>
        <w:t xml:space="preserve">year-on-year increase </w:t>
      </w:r>
      <w:r w:rsidRPr="008277C2">
        <w:rPr>
          <w:rFonts w:asciiTheme="minorHAnsi" w:hAnsiTheme="minorHAnsi"/>
          <w:sz w:val="22"/>
          <w:szCs w:val="22"/>
        </w:rPr>
        <w:t>in Irish betting duty and UK remote gaming duty</w:t>
      </w:r>
      <w:r w:rsidR="00D074AC">
        <w:rPr>
          <w:rFonts w:asciiTheme="minorHAnsi" w:hAnsiTheme="minorHAnsi"/>
          <w:sz w:val="22"/>
          <w:szCs w:val="22"/>
        </w:rPr>
        <w:t xml:space="preserve">, which cost an incremental </w:t>
      </w:r>
      <w:r w:rsidR="00FC4852" w:rsidRPr="008277C2">
        <w:rPr>
          <w:rFonts w:asciiTheme="minorHAnsi" w:hAnsiTheme="minorHAnsi"/>
          <w:sz w:val="22"/>
          <w:szCs w:val="22"/>
        </w:rPr>
        <w:t>£</w:t>
      </w:r>
      <w:r w:rsidR="00A23D46" w:rsidRPr="008277C2">
        <w:rPr>
          <w:rFonts w:asciiTheme="minorHAnsi" w:hAnsiTheme="minorHAnsi"/>
          <w:sz w:val="22"/>
          <w:szCs w:val="22"/>
        </w:rPr>
        <w:t>2</w:t>
      </w:r>
      <w:r w:rsidR="00A23D46">
        <w:rPr>
          <w:rFonts w:asciiTheme="minorHAnsi" w:hAnsiTheme="minorHAnsi"/>
          <w:sz w:val="22"/>
          <w:szCs w:val="22"/>
        </w:rPr>
        <w:t>3</w:t>
      </w:r>
      <w:r w:rsidR="00A23D46" w:rsidRPr="008277C2">
        <w:rPr>
          <w:rFonts w:asciiTheme="minorHAnsi" w:hAnsiTheme="minorHAnsi"/>
          <w:sz w:val="22"/>
          <w:szCs w:val="22"/>
        </w:rPr>
        <w:t>m</w:t>
      </w:r>
      <w:r w:rsidR="00FC4852" w:rsidRPr="008277C2">
        <w:rPr>
          <w:rFonts w:asciiTheme="minorHAnsi" w:hAnsiTheme="minorHAnsi"/>
          <w:sz w:val="22"/>
          <w:szCs w:val="22"/>
        </w:rPr>
        <w:t>.</w:t>
      </w:r>
      <w:r w:rsidR="00E24A59">
        <w:rPr>
          <w:rFonts w:asciiTheme="minorHAnsi" w:hAnsiTheme="minorHAnsi"/>
          <w:sz w:val="22"/>
          <w:szCs w:val="22"/>
        </w:rPr>
        <w:t xml:space="preserve"> </w:t>
      </w:r>
    </w:p>
    <w:p w14:paraId="46BAB462" w14:textId="758CBCAB" w:rsidR="00A4573F" w:rsidRPr="008277C2" w:rsidRDefault="005654BD" w:rsidP="00A4573F">
      <w:pPr>
        <w:spacing w:after="120"/>
        <w:jc w:val="both"/>
        <w:rPr>
          <w:rFonts w:asciiTheme="minorHAnsi" w:hAnsiTheme="minorHAnsi"/>
          <w:sz w:val="22"/>
          <w:szCs w:val="22"/>
        </w:rPr>
      </w:pPr>
      <w:r>
        <w:rPr>
          <w:rFonts w:asciiTheme="minorHAnsi" w:hAnsiTheme="minorHAnsi"/>
          <w:sz w:val="22"/>
          <w:szCs w:val="22"/>
        </w:rPr>
        <w:t xml:space="preserve">Sales and marketing </w:t>
      </w:r>
      <w:r w:rsidR="00695E69">
        <w:rPr>
          <w:rFonts w:asciiTheme="minorHAnsi" w:hAnsiTheme="minorHAnsi"/>
          <w:sz w:val="22"/>
          <w:szCs w:val="22"/>
        </w:rPr>
        <w:t>costs</w:t>
      </w:r>
      <w:r>
        <w:rPr>
          <w:rFonts w:asciiTheme="minorHAnsi" w:hAnsiTheme="minorHAnsi"/>
          <w:sz w:val="22"/>
          <w:szCs w:val="22"/>
        </w:rPr>
        <w:t xml:space="preserve"> reduced during 2019 due to World Cup spend in the prior year. </w:t>
      </w:r>
      <w:r w:rsidR="00EB0124">
        <w:rPr>
          <w:rFonts w:asciiTheme="minorHAnsi" w:hAnsiTheme="minorHAnsi"/>
          <w:sz w:val="22"/>
          <w:szCs w:val="22"/>
        </w:rPr>
        <w:t>Other</w:t>
      </w:r>
      <w:r w:rsidR="00EB0124" w:rsidRPr="008277C2">
        <w:rPr>
          <w:rFonts w:asciiTheme="minorHAnsi" w:hAnsiTheme="minorHAnsi"/>
          <w:sz w:val="22"/>
          <w:szCs w:val="22"/>
        </w:rPr>
        <w:t xml:space="preserve"> </w:t>
      </w:r>
      <w:r w:rsidR="00A4573F" w:rsidRPr="008277C2">
        <w:rPr>
          <w:rFonts w:asciiTheme="minorHAnsi" w:hAnsiTheme="minorHAnsi"/>
          <w:sz w:val="22"/>
          <w:szCs w:val="22"/>
        </w:rPr>
        <w:t xml:space="preserve">operating costs increased by </w:t>
      </w:r>
      <w:r w:rsidR="00EB0124">
        <w:rPr>
          <w:rFonts w:asciiTheme="minorHAnsi" w:hAnsiTheme="minorHAnsi"/>
          <w:sz w:val="22"/>
          <w:szCs w:val="22"/>
        </w:rPr>
        <w:t>11</w:t>
      </w:r>
      <w:r w:rsidR="00A4573F" w:rsidRPr="008277C2">
        <w:rPr>
          <w:rFonts w:asciiTheme="minorHAnsi" w:hAnsiTheme="minorHAnsi"/>
          <w:sz w:val="22"/>
          <w:szCs w:val="22"/>
        </w:rPr>
        <w:t xml:space="preserve">%, reflecting increased investment in product and technology during the year and the addition of Adjarabet </w:t>
      </w:r>
      <w:r w:rsidR="00BF741D" w:rsidRPr="008277C2">
        <w:rPr>
          <w:rFonts w:asciiTheme="minorHAnsi" w:hAnsiTheme="minorHAnsi"/>
          <w:sz w:val="22"/>
          <w:szCs w:val="22"/>
        </w:rPr>
        <w:t xml:space="preserve">within </w:t>
      </w:r>
      <w:r w:rsidR="00A4573F" w:rsidRPr="008277C2">
        <w:rPr>
          <w:rFonts w:asciiTheme="minorHAnsi" w:hAnsiTheme="minorHAnsi"/>
          <w:sz w:val="22"/>
          <w:szCs w:val="22"/>
        </w:rPr>
        <w:t>the Online division.</w:t>
      </w:r>
      <w:r w:rsidR="00FA7E78">
        <w:rPr>
          <w:rFonts w:asciiTheme="minorHAnsi" w:hAnsiTheme="minorHAnsi"/>
          <w:sz w:val="22"/>
          <w:szCs w:val="22"/>
        </w:rPr>
        <w:t xml:space="preserve"> </w:t>
      </w:r>
    </w:p>
    <w:p w14:paraId="3A5A4FB7" w14:textId="02A322D6" w:rsidR="002678F9" w:rsidRPr="008277C2" w:rsidRDefault="00141B12" w:rsidP="00324B39">
      <w:pPr>
        <w:spacing w:after="120"/>
        <w:jc w:val="both"/>
        <w:rPr>
          <w:rFonts w:asciiTheme="minorHAnsi" w:hAnsiTheme="minorHAnsi"/>
          <w:b/>
          <w:sz w:val="22"/>
          <w:szCs w:val="22"/>
        </w:rPr>
      </w:pPr>
      <w:r w:rsidRPr="008277C2">
        <w:rPr>
          <w:rFonts w:asciiTheme="minorHAnsi" w:hAnsiTheme="minorHAnsi"/>
          <w:sz w:val="22"/>
          <w:szCs w:val="22"/>
        </w:rPr>
        <w:t>Underlying EBITDA</w:t>
      </w:r>
      <w:r w:rsidR="003D5E9F" w:rsidRPr="000C7A56">
        <w:rPr>
          <w:rFonts w:asciiTheme="minorHAnsi" w:hAnsiTheme="minorHAnsi"/>
          <w:sz w:val="18"/>
          <w:szCs w:val="18"/>
          <w:vertAlign w:val="superscript"/>
        </w:rPr>
        <w:t>1,2</w:t>
      </w:r>
      <w:r w:rsidRPr="008277C2">
        <w:rPr>
          <w:rFonts w:asciiTheme="minorHAnsi" w:hAnsiTheme="minorHAnsi"/>
          <w:sz w:val="22"/>
          <w:szCs w:val="22"/>
        </w:rPr>
        <w:t xml:space="preserve"> reduced by </w:t>
      </w:r>
      <w:r w:rsidR="00D074AC">
        <w:rPr>
          <w:rFonts w:asciiTheme="minorHAnsi" w:hAnsiTheme="minorHAnsi"/>
          <w:sz w:val="22"/>
          <w:szCs w:val="22"/>
        </w:rPr>
        <w:t xml:space="preserve">just </w:t>
      </w:r>
      <w:r w:rsidRPr="008277C2">
        <w:rPr>
          <w:rFonts w:asciiTheme="minorHAnsi" w:hAnsiTheme="minorHAnsi"/>
          <w:sz w:val="22"/>
          <w:szCs w:val="22"/>
        </w:rPr>
        <w:t>3% to £30</w:t>
      </w:r>
      <w:r w:rsidR="002C138B">
        <w:rPr>
          <w:rFonts w:asciiTheme="minorHAnsi" w:hAnsiTheme="minorHAnsi"/>
          <w:sz w:val="22"/>
          <w:szCs w:val="22"/>
        </w:rPr>
        <w:t>7</w:t>
      </w:r>
      <w:r w:rsidRPr="008277C2">
        <w:rPr>
          <w:rFonts w:asciiTheme="minorHAnsi" w:hAnsiTheme="minorHAnsi"/>
          <w:sz w:val="22"/>
          <w:szCs w:val="22"/>
        </w:rPr>
        <w:t xml:space="preserve">m </w:t>
      </w:r>
      <w:r w:rsidR="00D074AC">
        <w:rPr>
          <w:rFonts w:asciiTheme="minorHAnsi" w:hAnsiTheme="minorHAnsi"/>
          <w:sz w:val="22"/>
          <w:szCs w:val="22"/>
        </w:rPr>
        <w:t xml:space="preserve">despite the </w:t>
      </w:r>
      <w:r w:rsidRPr="008277C2">
        <w:rPr>
          <w:rFonts w:asciiTheme="minorHAnsi" w:hAnsiTheme="minorHAnsi"/>
          <w:sz w:val="22"/>
          <w:szCs w:val="22"/>
        </w:rPr>
        <w:t xml:space="preserve">material tax and regulatory </w:t>
      </w:r>
      <w:r w:rsidR="00BE2F18">
        <w:rPr>
          <w:rFonts w:asciiTheme="minorHAnsi" w:hAnsiTheme="minorHAnsi"/>
          <w:sz w:val="22"/>
          <w:szCs w:val="22"/>
        </w:rPr>
        <w:t xml:space="preserve">changes </w:t>
      </w:r>
      <w:r w:rsidR="00E24A59">
        <w:rPr>
          <w:rFonts w:asciiTheme="minorHAnsi" w:hAnsiTheme="minorHAnsi"/>
          <w:sz w:val="22"/>
          <w:szCs w:val="22"/>
        </w:rPr>
        <w:t>, equating to an EBITD</w:t>
      </w:r>
      <w:r w:rsidR="003D5E9F">
        <w:rPr>
          <w:rFonts w:asciiTheme="minorHAnsi" w:hAnsiTheme="minorHAnsi"/>
          <w:sz w:val="22"/>
          <w:szCs w:val="22"/>
        </w:rPr>
        <w:t>A</w:t>
      </w:r>
      <w:r w:rsidR="003D5E9F">
        <w:rPr>
          <w:rFonts w:asciiTheme="minorHAnsi" w:hAnsiTheme="minorHAnsi"/>
          <w:i/>
          <w:sz w:val="18"/>
          <w:szCs w:val="18"/>
          <w:vertAlign w:val="superscript"/>
        </w:rPr>
        <w:t>2</w:t>
      </w:r>
      <w:r w:rsidR="00E24A59">
        <w:rPr>
          <w:rFonts w:asciiTheme="minorHAnsi" w:hAnsiTheme="minorHAnsi"/>
          <w:sz w:val="22"/>
          <w:szCs w:val="22"/>
        </w:rPr>
        <w:t xml:space="preserve"> margin of 30.5% compared to 33.</w:t>
      </w:r>
      <w:r w:rsidR="00695E69">
        <w:rPr>
          <w:rFonts w:asciiTheme="minorHAnsi" w:hAnsiTheme="minorHAnsi"/>
          <w:sz w:val="22"/>
          <w:szCs w:val="22"/>
        </w:rPr>
        <w:t>4</w:t>
      </w:r>
      <w:r w:rsidR="00E24A59">
        <w:rPr>
          <w:rFonts w:asciiTheme="minorHAnsi" w:hAnsiTheme="minorHAnsi"/>
          <w:sz w:val="22"/>
          <w:szCs w:val="22"/>
        </w:rPr>
        <w:t>% in the prior year.</w:t>
      </w:r>
    </w:p>
    <w:p w14:paraId="750DAD66" w14:textId="28C2191E" w:rsidR="00903308" w:rsidRPr="000C7A56" w:rsidRDefault="00903308" w:rsidP="00324B39">
      <w:pPr>
        <w:spacing w:after="120"/>
        <w:jc w:val="both"/>
        <w:rPr>
          <w:rFonts w:asciiTheme="minorHAnsi" w:hAnsiTheme="minorHAnsi"/>
          <w:b/>
          <w:sz w:val="21"/>
        </w:rPr>
      </w:pPr>
    </w:p>
    <w:p w14:paraId="394A5F80" w14:textId="05EB72CF" w:rsidR="00903308" w:rsidRPr="000C7A56" w:rsidRDefault="00903308" w:rsidP="00324B39">
      <w:pPr>
        <w:spacing w:after="120"/>
        <w:jc w:val="both"/>
        <w:rPr>
          <w:rFonts w:asciiTheme="minorHAnsi" w:hAnsiTheme="minorHAnsi"/>
          <w:b/>
          <w:sz w:val="21"/>
        </w:rPr>
      </w:pPr>
    </w:p>
    <w:p w14:paraId="34A02260" w14:textId="77777777" w:rsidR="00F12E99" w:rsidRPr="000C7A56" w:rsidRDefault="00F12E99" w:rsidP="00324B39">
      <w:pPr>
        <w:spacing w:after="120"/>
        <w:jc w:val="both"/>
        <w:rPr>
          <w:rFonts w:asciiTheme="minorHAnsi" w:hAnsiTheme="minorHAnsi"/>
          <w:b/>
          <w:sz w:val="21"/>
        </w:rPr>
      </w:pPr>
    </w:p>
    <w:p w14:paraId="7D09A80A" w14:textId="768081D6" w:rsidR="00903308" w:rsidRDefault="00903308" w:rsidP="00324B39">
      <w:pPr>
        <w:spacing w:after="120"/>
        <w:jc w:val="both"/>
        <w:rPr>
          <w:rFonts w:asciiTheme="minorHAnsi" w:hAnsiTheme="minorHAnsi"/>
          <w:b/>
          <w:sz w:val="22"/>
          <w:szCs w:val="22"/>
        </w:rPr>
      </w:pPr>
    </w:p>
    <w:p w14:paraId="3B01F8D6" w14:textId="55B3FA97" w:rsidR="00903308" w:rsidRDefault="00903308" w:rsidP="00324B39">
      <w:pPr>
        <w:spacing w:after="120"/>
        <w:jc w:val="both"/>
        <w:rPr>
          <w:rFonts w:asciiTheme="minorHAnsi" w:hAnsiTheme="minorHAnsi"/>
          <w:b/>
          <w:sz w:val="22"/>
          <w:szCs w:val="22"/>
        </w:rPr>
      </w:pPr>
    </w:p>
    <w:p w14:paraId="74A14C51" w14:textId="6AF9BAFB" w:rsidR="00903308" w:rsidRDefault="00903308" w:rsidP="00324B39">
      <w:pPr>
        <w:spacing w:after="120"/>
        <w:jc w:val="both"/>
        <w:rPr>
          <w:rFonts w:asciiTheme="minorHAnsi" w:hAnsiTheme="minorHAnsi"/>
          <w:b/>
          <w:sz w:val="22"/>
          <w:szCs w:val="22"/>
        </w:rPr>
      </w:pPr>
    </w:p>
    <w:p w14:paraId="09871D42" w14:textId="1F7A1A03" w:rsidR="00903308" w:rsidRDefault="00903308" w:rsidP="00324B39">
      <w:pPr>
        <w:spacing w:after="120"/>
        <w:jc w:val="both"/>
        <w:rPr>
          <w:rFonts w:asciiTheme="minorHAnsi" w:hAnsiTheme="minorHAnsi"/>
          <w:b/>
          <w:sz w:val="22"/>
          <w:szCs w:val="22"/>
        </w:rPr>
      </w:pPr>
    </w:p>
    <w:p w14:paraId="2A449EF0" w14:textId="2592195B" w:rsidR="00903308" w:rsidRDefault="00903308" w:rsidP="00324B39">
      <w:pPr>
        <w:spacing w:after="120"/>
        <w:jc w:val="both"/>
        <w:rPr>
          <w:rFonts w:asciiTheme="minorHAnsi" w:hAnsiTheme="minorHAnsi"/>
          <w:b/>
          <w:sz w:val="22"/>
          <w:szCs w:val="22"/>
        </w:rPr>
      </w:pPr>
    </w:p>
    <w:p w14:paraId="70E38C6D" w14:textId="40A4691E" w:rsidR="00903308" w:rsidRDefault="00903308" w:rsidP="00324B39">
      <w:pPr>
        <w:spacing w:after="120"/>
        <w:jc w:val="both"/>
        <w:rPr>
          <w:rFonts w:asciiTheme="minorHAnsi" w:hAnsiTheme="minorHAnsi"/>
          <w:b/>
          <w:sz w:val="22"/>
          <w:szCs w:val="22"/>
        </w:rPr>
      </w:pPr>
    </w:p>
    <w:p w14:paraId="7E6188AC" w14:textId="77777777" w:rsidR="00A049E9" w:rsidRDefault="00A049E9" w:rsidP="00324B39">
      <w:pPr>
        <w:spacing w:after="120"/>
        <w:jc w:val="both"/>
        <w:rPr>
          <w:rFonts w:asciiTheme="minorHAnsi" w:hAnsiTheme="minorHAnsi"/>
          <w:b/>
          <w:sz w:val="22"/>
          <w:szCs w:val="22"/>
        </w:rPr>
      </w:pPr>
    </w:p>
    <w:p w14:paraId="61BEB684" w14:textId="6C6CC629" w:rsidR="00903308" w:rsidRDefault="00903308" w:rsidP="00324B39">
      <w:pPr>
        <w:spacing w:after="120"/>
        <w:jc w:val="both"/>
        <w:rPr>
          <w:rFonts w:asciiTheme="minorHAnsi" w:hAnsiTheme="minorHAnsi"/>
          <w:b/>
          <w:sz w:val="22"/>
          <w:szCs w:val="22"/>
        </w:rPr>
      </w:pPr>
    </w:p>
    <w:p w14:paraId="23FAF56D" w14:textId="77D25621" w:rsidR="00903308" w:rsidRDefault="00903308" w:rsidP="00324B39">
      <w:pPr>
        <w:spacing w:after="120"/>
        <w:jc w:val="both"/>
        <w:rPr>
          <w:rFonts w:asciiTheme="minorHAnsi" w:hAnsiTheme="minorHAnsi"/>
          <w:b/>
          <w:sz w:val="22"/>
          <w:szCs w:val="22"/>
        </w:rPr>
      </w:pPr>
    </w:p>
    <w:p w14:paraId="5B3F1B95" w14:textId="77777777" w:rsidR="00D01389" w:rsidRDefault="00D01389" w:rsidP="00324B39">
      <w:pPr>
        <w:spacing w:after="120"/>
        <w:jc w:val="both"/>
        <w:rPr>
          <w:rFonts w:asciiTheme="minorHAnsi" w:hAnsiTheme="minorHAnsi"/>
          <w:b/>
          <w:sz w:val="22"/>
          <w:szCs w:val="22"/>
        </w:rPr>
      </w:pPr>
    </w:p>
    <w:p w14:paraId="1ACE13AC" w14:textId="6ED57CD5" w:rsidR="00903308" w:rsidRDefault="00903308" w:rsidP="00324B39">
      <w:pPr>
        <w:spacing w:after="120"/>
        <w:jc w:val="both"/>
        <w:rPr>
          <w:rFonts w:asciiTheme="minorHAnsi" w:hAnsiTheme="minorHAnsi"/>
          <w:b/>
          <w:sz w:val="22"/>
          <w:szCs w:val="22"/>
        </w:rPr>
      </w:pPr>
    </w:p>
    <w:p w14:paraId="0F22DEEF" w14:textId="47CF2B80" w:rsidR="00903308" w:rsidRDefault="00903308" w:rsidP="00324B39">
      <w:pPr>
        <w:spacing w:after="120"/>
        <w:jc w:val="both"/>
        <w:rPr>
          <w:rFonts w:asciiTheme="minorHAnsi" w:hAnsiTheme="minorHAnsi"/>
          <w:b/>
          <w:sz w:val="22"/>
          <w:szCs w:val="22"/>
        </w:rPr>
      </w:pPr>
    </w:p>
    <w:p w14:paraId="71C49B93" w14:textId="1E913A95" w:rsidR="00903308" w:rsidRDefault="00903308" w:rsidP="00324B39">
      <w:pPr>
        <w:spacing w:after="120"/>
        <w:jc w:val="both"/>
        <w:rPr>
          <w:rFonts w:asciiTheme="minorHAnsi" w:hAnsiTheme="minorHAnsi"/>
          <w:b/>
          <w:sz w:val="22"/>
          <w:szCs w:val="22"/>
        </w:rPr>
      </w:pPr>
    </w:p>
    <w:p w14:paraId="44813A6C" w14:textId="7D478515" w:rsidR="00903308" w:rsidRDefault="00903308" w:rsidP="00324B39">
      <w:pPr>
        <w:spacing w:after="120"/>
        <w:jc w:val="both"/>
        <w:rPr>
          <w:rFonts w:asciiTheme="minorHAnsi" w:hAnsiTheme="minorHAnsi"/>
          <w:b/>
          <w:sz w:val="22"/>
          <w:szCs w:val="22"/>
        </w:rPr>
      </w:pPr>
    </w:p>
    <w:p w14:paraId="3BC972A3" w14:textId="301F1355" w:rsidR="00D67830" w:rsidRDefault="00D67830" w:rsidP="00324B39">
      <w:pPr>
        <w:spacing w:after="120"/>
        <w:jc w:val="both"/>
        <w:rPr>
          <w:rFonts w:asciiTheme="minorHAnsi" w:hAnsiTheme="minorHAnsi"/>
          <w:b/>
          <w:sz w:val="22"/>
          <w:szCs w:val="22"/>
        </w:rPr>
      </w:pPr>
    </w:p>
    <w:p w14:paraId="33356165" w14:textId="77777777" w:rsidR="005654BD" w:rsidRDefault="005654BD" w:rsidP="00324B39">
      <w:pPr>
        <w:spacing w:after="120"/>
        <w:jc w:val="both"/>
        <w:rPr>
          <w:rFonts w:asciiTheme="minorHAnsi" w:hAnsiTheme="minorHAnsi"/>
          <w:b/>
          <w:sz w:val="22"/>
          <w:szCs w:val="22"/>
        </w:rPr>
      </w:pPr>
    </w:p>
    <w:p w14:paraId="3D3742AF" w14:textId="0C060C71" w:rsidR="00903308" w:rsidRDefault="00903308" w:rsidP="00324B39">
      <w:pPr>
        <w:spacing w:after="120"/>
        <w:jc w:val="both"/>
        <w:rPr>
          <w:rFonts w:asciiTheme="minorHAnsi" w:hAnsiTheme="minorHAnsi"/>
          <w:b/>
          <w:sz w:val="22"/>
          <w:szCs w:val="22"/>
        </w:rPr>
      </w:pPr>
    </w:p>
    <w:p w14:paraId="5F180EDC" w14:textId="38FEF686" w:rsidR="00903308" w:rsidRDefault="00903308" w:rsidP="00324B39">
      <w:pPr>
        <w:spacing w:after="120"/>
        <w:jc w:val="both"/>
        <w:rPr>
          <w:rFonts w:asciiTheme="minorHAnsi" w:hAnsiTheme="minorHAnsi"/>
          <w:b/>
          <w:sz w:val="22"/>
          <w:szCs w:val="22"/>
        </w:rPr>
      </w:pPr>
    </w:p>
    <w:p w14:paraId="28443C09" w14:textId="02F574EF" w:rsidR="00903308" w:rsidRDefault="00903308" w:rsidP="00324B39">
      <w:pPr>
        <w:spacing w:after="120"/>
        <w:jc w:val="both"/>
        <w:rPr>
          <w:rFonts w:asciiTheme="minorHAnsi" w:hAnsiTheme="minorHAnsi"/>
          <w:b/>
          <w:sz w:val="22"/>
          <w:szCs w:val="22"/>
        </w:rPr>
      </w:pPr>
    </w:p>
    <w:p w14:paraId="1D939472" w14:textId="77777777" w:rsidR="006F15A9" w:rsidRDefault="006F15A9" w:rsidP="00324B39">
      <w:pPr>
        <w:spacing w:after="120"/>
        <w:jc w:val="both"/>
        <w:rPr>
          <w:rFonts w:asciiTheme="minorHAnsi" w:hAnsiTheme="minorHAnsi"/>
          <w:b/>
          <w:sz w:val="22"/>
          <w:szCs w:val="22"/>
        </w:rPr>
      </w:pPr>
    </w:p>
    <w:p w14:paraId="4BAAD25A" w14:textId="7354B596" w:rsidR="00903308" w:rsidRDefault="00903308" w:rsidP="00324B39">
      <w:pPr>
        <w:spacing w:after="120"/>
        <w:jc w:val="both"/>
        <w:rPr>
          <w:rFonts w:asciiTheme="minorHAnsi" w:hAnsiTheme="minorHAnsi"/>
          <w:b/>
          <w:sz w:val="22"/>
          <w:szCs w:val="22"/>
        </w:rPr>
      </w:pPr>
    </w:p>
    <w:p w14:paraId="13C7351B" w14:textId="5C4CF8CA" w:rsidR="00903308" w:rsidRDefault="00903308" w:rsidP="00324B39">
      <w:pPr>
        <w:spacing w:after="120"/>
        <w:jc w:val="both"/>
        <w:rPr>
          <w:rFonts w:asciiTheme="minorHAnsi" w:hAnsiTheme="minorHAnsi"/>
          <w:b/>
          <w:sz w:val="22"/>
          <w:szCs w:val="22"/>
        </w:rPr>
      </w:pPr>
    </w:p>
    <w:p w14:paraId="304E155B" w14:textId="10298AD8" w:rsidR="00324B39" w:rsidRPr="00802DE3" w:rsidRDefault="00324B39" w:rsidP="00324B39">
      <w:pPr>
        <w:spacing w:after="120"/>
        <w:jc w:val="both"/>
        <w:rPr>
          <w:rFonts w:asciiTheme="minorHAnsi" w:hAnsiTheme="minorHAnsi"/>
          <w:b/>
          <w:i/>
          <w:sz w:val="22"/>
          <w:szCs w:val="22"/>
        </w:rPr>
      </w:pPr>
      <w:r w:rsidRPr="000D0EFF">
        <w:rPr>
          <w:rFonts w:asciiTheme="minorHAnsi" w:hAnsiTheme="minorHAnsi"/>
          <w:b/>
          <w:sz w:val="22"/>
          <w:szCs w:val="22"/>
        </w:rPr>
        <w:lastRenderedPageBreak/>
        <w:t>Australia</w:t>
      </w:r>
      <w:r>
        <w:rPr>
          <w:rFonts w:asciiTheme="minorHAnsi" w:hAnsiTheme="minorHAnsi"/>
          <w:b/>
          <w:sz w:val="22"/>
          <w:szCs w:val="22"/>
          <w:vertAlign w:val="superscript"/>
        </w:rPr>
        <w:t xml:space="preserve">6  </w:t>
      </w:r>
      <w:r w:rsidRPr="00802DE3">
        <w:rPr>
          <w:rFonts w:asciiTheme="minorHAnsi" w:hAnsiTheme="minorHAnsi"/>
          <w:b/>
          <w:i/>
          <w:sz w:val="22"/>
          <w:szCs w:val="22"/>
        </w:rPr>
        <w:t xml:space="preserve"> </w:t>
      </w:r>
    </w:p>
    <w:tbl>
      <w:tblPr>
        <w:tblW w:w="7230" w:type="dxa"/>
        <w:tblLayout w:type="fixed"/>
        <w:tblCellMar>
          <w:left w:w="57" w:type="dxa"/>
          <w:right w:w="57" w:type="dxa"/>
        </w:tblCellMar>
        <w:tblLook w:val="04A0" w:firstRow="1" w:lastRow="0" w:firstColumn="1" w:lastColumn="0" w:noHBand="0" w:noVBand="1"/>
      </w:tblPr>
      <w:tblGrid>
        <w:gridCol w:w="2977"/>
        <w:gridCol w:w="1063"/>
        <w:gridCol w:w="496"/>
        <w:gridCol w:w="567"/>
        <w:gridCol w:w="709"/>
        <w:gridCol w:w="354"/>
        <w:gridCol w:w="638"/>
        <w:gridCol w:w="426"/>
      </w:tblGrid>
      <w:tr w:rsidR="00324B39" w:rsidRPr="00443C47" w14:paraId="4386094B" w14:textId="77777777" w:rsidTr="002744B0">
        <w:trPr>
          <w:trHeight w:val="615"/>
        </w:trPr>
        <w:tc>
          <w:tcPr>
            <w:tcW w:w="2977" w:type="dxa"/>
            <w:tcBorders>
              <w:top w:val="single" w:sz="4" w:space="0" w:color="auto"/>
              <w:left w:val="single" w:sz="4" w:space="0" w:color="auto"/>
              <w:bottom w:val="single" w:sz="4" w:space="0" w:color="auto"/>
              <w:right w:val="nil"/>
            </w:tcBorders>
          </w:tcPr>
          <w:p w14:paraId="3E960672" w14:textId="77777777" w:rsidR="00324B39" w:rsidRPr="00443C47"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Fonts w:asciiTheme="minorHAnsi" w:hAnsiTheme="minorHAnsi" w:cs="Times New Roman"/>
                <w:b/>
                <w:lang w:eastAsia="en-IE"/>
              </w:rPr>
            </w:pPr>
            <w:r>
              <w:rPr>
                <w:rFonts w:asciiTheme="minorHAnsi" w:hAnsiTheme="minorHAnsi" w:cs="Times New Roman"/>
                <w:b/>
                <w:lang w:eastAsia="en-IE"/>
              </w:rPr>
              <w:t>£m</w:t>
            </w:r>
          </w:p>
          <w:p w14:paraId="34BBDE2F" w14:textId="77777777" w:rsidR="00345AD3" w:rsidRPr="00443C47" w:rsidRDefault="00345AD3" w:rsidP="00345A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Fonts w:asciiTheme="minorHAnsi" w:hAnsiTheme="minorHAnsi" w:cs="Times New Roman"/>
                <w:b/>
                <w:lang w:eastAsia="en-IE"/>
              </w:rPr>
            </w:pPr>
          </w:p>
          <w:p w14:paraId="2E9A12D4" w14:textId="77777777" w:rsidR="00324B39" w:rsidRDefault="00345AD3" w:rsidP="00345A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i/>
                <w:sz w:val="18"/>
                <w:szCs w:val="18"/>
                <w:lang w:eastAsia="en-IE"/>
              </w:rPr>
            </w:pPr>
            <w:r>
              <w:rPr>
                <w:rFonts w:asciiTheme="minorHAnsi" w:hAnsiTheme="minorHAnsi" w:cs="Times New Roman"/>
                <w:i/>
                <w:sz w:val="18"/>
                <w:szCs w:val="18"/>
                <w:lang w:eastAsia="en-IE"/>
              </w:rPr>
              <w:t>Pre IFRS 16</w:t>
            </w:r>
          </w:p>
          <w:p w14:paraId="1C821AB5" w14:textId="513D0FF5" w:rsidR="00345AD3" w:rsidRPr="00220D66" w:rsidRDefault="00345AD3" w:rsidP="00345A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i/>
                <w:sz w:val="18"/>
                <w:szCs w:val="18"/>
                <w:lang w:eastAsia="en-IE"/>
              </w:rPr>
            </w:pPr>
          </w:p>
        </w:tc>
        <w:tc>
          <w:tcPr>
            <w:tcW w:w="1063" w:type="dxa"/>
            <w:tcBorders>
              <w:top w:val="single" w:sz="4" w:space="0" w:color="auto"/>
              <w:left w:val="nil"/>
              <w:bottom w:val="single" w:sz="4" w:space="0" w:color="auto"/>
              <w:right w:val="nil"/>
            </w:tcBorders>
            <w:shd w:val="clear" w:color="auto" w:fill="auto"/>
          </w:tcPr>
          <w:p w14:paraId="46475CAF"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 xml:space="preserve"> </w:t>
            </w:r>
          </w:p>
          <w:p w14:paraId="3ABB71A1" w14:textId="4D64297A"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443C47">
              <w:rPr>
                <w:rFonts w:asciiTheme="minorHAnsi" w:hAnsiTheme="minorHAnsi" w:cs="Times New Roman"/>
                <w:b/>
                <w:lang w:eastAsia="en-IE"/>
              </w:rPr>
              <w:t>201</w:t>
            </w:r>
            <w:r w:rsidR="002B33EA">
              <w:rPr>
                <w:rFonts w:asciiTheme="minorHAnsi" w:hAnsiTheme="minorHAnsi" w:cs="Times New Roman"/>
                <w:b/>
                <w:lang w:eastAsia="en-IE"/>
              </w:rPr>
              <w:t>9</w:t>
            </w:r>
          </w:p>
          <w:p w14:paraId="4402EEFA" w14:textId="77777777" w:rsidR="00324B39" w:rsidRPr="00443C47"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b/>
                <w:lang w:eastAsia="en-IE"/>
              </w:rPr>
              <w:t>£m</w:t>
            </w:r>
          </w:p>
        </w:tc>
        <w:tc>
          <w:tcPr>
            <w:tcW w:w="1063" w:type="dxa"/>
            <w:gridSpan w:val="2"/>
            <w:tcBorders>
              <w:top w:val="single" w:sz="4" w:space="0" w:color="auto"/>
              <w:left w:val="nil"/>
              <w:bottom w:val="single" w:sz="4" w:space="0" w:color="auto"/>
              <w:right w:val="nil"/>
            </w:tcBorders>
            <w:shd w:val="clear" w:color="auto" w:fill="auto"/>
          </w:tcPr>
          <w:p w14:paraId="3F96BD38"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 xml:space="preserve"> </w:t>
            </w:r>
          </w:p>
          <w:p w14:paraId="14E5E35D" w14:textId="728DAC04"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201</w:t>
            </w:r>
            <w:r w:rsidR="002B33EA">
              <w:rPr>
                <w:rFonts w:asciiTheme="minorHAnsi" w:hAnsiTheme="minorHAnsi" w:cs="Times New Roman"/>
                <w:b/>
                <w:lang w:eastAsia="en-IE"/>
              </w:rPr>
              <w:t>8</w:t>
            </w:r>
          </w:p>
          <w:p w14:paraId="52502E57" w14:textId="77777777" w:rsidR="00324B39" w:rsidRPr="00443C47"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b/>
                <w:lang w:eastAsia="en-IE"/>
              </w:rPr>
              <w:t>£m</w:t>
            </w:r>
          </w:p>
        </w:tc>
        <w:tc>
          <w:tcPr>
            <w:tcW w:w="1063" w:type="dxa"/>
            <w:gridSpan w:val="2"/>
            <w:tcBorders>
              <w:top w:val="single" w:sz="4" w:space="0" w:color="auto"/>
              <w:left w:val="nil"/>
              <w:bottom w:val="single" w:sz="4" w:space="0" w:color="auto"/>
              <w:right w:val="nil"/>
            </w:tcBorders>
            <w:shd w:val="clear" w:color="auto" w:fill="auto"/>
          </w:tcPr>
          <w:p w14:paraId="690EAB5A" w14:textId="77777777" w:rsidR="00324B39" w:rsidRPr="00443C47"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443C47">
              <w:rPr>
                <w:rFonts w:asciiTheme="minorHAnsi" w:hAnsiTheme="minorHAnsi" w:cs="Times New Roman"/>
                <w:b/>
                <w:lang w:eastAsia="en-IE"/>
              </w:rPr>
              <w:t>Change</w:t>
            </w:r>
          </w:p>
          <w:p w14:paraId="72D07D2D"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443C47">
              <w:rPr>
                <w:rFonts w:asciiTheme="minorHAnsi" w:hAnsiTheme="minorHAnsi" w:cs="Times New Roman"/>
                <w:b/>
                <w:lang w:eastAsia="en-IE"/>
              </w:rPr>
              <w:t>%</w:t>
            </w:r>
          </w:p>
          <w:p w14:paraId="435F0D40" w14:textId="77777777" w:rsidR="00324B39" w:rsidRPr="00443C47"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w:t>
            </w:r>
          </w:p>
        </w:tc>
        <w:tc>
          <w:tcPr>
            <w:tcW w:w="1064" w:type="dxa"/>
            <w:gridSpan w:val="2"/>
            <w:tcBorders>
              <w:top w:val="single" w:sz="4" w:space="0" w:color="auto"/>
              <w:left w:val="nil"/>
              <w:bottom w:val="single" w:sz="4" w:space="0" w:color="auto"/>
              <w:right w:val="single" w:sz="4" w:space="0" w:color="auto"/>
            </w:tcBorders>
          </w:tcPr>
          <w:p w14:paraId="308C2B4A" w14:textId="77777777" w:rsidR="00324B39" w:rsidRPr="00443C47"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443C47">
              <w:rPr>
                <w:rFonts w:asciiTheme="minorHAnsi" w:hAnsiTheme="minorHAnsi" w:cs="Times New Roman"/>
                <w:b/>
                <w:lang w:eastAsia="en-IE"/>
              </w:rPr>
              <w:t>Change</w:t>
            </w:r>
          </w:p>
          <w:p w14:paraId="0C6583F6"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443C47">
              <w:rPr>
                <w:rFonts w:asciiTheme="minorHAnsi" w:hAnsiTheme="minorHAnsi" w:cs="Times New Roman"/>
                <w:b/>
                <w:lang w:eastAsia="en-IE"/>
              </w:rPr>
              <w:t>%</w:t>
            </w:r>
          </w:p>
          <w:p w14:paraId="2D84322F" w14:textId="77777777" w:rsidR="00324B39" w:rsidRPr="00443C47"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A$</w:t>
            </w:r>
          </w:p>
        </w:tc>
      </w:tr>
      <w:tr w:rsidR="00324B39" w:rsidRPr="00CA2404" w14:paraId="58865184" w14:textId="77777777" w:rsidTr="000C7A56">
        <w:trPr>
          <w:trHeight w:val="70"/>
        </w:trPr>
        <w:tc>
          <w:tcPr>
            <w:tcW w:w="2977" w:type="dxa"/>
            <w:tcBorders>
              <w:top w:val="single" w:sz="4" w:space="0" w:color="auto"/>
              <w:left w:val="single" w:sz="4" w:space="0" w:color="auto"/>
              <w:right w:val="nil"/>
            </w:tcBorders>
          </w:tcPr>
          <w:p w14:paraId="081F6262" w14:textId="77777777" w:rsidR="00324B39" w:rsidRPr="00CA2404"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063" w:type="dxa"/>
            <w:tcBorders>
              <w:top w:val="single" w:sz="4" w:space="0" w:color="auto"/>
              <w:left w:val="nil"/>
              <w:right w:val="nil"/>
            </w:tcBorders>
            <w:shd w:val="clear" w:color="auto" w:fill="auto"/>
          </w:tcPr>
          <w:p w14:paraId="370DFECD" w14:textId="77777777" w:rsidR="00324B39" w:rsidRPr="00CA2404"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sz w:val="6"/>
                <w:szCs w:val="6"/>
                <w:lang w:eastAsia="en-IE"/>
              </w:rPr>
            </w:pPr>
          </w:p>
        </w:tc>
        <w:tc>
          <w:tcPr>
            <w:tcW w:w="1063" w:type="dxa"/>
            <w:gridSpan w:val="2"/>
            <w:tcBorders>
              <w:top w:val="single" w:sz="4" w:space="0" w:color="auto"/>
              <w:left w:val="nil"/>
              <w:right w:val="nil"/>
            </w:tcBorders>
            <w:shd w:val="clear" w:color="auto" w:fill="auto"/>
          </w:tcPr>
          <w:p w14:paraId="2EF4D6F7" w14:textId="77777777" w:rsidR="00324B39" w:rsidRPr="00CA2404"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063" w:type="dxa"/>
            <w:gridSpan w:val="2"/>
            <w:tcBorders>
              <w:top w:val="single" w:sz="4" w:space="0" w:color="auto"/>
              <w:left w:val="nil"/>
              <w:right w:val="nil"/>
            </w:tcBorders>
            <w:shd w:val="clear" w:color="auto" w:fill="auto"/>
          </w:tcPr>
          <w:p w14:paraId="01E78911" w14:textId="77777777" w:rsidR="00324B39" w:rsidRPr="00CA2404"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064" w:type="dxa"/>
            <w:gridSpan w:val="2"/>
            <w:tcBorders>
              <w:top w:val="single" w:sz="4" w:space="0" w:color="auto"/>
              <w:left w:val="nil"/>
              <w:right w:val="single" w:sz="4" w:space="0" w:color="auto"/>
            </w:tcBorders>
          </w:tcPr>
          <w:p w14:paraId="2A8201A8" w14:textId="77777777" w:rsidR="00324B39" w:rsidRPr="00CA2404"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D2643C" w:rsidRPr="00CA2404" w14:paraId="20B94F76" w14:textId="77777777" w:rsidTr="000C7A56">
        <w:trPr>
          <w:trHeight w:val="70"/>
        </w:trPr>
        <w:tc>
          <w:tcPr>
            <w:tcW w:w="2977" w:type="dxa"/>
            <w:tcBorders>
              <w:left w:val="single" w:sz="4" w:space="0" w:color="auto"/>
              <w:bottom w:val="nil"/>
              <w:right w:val="nil"/>
            </w:tcBorders>
          </w:tcPr>
          <w:p w14:paraId="33F20A5F" w14:textId="77777777" w:rsidR="00D2643C" w:rsidRPr="006529D3"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6529D3">
              <w:rPr>
                <w:rFonts w:asciiTheme="minorHAnsi" w:hAnsiTheme="minorHAnsi" w:cs="Times New Roman"/>
                <w:b/>
                <w:lang w:eastAsia="en-IE"/>
              </w:rPr>
              <w:t>Sportsbook stakes</w:t>
            </w:r>
          </w:p>
        </w:tc>
        <w:tc>
          <w:tcPr>
            <w:tcW w:w="1063" w:type="dxa"/>
            <w:tcBorders>
              <w:left w:val="nil"/>
              <w:bottom w:val="nil"/>
              <w:right w:val="nil"/>
            </w:tcBorders>
            <w:shd w:val="clear" w:color="auto" w:fill="auto"/>
          </w:tcPr>
          <w:p w14:paraId="6784BB0C" w14:textId="7D3CC415" w:rsidR="00D2643C" w:rsidRPr="00064FB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4,298</w:t>
            </w:r>
          </w:p>
        </w:tc>
        <w:tc>
          <w:tcPr>
            <w:tcW w:w="1063" w:type="dxa"/>
            <w:gridSpan w:val="2"/>
            <w:tcBorders>
              <w:left w:val="nil"/>
              <w:bottom w:val="nil"/>
              <w:right w:val="nil"/>
            </w:tcBorders>
            <w:shd w:val="clear" w:color="auto" w:fill="auto"/>
          </w:tcPr>
          <w:p w14:paraId="6A08A1B6" w14:textId="702C682B" w:rsidR="00D2643C" w:rsidRPr="006529D3"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064FB6">
              <w:rPr>
                <w:rFonts w:asciiTheme="minorHAnsi" w:hAnsiTheme="minorHAnsi" w:cs="Times New Roman"/>
                <w:b/>
                <w:lang w:eastAsia="en-IE"/>
              </w:rPr>
              <w:t>4,308</w:t>
            </w:r>
          </w:p>
        </w:tc>
        <w:tc>
          <w:tcPr>
            <w:tcW w:w="1063" w:type="dxa"/>
            <w:gridSpan w:val="2"/>
            <w:tcBorders>
              <w:left w:val="nil"/>
              <w:bottom w:val="nil"/>
              <w:right w:val="nil"/>
            </w:tcBorders>
            <w:shd w:val="clear" w:color="auto" w:fill="auto"/>
          </w:tcPr>
          <w:p w14:paraId="6830A19A" w14:textId="478FBF03" w:rsidR="00D2643C" w:rsidRPr="00064FB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Flat</w:t>
            </w:r>
          </w:p>
        </w:tc>
        <w:tc>
          <w:tcPr>
            <w:tcW w:w="1064" w:type="dxa"/>
            <w:gridSpan w:val="2"/>
            <w:tcBorders>
              <w:left w:val="nil"/>
              <w:bottom w:val="nil"/>
              <w:right w:val="single" w:sz="4" w:space="0" w:color="auto"/>
            </w:tcBorders>
            <w:shd w:val="clear" w:color="auto" w:fill="auto"/>
          </w:tcPr>
          <w:p w14:paraId="2CB46CA9" w14:textId="482685C6" w:rsidR="00D2643C" w:rsidRPr="008D5F7B"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highlight w:val="yellow"/>
                <w:lang w:eastAsia="en-IE"/>
              </w:rPr>
            </w:pPr>
            <w:r w:rsidRPr="00072166">
              <w:rPr>
                <w:rFonts w:asciiTheme="minorHAnsi" w:hAnsiTheme="minorHAnsi" w:cs="Times New Roman"/>
                <w:b/>
                <w:lang w:eastAsia="en-IE"/>
              </w:rPr>
              <w:t>+3%</w:t>
            </w:r>
          </w:p>
        </w:tc>
      </w:tr>
      <w:tr w:rsidR="00D2643C" w:rsidRPr="00CA2404" w14:paraId="508B24ED" w14:textId="77777777" w:rsidTr="002B33EA">
        <w:trPr>
          <w:trHeight w:val="70"/>
        </w:trPr>
        <w:tc>
          <w:tcPr>
            <w:tcW w:w="2977" w:type="dxa"/>
            <w:tcBorders>
              <w:top w:val="nil"/>
              <w:left w:val="single" w:sz="4" w:space="0" w:color="auto"/>
              <w:bottom w:val="nil"/>
              <w:right w:val="nil"/>
            </w:tcBorders>
          </w:tcPr>
          <w:p w14:paraId="002A20F6" w14:textId="211B7E43" w:rsidR="00D2643C" w:rsidRPr="006529D3"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i/>
                <w:lang w:eastAsia="en-IE"/>
              </w:rPr>
            </w:pPr>
            <w:r w:rsidRPr="006529D3">
              <w:rPr>
                <w:rFonts w:asciiTheme="minorHAnsi" w:hAnsiTheme="minorHAnsi" w:cs="Times New Roman"/>
                <w:i/>
                <w:lang w:eastAsia="en-IE"/>
              </w:rPr>
              <w:t xml:space="preserve">Sportsbook net revenue </w:t>
            </w:r>
            <w:r w:rsidR="00C768B0">
              <w:rPr>
                <w:rFonts w:asciiTheme="minorHAnsi" w:hAnsiTheme="minorHAnsi" w:cs="Times New Roman"/>
                <w:i/>
                <w:lang w:eastAsia="en-IE"/>
              </w:rPr>
              <w:t>margin</w:t>
            </w:r>
          </w:p>
        </w:tc>
        <w:tc>
          <w:tcPr>
            <w:tcW w:w="1063" w:type="dxa"/>
            <w:tcBorders>
              <w:top w:val="nil"/>
              <w:left w:val="nil"/>
              <w:bottom w:val="nil"/>
              <w:right w:val="nil"/>
            </w:tcBorders>
            <w:shd w:val="clear" w:color="auto" w:fill="auto"/>
          </w:tcPr>
          <w:p w14:paraId="6B3F2E98" w14:textId="1F3B59AF" w:rsidR="00D2643C" w:rsidRPr="00064FB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lang w:eastAsia="en-IE"/>
              </w:rPr>
            </w:pPr>
            <w:r>
              <w:rPr>
                <w:rFonts w:asciiTheme="minorHAnsi" w:hAnsiTheme="minorHAnsi" w:cs="Times New Roman"/>
                <w:i/>
                <w:lang w:eastAsia="en-IE"/>
              </w:rPr>
              <w:t>10.4%</w:t>
            </w:r>
          </w:p>
        </w:tc>
        <w:tc>
          <w:tcPr>
            <w:tcW w:w="1063" w:type="dxa"/>
            <w:gridSpan w:val="2"/>
            <w:tcBorders>
              <w:top w:val="nil"/>
              <w:left w:val="nil"/>
              <w:bottom w:val="nil"/>
              <w:right w:val="nil"/>
            </w:tcBorders>
            <w:shd w:val="clear" w:color="auto" w:fill="auto"/>
          </w:tcPr>
          <w:p w14:paraId="71EB6405" w14:textId="477A2778" w:rsidR="00D2643C" w:rsidRPr="006529D3"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lang w:eastAsia="en-IE"/>
              </w:rPr>
            </w:pPr>
            <w:r w:rsidRPr="00064FB6">
              <w:rPr>
                <w:rFonts w:asciiTheme="minorHAnsi" w:hAnsiTheme="minorHAnsi" w:cs="Times New Roman"/>
                <w:i/>
                <w:lang w:eastAsia="en-IE"/>
              </w:rPr>
              <w:t>9.4%</w:t>
            </w:r>
          </w:p>
        </w:tc>
        <w:tc>
          <w:tcPr>
            <w:tcW w:w="1063" w:type="dxa"/>
            <w:gridSpan w:val="2"/>
            <w:tcBorders>
              <w:top w:val="nil"/>
              <w:left w:val="nil"/>
              <w:bottom w:val="nil"/>
              <w:right w:val="nil"/>
            </w:tcBorders>
            <w:shd w:val="clear" w:color="auto" w:fill="auto"/>
          </w:tcPr>
          <w:p w14:paraId="6E690422" w14:textId="3AAB5DEF" w:rsidR="00D2643C" w:rsidRPr="00064FB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lang w:eastAsia="en-IE"/>
              </w:rPr>
            </w:pPr>
            <w:r>
              <w:rPr>
                <w:rFonts w:asciiTheme="minorHAnsi" w:hAnsiTheme="minorHAnsi" w:cs="Times New Roman"/>
                <w:i/>
                <w:lang w:eastAsia="en-IE"/>
              </w:rPr>
              <w:t>+100bps</w:t>
            </w:r>
          </w:p>
        </w:tc>
        <w:tc>
          <w:tcPr>
            <w:tcW w:w="1064" w:type="dxa"/>
            <w:gridSpan w:val="2"/>
            <w:tcBorders>
              <w:top w:val="nil"/>
              <w:left w:val="nil"/>
              <w:bottom w:val="nil"/>
              <w:right w:val="single" w:sz="4" w:space="0" w:color="auto"/>
            </w:tcBorders>
          </w:tcPr>
          <w:p w14:paraId="4DD070FB" w14:textId="5B3F6846" w:rsidR="00D2643C" w:rsidRPr="00590875"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lang w:eastAsia="en-IE"/>
              </w:rPr>
            </w:pPr>
            <w:r>
              <w:rPr>
                <w:rFonts w:asciiTheme="minorHAnsi" w:hAnsiTheme="minorHAnsi" w:cs="Times New Roman"/>
                <w:i/>
                <w:lang w:eastAsia="en-IE"/>
              </w:rPr>
              <w:t>+100bps</w:t>
            </w:r>
          </w:p>
        </w:tc>
      </w:tr>
      <w:tr w:rsidR="00D2643C" w:rsidRPr="00CA2404" w14:paraId="30F7B382" w14:textId="77777777" w:rsidTr="002B33EA">
        <w:trPr>
          <w:trHeight w:val="70"/>
        </w:trPr>
        <w:tc>
          <w:tcPr>
            <w:tcW w:w="2977" w:type="dxa"/>
            <w:tcBorders>
              <w:top w:val="nil"/>
              <w:left w:val="single" w:sz="4" w:space="0" w:color="auto"/>
              <w:bottom w:val="nil"/>
              <w:right w:val="nil"/>
            </w:tcBorders>
          </w:tcPr>
          <w:p w14:paraId="0514667A" w14:textId="77777777" w:rsidR="00D2643C" w:rsidRPr="00CA2404"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063" w:type="dxa"/>
            <w:tcBorders>
              <w:top w:val="nil"/>
              <w:left w:val="nil"/>
              <w:bottom w:val="nil"/>
              <w:right w:val="nil"/>
            </w:tcBorders>
            <w:shd w:val="clear" w:color="auto" w:fill="auto"/>
          </w:tcPr>
          <w:p w14:paraId="7AAC09A5" w14:textId="77777777" w:rsidR="00D2643C" w:rsidRPr="00064FB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063" w:type="dxa"/>
            <w:gridSpan w:val="2"/>
            <w:tcBorders>
              <w:top w:val="nil"/>
              <w:left w:val="nil"/>
              <w:bottom w:val="nil"/>
              <w:right w:val="nil"/>
            </w:tcBorders>
            <w:shd w:val="clear" w:color="auto" w:fill="auto"/>
          </w:tcPr>
          <w:p w14:paraId="34FAE90A" w14:textId="77777777" w:rsidR="00D2643C" w:rsidRPr="00CA2404"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063" w:type="dxa"/>
            <w:gridSpan w:val="2"/>
            <w:tcBorders>
              <w:top w:val="nil"/>
              <w:left w:val="nil"/>
              <w:bottom w:val="nil"/>
              <w:right w:val="nil"/>
            </w:tcBorders>
            <w:shd w:val="clear" w:color="auto" w:fill="auto"/>
          </w:tcPr>
          <w:p w14:paraId="18CB0644" w14:textId="77777777" w:rsidR="00D2643C" w:rsidRPr="008D5F7B"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highlight w:val="yellow"/>
                <w:lang w:eastAsia="en-IE"/>
              </w:rPr>
            </w:pPr>
          </w:p>
        </w:tc>
        <w:tc>
          <w:tcPr>
            <w:tcW w:w="1064" w:type="dxa"/>
            <w:gridSpan w:val="2"/>
            <w:tcBorders>
              <w:top w:val="nil"/>
              <w:left w:val="nil"/>
              <w:bottom w:val="nil"/>
              <w:right w:val="single" w:sz="4" w:space="0" w:color="auto"/>
            </w:tcBorders>
          </w:tcPr>
          <w:p w14:paraId="3FBC2C2E" w14:textId="77777777" w:rsidR="00D2643C" w:rsidRPr="00590875"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D2643C" w:rsidRPr="00443C47" w14:paraId="513C215E" w14:textId="77777777" w:rsidTr="002B33EA">
        <w:trPr>
          <w:trHeight w:val="93"/>
        </w:trPr>
        <w:tc>
          <w:tcPr>
            <w:tcW w:w="2977" w:type="dxa"/>
            <w:tcBorders>
              <w:top w:val="nil"/>
              <w:left w:val="single" w:sz="4" w:space="0" w:color="auto"/>
              <w:bottom w:val="nil"/>
              <w:right w:val="nil"/>
            </w:tcBorders>
          </w:tcPr>
          <w:p w14:paraId="29AE510E" w14:textId="23152CB0" w:rsidR="00D2643C" w:rsidRPr="004C7C0F" w:rsidRDefault="00695E69"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Pr>
                <w:rFonts w:asciiTheme="minorHAnsi" w:hAnsiTheme="minorHAnsi" w:cs="Times New Roman"/>
                <w:b/>
                <w:lang w:eastAsia="en-IE"/>
              </w:rPr>
              <w:t>Total r</w:t>
            </w:r>
            <w:r w:rsidR="00D2643C" w:rsidRPr="004C7C0F">
              <w:rPr>
                <w:rFonts w:asciiTheme="minorHAnsi" w:hAnsiTheme="minorHAnsi" w:cs="Times New Roman"/>
                <w:b/>
                <w:lang w:eastAsia="en-IE"/>
              </w:rPr>
              <w:t>evenue</w:t>
            </w:r>
          </w:p>
        </w:tc>
        <w:tc>
          <w:tcPr>
            <w:tcW w:w="1063" w:type="dxa"/>
            <w:tcBorders>
              <w:top w:val="nil"/>
              <w:left w:val="nil"/>
              <w:bottom w:val="nil"/>
              <w:right w:val="nil"/>
            </w:tcBorders>
            <w:shd w:val="clear" w:color="auto" w:fill="auto"/>
          </w:tcPr>
          <w:p w14:paraId="1F683CDC" w14:textId="42EC5262" w:rsidR="00D2643C" w:rsidRPr="00064FB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446</w:t>
            </w:r>
          </w:p>
        </w:tc>
        <w:tc>
          <w:tcPr>
            <w:tcW w:w="1063" w:type="dxa"/>
            <w:gridSpan w:val="2"/>
            <w:tcBorders>
              <w:top w:val="nil"/>
              <w:left w:val="nil"/>
              <w:bottom w:val="nil"/>
              <w:right w:val="nil"/>
            </w:tcBorders>
            <w:shd w:val="clear" w:color="auto" w:fill="auto"/>
          </w:tcPr>
          <w:p w14:paraId="7CF3954A" w14:textId="6F017B3C" w:rsidR="00D2643C" w:rsidRPr="004C7C0F"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064FB6">
              <w:rPr>
                <w:rFonts w:asciiTheme="minorHAnsi" w:hAnsiTheme="minorHAnsi" w:cs="Times New Roman"/>
                <w:b/>
                <w:lang w:eastAsia="en-IE"/>
              </w:rPr>
              <w:t>403</w:t>
            </w:r>
          </w:p>
        </w:tc>
        <w:tc>
          <w:tcPr>
            <w:tcW w:w="1063" w:type="dxa"/>
            <w:gridSpan w:val="2"/>
            <w:tcBorders>
              <w:top w:val="nil"/>
              <w:left w:val="nil"/>
              <w:bottom w:val="nil"/>
              <w:right w:val="nil"/>
            </w:tcBorders>
            <w:shd w:val="clear" w:color="auto" w:fill="auto"/>
          </w:tcPr>
          <w:p w14:paraId="27B34221" w14:textId="2A902617" w:rsidR="00D2643C" w:rsidRPr="00590875"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+11%</w:t>
            </w:r>
          </w:p>
        </w:tc>
        <w:tc>
          <w:tcPr>
            <w:tcW w:w="1064" w:type="dxa"/>
            <w:gridSpan w:val="2"/>
            <w:tcBorders>
              <w:top w:val="nil"/>
              <w:left w:val="nil"/>
              <w:bottom w:val="nil"/>
              <w:right w:val="single" w:sz="4" w:space="0" w:color="auto"/>
            </w:tcBorders>
          </w:tcPr>
          <w:p w14:paraId="22FCA469" w14:textId="47C44878" w:rsidR="00D2643C" w:rsidRPr="00590875"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+14%</w:t>
            </w:r>
          </w:p>
        </w:tc>
      </w:tr>
      <w:tr w:rsidR="00D2643C" w:rsidRPr="001F75A8" w14:paraId="52699017" w14:textId="77777777" w:rsidTr="002B33EA">
        <w:trPr>
          <w:trHeight w:val="70"/>
        </w:trPr>
        <w:tc>
          <w:tcPr>
            <w:tcW w:w="2977" w:type="dxa"/>
            <w:tcBorders>
              <w:top w:val="nil"/>
              <w:left w:val="single" w:sz="4" w:space="0" w:color="auto"/>
              <w:bottom w:val="nil"/>
              <w:right w:val="nil"/>
            </w:tcBorders>
          </w:tcPr>
          <w:p w14:paraId="0AD8E918" w14:textId="77777777" w:rsidR="00D2643C" w:rsidRPr="00220D6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063" w:type="dxa"/>
            <w:tcBorders>
              <w:top w:val="nil"/>
              <w:left w:val="nil"/>
              <w:bottom w:val="nil"/>
              <w:right w:val="nil"/>
            </w:tcBorders>
            <w:shd w:val="clear" w:color="auto" w:fill="auto"/>
          </w:tcPr>
          <w:p w14:paraId="3E72FE4F" w14:textId="77777777" w:rsidR="00D2643C" w:rsidRPr="00064FB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063" w:type="dxa"/>
            <w:gridSpan w:val="2"/>
            <w:tcBorders>
              <w:top w:val="nil"/>
              <w:left w:val="nil"/>
              <w:bottom w:val="nil"/>
              <w:right w:val="nil"/>
            </w:tcBorders>
            <w:shd w:val="clear" w:color="auto" w:fill="auto"/>
          </w:tcPr>
          <w:p w14:paraId="5C92E634" w14:textId="77777777" w:rsidR="00D2643C" w:rsidRPr="00220D6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063" w:type="dxa"/>
            <w:gridSpan w:val="2"/>
            <w:tcBorders>
              <w:top w:val="nil"/>
              <w:left w:val="nil"/>
              <w:bottom w:val="nil"/>
              <w:right w:val="nil"/>
            </w:tcBorders>
            <w:shd w:val="clear" w:color="auto" w:fill="auto"/>
          </w:tcPr>
          <w:p w14:paraId="0A963A00" w14:textId="77777777" w:rsidR="00D2643C" w:rsidRPr="00590875"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064" w:type="dxa"/>
            <w:gridSpan w:val="2"/>
            <w:tcBorders>
              <w:top w:val="nil"/>
              <w:left w:val="nil"/>
              <w:bottom w:val="nil"/>
              <w:right w:val="single" w:sz="4" w:space="0" w:color="auto"/>
            </w:tcBorders>
          </w:tcPr>
          <w:p w14:paraId="403BD510" w14:textId="77777777" w:rsidR="00D2643C" w:rsidRPr="00590875"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r>
      <w:tr w:rsidR="00D2643C" w:rsidRPr="00443C47" w14:paraId="42CAF04F" w14:textId="77777777" w:rsidTr="000C7A56">
        <w:trPr>
          <w:trHeight w:val="70"/>
        </w:trPr>
        <w:tc>
          <w:tcPr>
            <w:tcW w:w="2977" w:type="dxa"/>
            <w:tcBorders>
              <w:top w:val="nil"/>
              <w:left w:val="single" w:sz="4" w:space="0" w:color="auto"/>
              <w:bottom w:val="nil"/>
              <w:right w:val="nil"/>
            </w:tcBorders>
          </w:tcPr>
          <w:p w14:paraId="36C9B4EC" w14:textId="77777777" w:rsidR="00D2643C" w:rsidRPr="00220D6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Cost of sales</w:t>
            </w:r>
          </w:p>
        </w:tc>
        <w:tc>
          <w:tcPr>
            <w:tcW w:w="1063" w:type="dxa"/>
            <w:tcBorders>
              <w:top w:val="nil"/>
              <w:left w:val="nil"/>
              <w:right w:val="nil"/>
            </w:tcBorders>
            <w:shd w:val="clear" w:color="auto" w:fill="auto"/>
          </w:tcPr>
          <w:p w14:paraId="732E9128" w14:textId="7F216233" w:rsidR="00D2643C" w:rsidRPr="00064FB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(182)</w:t>
            </w:r>
          </w:p>
        </w:tc>
        <w:tc>
          <w:tcPr>
            <w:tcW w:w="1063" w:type="dxa"/>
            <w:gridSpan w:val="2"/>
            <w:tcBorders>
              <w:top w:val="nil"/>
              <w:left w:val="nil"/>
              <w:right w:val="nil"/>
            </w:tcBorders>
            <w:shd w:val="clear" w:color="auto" w:fill="auto"/>
          </w:tcPr>
          <w:p w14:paraId="5C839A0D" w14:textId="3ABC6A7D" w:rsidR="00D2643C"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64FB6">
              <w:rPr>
                <w:rFonts w:asciiTheme="minorHAnsi" w:hAnsiTheme="minorHAnsi" w:cs="Times New Roman"/>
                <w:lang w:eastAsia="en-IE"/>
              </w:rPr>
              <w:t>(121)</w:t>
            </w:r>
          </w:p>
        </w:tc>
        <w:tc>
          <w:tcPr>
            <w:tcW w:w="1063" w:type="dxa"/>
            <w:gridSpan w:val="2"/>
            <w:tcBorders>
              <w:top w:val="nil"/>
              <w:left w:val="nil"/>
              <w:right w:val="nil"/>
            </w:tcBorders>
            <w:shd w:val="clear" w:color="auto" w:fill="auto"/>
          </w:tcPr>
          <w:p w14:paraId="3FB9BB91" w14:textId="0895AF1B" w:rsidR="00D2643C" w:rsidRPr="00590875"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+50%</w:t>
            </w:r>
          </w:p>
        </w:tc>
        <w:tc>
          <w:tcPr>
            <w:tcW w:w="1064" w:type="dxa"/>
            <w:gridSpan w:val="2"/>
            <w:tcBorders>
              <w:top w:val="nil"/>
              <w:left w:val="nil"/>
              <w:right w:val="single" w:sz="4" w:space="0" w:color="auto"/>
            </w:tcBorders>
          </w:tcPr>
          <w:p w14:paraId="535D7128" w14:textId="716B4266" w:rsidR="00D2643C" w:rsidRPr="00590875"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+54%</w:t>
            </w:r>
          </w:p>
        </w:tc>
      </w:tr>
      <w:tr w:rsidR="00CC1D33" w:rsidRPr="00443C47" w14:paraId="1656D07D" w14:textId="77777777" w:rsidTr="008A4048">
        <w:trPr>
          <w:trHeight w:val="70"/>
        </w:trPr>
        <w:tc>
          <w:tcPr>
            <w:tcW w:w="2977" w:type="dxa"/>
            <w:tcBorders>
              <w:top w:val="nil"/>
              <w:left w:val="single" w:sz="4" w:space="0" w:color="auto"/>
              <w:bottom w:val="nil"/>
              <w:right w:val="nil"/>
            </w:tcBorders>
          </w:tcPr>
          <w:p w14:paraId="005DA32B" w14:textId="388C3611" w:rsidR="00CC1D33" w:rsidRPr="00B32CCA"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18"/>
                <w:szCs w:val="18"/>
                <w:lang w:eastAsia="en-IE"/>
              </w:rPr>
            </w:pPr>
            <w:r w:rsidRPr="00B32CCA">
              <w:rPr>
                <w:rFonts w:asciiTheme="minorHAnsi" w:hAnsiTheme="minorHAnsi" w:cs="Times New Roman"/>
                <w:i/>
                <w:sz w:val="18"/>
                <w:szCs w:val="18"/>
                <w:lang w:eastAsia="en-IE"/>
              </w:rPr>
              <w:t>Cost of sales as a % of net revenue</w:t>
            </w:r>
          </w:p>
        </w:tc>
        <w:tc>
          <w:tcPr>
            <w:tcW w:w="1063" w:type="dxa"/>
            <w:tcBorders>
              <w:top w:val="nil"/>
              <w:left w:val="nil"/>
              <w:right w:val="nil"/>
            </w:tcBorders>
            <w:shd w:val="clear" w:color="auto" w:fill="auto"/>
          </w:tcPr>
          <w:p w14:paraId="23495C2D" w14:textId="0E2FB4F8" w:rsidR="00CC1D33" w:rsidRPr="00B32CCA" w:rsidRDefault="009E543A"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B32CCA">
              <w:rPr>
                <w:rFonts w:asciiTheme="minorHAnsi" w:hAnsiTheme="minorHAnsi" w:cs="Times New Roman"/>
                <w:i/>
                <w:sz w:val="18"/>
                <w:szCs w:val="18"/>
                <w:lang w:eastAsia="en-IE"/>
              </w:rPr>
              <w:t>40.7%</w:t>
            </w:r>
          </w:p>
        </w:tc>
        <w:tc>
          <w:tcPr>
            <w:tcW w:w="1063" w:type="dxa"/>
            <w:gridSpan w:val="2"/>
            <w:tcBorders>
              <w:top w:val="nil"/>
              <w:left w:val="nil"/>
              <w:right w:val="nil"/>
            </w:tcBorders>
            <w:shd w:val="clear" w:color="auto" w:fill="auto"/>
          </w:tcPr>
          <w:p w14:paraId="5061DCA0" w14:textId="41CEB137" w:rsidR="00CC1D33" w:rsidRPr="00B32CCA" w:rsidRDefault="009E543A"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B32CCA">
              <w:rPr>
                <w:rFonts w:asciiTheme="minorHAnsi" w:hAnsiTheme="minorHAnsi" w:cs="Times New Roman"/>
                <w:i/>
                <w:sz w:val="18"/>
                <w:szCs w:val="18"/>
                <w:lang w:eastAsia="en-IE"/>
              </w:rPr>
              <w:t>30.1</w:t>
            </w:r>
            <w:r w:rsidR="00CC1D33" w:rsidRPr="00B32CCA">
              <w:rPr>
                <w:rFonts w:asciiTheme="minorHAnsi" w:hAnsiTheme="minorHAnsi" w:cs="Times New Roman"/>
                <w:i/>
                <w:sz w:val="18"/>
                <w:szCs w:val="18"/>
                <w:lang w:eastAsia="en-IE"/>
              </w:rPr>
              <w:t>%</w:t>
            </w:r>
          </w:p>
        </w:tc>
        <w:tc>
          <w:tcPr>
            <w:tcW w:w="1063" w:type="dxa"/>
            <w:gridSpan w:val="2"/>
            <w:tcBorders>
              <w:top w:val="nil"/>
              <w:left w:val="nil"/>
              <w:right w:val="nil"/>
            </w:tcBorders>
            <w:shd w:val="clear" w:color="auto" w:fill="auto"/>
          </w:tcPr>
          <w:p w14:paraId="5559C9C7" w14:textId="34F4D215" w:rsidR="00CC1D33" w:rsidRPr="00B32CCA"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B32CCA">
              <w:rPr>
                <w:rFonts w:asciiTheme="minorHAnsi" w:hAnsiTheme="minorHAnsi" w:cs="Times New Roman"/>
                <w:i/>
                <w:sz w:val="18"/>
                <w:szCs w:val="18"/>
                <w:lang w:eastAsia="en-IE"/>
              </w:rPr>
              <w:t>+</w:t>
            </w:r>
            <w:r w:rsidR="009E543A" w:rsidRPr="00B32CCA">
              <w:rPr>
                <w:rFonts w:asciiTheme="minorHAnsi" w:hAnsiTheme="minorHAnsi" w:cs="Times New Roman"/>
                <w:i/>
                <w:sz w:val="18"/>
                <w:szCs w:val="18"/>
                <w:lang w:eastAsia="en-IE"/>
              </w:rPr>
              <w:t>1060</w:t>
            </w:r>
            <w:r w:rsidRPr="00B32CCA">
              <w:rPr>
                <w:rFonts w:asciiTheme="minorHAnsi" w:hAnsiTheme="minorHAnsi" w:cs="Times New Roman"/>
                <w:i/>
                <w:sz w:val="18"/>
                <w:szCs w:val="18"/>
                <w:lang w:eastAsia="en-IE"/>
              </w:rPr>
              <w:t>bps</w:t>
            </w:r>
          </w:p>
        </w:tc>
        <w:tc>
          <w:tcPr>
            <w:tcW w:w="1064" w:type="dxa"/>
            <w:gridSpan w:val="2"/>
            <w:tcBorders>
              <w:top w:val="nil"/>
              <w:left w:val="nil"/>
              <w:right w:val="single" w:sz="4" w:space="0" w:color="auto"/>
            </w:tcBorders>
          </w:tcPr>
          <w:p w14:paraId="709EC775" w14:textId="069F7E51" w:rsidR="00CC1D33" w:rsidRPr="00B32CCA" w:rsidRDefault="00881508"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w:t>
            </w:r>
            <w:r w:rsidR="009E543A" w:rsidRPr="00B32CCA">
              <w:rPr>
                <w:rFonts w:asciiTheme="minorHAnsi" w:hAnsiTheme="minorHAnsi" w:cs="Times New Roman"/>
                <w:i/>
                <w:sz w:val="18"/>
                <w:szCs w:val="18"/>
                <w:lang w:eastAsia="en-IE"/>
              </w:rPr>
              <w:t>1070bps</w:t>
            </w:r>
          </w:p>
        </w:tc>
      </w:tr>
      <w:tr w:rsidR="00CC1D33" w:rsidRPr="00443C47" w14:paraId="0DC3EF2C" w14:textId="77777777" w:rsidTr="000C7A56">
        <w:trPr>
          <w:trHeight w:val="70"/>
        </w:trPr>
        <w:tc>
          <w:tcPr>
            <w:tcW w:w="2977" w:type="dxa"/>
            <w:tcBorders>
              <w:top w:val="nil"/>
              <w:left w:val="single" w:sz="4" w:space="0" w:color="auto"/>
              <w:bottom w:val="nil"/>
              <w:right w:val="nil"/>
            </w:tcBorders>
          </w:tcPr>
          <w:p w14:paraId="7E71EC4C" w14:textId="77777777" w:rsidR="00CC1D33" w:rsidRPr="00E40E5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063" w:type="dxa"/>
            <w:tcBorders>
              <w:left w:val="nil"/>
              <w:bottom w:val="nil"/>
              <w:right w:val="nil"/>
            </w:tcBorders>
            <w:shd w:val="clear" w:color="auto" w:fill="auto"/>
          </w:tcPr>
          <w:p w14:paraId="73832B7F" w14:textId="77777777" w:rsidR="00CC1D33" w:rsidRPr="00064FB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063" w:type="dxa"/>
            <w:gridSpan w:val="2"/>
            <w:tcBorders>
              <w:left w:val="nil"/>
              <w:bottom w:val="nil"/>
              <w:right w:val="nil"/>
            </w:tcBorders>
            <w:shd w:val="clear" w:color="auto" w:fill="auto"/>
          </w:tcPr>
          <w:p w14:paraId="0A28AC23" w14:textId="77777777" w:rsidR="00CC1D33" w:rsidRPr="00E40E5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063" w:type="dxa"/>
            <w:gridSpan w:val="2"/>
            <w:tcBorders>
              <w:left w:val="nil"/>
              <w:bottom w:val="nil"/>
              <w:right w:val="nil"/>
            </w:tcBorders>
            <w:shd w:val="clear" w:color="auto" w:fill="auto"/>
          </w:tcPr>
          <w:p w14:paraId="55607E13" w14:textId="77777777"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064" w:type="dxa"/>
            <w:gridSpan w:val="2"/>
            <w:tcBorders>
              <w:left w:val="nil"/>
              <w:bottom w:val="nil"/>
              <w:right w:val="single" w:sz="4" w:space="0" w:color="auto"/>
            </w:tcBorders>
          </w:tcPr>
          <w:p w14:paraId="71D1840E" w14:textId="77777777"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CC1D33" w:rsidRPr="00443C47" w14:paraId="300CB908" w14:textId="77777777" w:rsidTr="002B33EA">
        <w:trPr>
          <w:trHeight w:val="70"/>
        </w:trPr>
        <w:tc>
          <w:tcPr>
            <w:tcW w:w="2977" w:type="dxa"/>
            <w:tcBorders>
              <w:top w:val="nil"/>
              <w:left w:val="single" w:sz="4" w:space="0" w:color="auto"/>
              <w:bottom w:val="nil"/>
              <w:right w:val="nil"/>
            </w:tcBorders>
          </w:tcPr>
          <w:p w14:paraId="30BB159F" w14:textId="77777777" w:rsidR="00CC1D33" w:rsidRPr="004C7C0F"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C7C0F">
              <w:rPr>
                <w:rFonts w:asciiTheme="minorHAnsi" w:hAnsiTheme="minorHAnsi" w:cs="Times New Roman"/>
                <w:b/>
                <w:lang w:eastAsia="en-IE"/>
              </w:rPr>
              <w:t>Gross profit</w:t>
            </w:r>
          </w:p>
        </w:tc>
        <w:tc>
          <w:tcPr>
            <w:tcW w:w="1063" w:type="dxa"/>
            <w:tcBorders>
              <w:top w:val="nil"/>
              <w:left w:val="nil"/>
              <w:bottom w:val="nil"/>
              <w:right w:val="nil"/>
            </w:tcBorders>
            <w:shd w:val="clear" w:color="auto" w:fill="auto"/>
          </w:tcPr>
          <w:p w14:paraId="143935CD" w14:textId="3EC12E3F" w:rsidR="00CC1D33" w:rsidRPr="00064FB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264</w:t>
            </w:r>
          </w:p>
        </w:tc>
        <w:tc>
          <w:tcPr>
            <w:tcW w:w="1063" w:type="dxa"/>
            <w:gridSpan w:val="2"/>
            <w:tcBorders>
              <w:top w:val="nil"/>
              <w:left w:val="nil"/>
              <w:bottom w:val="nil"/>
              <w:right w:val="nil"/>
            </w:tcBorders>
            <w:shd w:val="clear" w:color="auto" w:fill="auto"/>
          </w:tcPr>
          <w:p w14:paraId="71D1C66C" w14:textId="739CA6E5" w:rsidR="00CC1D33" w:rsidRPr="004C7C0F"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064FB6">
              <w:rPr>
                <w:rFonts w:asciiTheme="minorHAnsi" w:hAnsiTheme="minorHAnsi" w:cs="Times New Roman"/>
                <w:b/>
                <w:lang w:eastAsia="en-IE"/>
              </w:rPr>
              <w:t>282</w:t>
            </w:r>
          </w:p>
        </w:tc>
        <w:tc>
          <w:tcPr>
            <w:tcW w:w="1063" w:type="dxa"/>
            <w:gridSpan w:val="2"/>
            <w:tcBorders>
              <w:top w:val="nil"/>
              <w:left w:val="nil"/>
              <w:bottom w:val="nil"/>
              <w:right w:val="nil"/>
            </w:tcBorders>
            <w:shd w:val="clear" w:color="auto" w:fill="auto"/>
          </w:tcPr>
          <w:p w14:paraId="17B60BFB" w14:textId="3ADF279C"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-6%</w:t>
            </w:r>
          </w:p>
        </w:tc>
        <w:tc>
          <w:tcPr>
            <w:tcW w:w="1064" w:type="dxa"/>
            <w:gridSpan w:val="2"/>
            <w:tcBorders>
              <w:top w:val="nil"/>
              <w:left w:val="nil"/>
              <w:bottom w:val="nil"/>
              <w:right w:val="single" w:sz="4" w:space="0" w:color="auto"/>
            </w:tcBorders>
          </w:tcPr>
          <w:p w14:paraId="3DF661A4" w14:textId="1DFF5C86"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-3%</w:t>
            </w:r>
          </w:p>
        </w:tc>
      </w:tr>
      <w:tr w:rsidR="00CC1D33" w:rsidRPr="00443C47" w14:paraId="309A5846" w14:textId="77777777" w:rsidTr="000C7A56">
        <w:trPr>
          <w:trHeight w:val="70"/>
        </w:trPr>
        <w:tc>
          <w:tcPr>
            <w:tcW w:w="2977" w:type="dxa"/>
            <w:tcBorders>
              <w:top w:val="nil"/>
              <w:left w:val="single" w:sz="4" w:space="0" w:color="auto"/>
              <w:bottom w:val="nil"/>
              <w:right w:val="nil"/>
            </w:tcBorders>
          </w:tcPr>
          <w:p w14:paraId="54CDC7AC" w14:textId="77777777" w:rsidR="00CC1D33" w:rsidRPr="000C7A5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sz w:val="8"/>
              </w:rPr>
            </w:pPr>
          </w:p>
        </w:tc>
        <w:tc>
          <w:tcPr>
            <w:tcW w:w="1063" w:type="dxa"/>
            <w:tcBorders>
              <w:top w:val="nil"/>
              <w:left w:val="nil"/>
              <w:right w:val="nil"/>
            </w:tcBorders>
            <w:shd w:val="clear" w:color="auto" w:fill="auto"/>
          </w:tcPr>
          <w:p w14:paraId="7571E15B" w14:textId="77777777" w:rsidR="00CC1D33" w:rsidRPr="000C7A5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c>
          <w:tcPr>
            <w:tcW w:w="1063" w:type="dxa"/>
            <w:gridSpan w:val="2"/>
            <w:tcBorders>
              <w:top w:val="nil"/>
              <w:left w:val="nil"/>
              <w:right w:val="nil"/>
            </w:tcBorders>
            <w:shd w:val="clear" w:color="auto" w:fill="auto"/>
          </w:tcPr>
          <w:p w14:paraId="2CDF5207" w14:textId="77777777" w:rsidR="00CC1D33" w:rsidRPr="000C7A5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c>
          <w:tcPr>
            <w:tcW w:w="1063" w:type="dxa"/>
            <w:gridSpan w:val="2"/>
            <w:tcBorders>
              <w:top w:val="nil"/>
              <w:left w:val="nil"/>
              <w:right w:val="nil"/>
            </w:tcBorders>
            <w:shd w:val="clear" w:color="auto" w:fill="auto"/>
          </w:tcPr>
          <w:p w14:paraId="0E5A94A9" w14:textId="77777777" w:rsidR="00CC1D33" w:rsidRPr="000C7A5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c>
          <w:tcPr>
            <w:tcW w:w="1064" w:type="dxa"/>
            <w:gridSpan w:val="2"/>
            <w:tcBorders>
              <w:top w:val="nil"/>
              <w:left w:val="nil"/>
              <w:right w:val="single" w:sz="4" w:space="0" w:color="auto"/>
            </w:tcBorders>
          </w:tcPr>
          <w:p w14:paraId="4405E120" w14:textId="77777777" w:rsidR="00CC1D33" w:rsidRPr="000C7A5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8"/>
              </w:rPr>
            </w:pPr>
          </w:p>
        </w:tc>
      </w:tr>
      <w:tr w:rsidR="00CC1D33" w:rsidRPr="00443C47" w14:paraId="3A7B0215" w14:textId="77777777" w:rsidTr="000C7A56">
        <w:trPr>
          <w:trHeight w:val="70"/>
        </w:trPr>
        <w:tc>
          <w:tcPr>
            <w:tcW w:w="2977" w:type="dxa"/>
            <w:tcBorders>
              <w:top w:val="nil"/>
              <w:left w:val="single" w:sz="4" w:space="0" w:color="auto"/>
              <w:bottom w:val="nil"/>
              <w:right w:val="nil"/>
            </w:tcBorders>
          </w:tcPr>
          <w:p w14:paraId="6E86A78E" w14:textId="412EF715" w:rsidR="00CC1D33" w:rsidRPr="000C7A5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b/>
              </w:rPr>
            </w:pPr>
            <w:r>
              <w:rPr>
                <w:rFonts w:asciiTheme="minorHAnsi" w:hAnsiTheme="minorHAnsi" w:cs="Times New Roman"/>
                <w:lang w:eastAsia="en-IE"/>
              </w:rPr>
              <w:t>Sales and marketing</w:t>
            </w:r>
          </w:p>
        </w:tc>
        <w:tc>
          <w:tcPr>
            <w:tcW w:w="1063" w:type="dxa"/>
            <w:tcBorders>
              <w:top w:val="nil"/>
              <w:left w:val="nil"/>
              <w:bottom w:val="single" w:sz="4" w:space="0" w:color="auto"/>
              <w:right w:val="nil"/>
            </w:tcBorders>
            <w:shd w:val="clear" w:color="auto" w:fill="auto"/>
          </w:tcPr>
          <w:p w14:paraId="3ED6ED52" w14:textId="41C9ABC8" w:rsidR="00CC1D33" w:rsidRPr="000C7A5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rPr>
            </w:pPr>
            <w:r>
              <w:rPr>
                <w:rFonts w:asciiTheme="minorHAnsi" w:hAnsiTheme="minorHAnsi" w:cs="Times New Roman"/>
                <w:lang w:eastAsia="en-IE"/>
              </w:rPr>
              <w:t>(73)</w:t>
            </w:r>
          </w:p>
        </w:tc>
        <w:tc>
          <w:tcPr>
            <w:tcW w:w="1063" w:type="dxa"/>
            <w:gridSpan w:val="2"/>
            <w:tcBorders>
              <w:top w:val="nil"/>
              <w:left w:val="nil"/>
              <w:bottom w:val="single" w:sz="4" w:space="0" w:color="auto"/>
              <w:right w:val="nil"/>
            </w:tcBorders>
            <w:shd w:val="clear" w:color="auto" w:fill="auto"/>
          </w:tcPr>
          <w:p w14:paraId="565B2AA5" w14:textId="70CFF89C" w:rsidR="00CC1D33" w:rsidRPr="000C7A5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rPr>
            </w:pPr>
            <w:r w:rsidRPr="00064FB6">
              <w:rPr>
                <w:rFonts w:asciiTheme="minorHAnsi" w:hAnsiTheme="minorHAnsi" w:cs="Times New Roman"/>
                <w:lang w:eastAsia="en-IE"/>
              </w:rPr>
              <w:t>(82)</w:t>
            </w:r>
          </w:p>
        </w:tc>
        <w:tc>
          <w:tcPr>
            <w:tcW w:w="1063" w:type="dxa"/>
            <w:gridSpan w:val="2"/>
            <w:tcBorders>
              <w:top w:val="nil"/>
              <w:left w:val="nil"/>
              <w:bottom w:val="single" w:sz="4" w:space="0" w:color="auto"/>
              <w:right w:val="nil"/>
            </w:tcBorders>
            <w:shd w:val="clear" w:color="auto" w:fill="auto"/>
          </w:tcPr>
          <w:p w14:paraId="027FDD34" w14:textId="75817A85" w:rsidR="00CC1D33" w:rsidRPr="000C7A5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rPr>
            </w:pPr>
            <w:r>
              <w:rPr>
                <w:rFonts w:asciiTheme="minorHAnsi" w:hAnsiTheme="minorHAnsi" w:cs="Times New Roman"/>
                <w:lang w:eastAsia="en-IE"/>
              </w:rPr>
              <w:t>-11%</w:t>
            </w:r>
          </w:p>
        </w:tc>
        <w:tc>
          <w:tcPr>
            <w:tcW w:w="1064" w:type="dxa"/>
            <w:gridSpan w:val="2"/>
            <w:tcBorders>
              <w:top w:val="nil"/>
              <w:left w:val="nil"/>
              <w:bottom w:val="single" w:sz="4" w:space="0" w:color="auto"/>
              <w:right w:val="single" w:sz="4" w:space="0" w:color="auto"/>
            </w:tcBorders>
            <w:shd w:val="clear" w:color="auto" w:fill="auto"/>
          </w:tcPr>
          <w:p w14:paraId="7E55BE85" w14:textId="03463848" w:rsidR="00CC1D33" w:rsidRPr="000C7A5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rPr>
            </w:pPr>
            <w:r>
              <w:rPr>
                <w:rFonts w:asciiTheme="minorHAnsi" w:hAnsiTheme="minorHAnsi" w:cs="Times New Roman"/>
                <w:lang w:eastAsia="en-IE"/>
              </w:rPr>
              <w:t>-9%</w:t>
            </w:r>
          </w:p>
        </w:tc>
      </w:tr>
      <w:tr w:rsidR="00CC1D33" w:rsidRPr="00E40E55" w14:paraId="16C21A26" w14:textId="77777777" w:rsidTr="002744B0">
        <w:trPr>
          <w:trHeight w:val="70"/>
        </w:trPr>
        <w:tc>
          <w:tcPr>
            <w:tcW w:w="2977" w:type="dxa"/>
            <w:tcBorders>
              <w:top w:val="nil"/>
              <w:left w:val="single" w:sz="4" w:space="0" w:color="auto"/>
              <w:bottom w:val="nil"/>
              <w:right w:val="nil"/>
            </w:tcBorders>
          </w:tcPr>
          <w:p w14:paraId="3901E530" w14:textId="233ED3C1" w:rsidR="00CC1D33" w:rsidRPr="00E40E5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sidRPr="00EA1798">
              <w:rPr>
                <w:rFonts w:asciiTheme="minorHAnsi" w:hAnsiTheme="minorHAnsi" w:cs="Times New Roman"/>
                <w:b/>
                <w:lang w:eastAsia="en-IE"/>
              </w:rPr>
              <w:t>Contribution</w:t>
            </w:r>
          </w:p>
        </w:tc>
        <w:tc>
          <w:tcPr>
            <w:tcW w:w="1063" w:type="dxa"/>
            <w:tcBorders>
              <w:top w:val="single" w:sz="4" w:space="0" w:color="auto"/>
              <w:left w:val="nil"/>
              <w:right w:val="nil"/>
            </w:tcBorders>
            <w:shd w:val="clear" w:color="auto" w:fill="auto"/>
          </w:tcPr>
          <w:p w14:paraId="18C2444C" w14:textId="3C4E4910" w:rsidR="00CC1D33" w:rsidRPr="00064FB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b/>
                <w:lang w:eastAsia="en-IE"/>
              </w:rPr>
              <w:t>191</w:t>
            </w:r>
          </w:p>
        </w:tc>
        <w:tc>
          <w:tcPr>
            <w:tcW w:w="1063" w:type="dxa"/>
            <w:gridSpan w:val="2"/>
            <w:tcBorders>
              <w:top w:val="single" w:sz="4" w:space="0" w:color="auto"/>
              <w:left w:val="nil"/>
              <w:right w:val="nil"/>
            </w:tcBorders>
            <w:shd w:val="clear" w:color="auto" w:fill="auto"/>
          </w:tcPr>
          <w:p w14:paraId="6FC2D3A0" w14:textId="2255BC43" w:rsidR="00CC1D33" w:rsidRPr="00E40E5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b/>
                <w:lang w:eastAsia="en-IE"/>
              </w:rPr>
              <w:t>199</w:t>
            </w:r>
          </w:p>
        </w:tc>
        <w:tc>
          <w:tcPr>
            <w:tcW w:w="1063" w:type="dxa"/>
            <w:gridSpan w:val="2"/>
            <w:tcBorders>
              <w:top w:val="single" w:sz="4" w:space="0" w:color="auto"/>
              <w:left w:val="nil"/>
              <w:right w:val="nil"/>
            </w:tcBorders>
            <w:shd w:val="clear" w:color="auto" w:fill="auto"/>
          </w:tcPr>
          <w:p w14:paraId="203D8DEC" w14:textId="4E241AD3"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b/>
                <w:lang w:eastAsia="en-IE"/>
              </w:rPr>
              <w:t>-4</w:t>
            </w:r>
            <w:r w:rsidRPr="00EA1798">
              <w:rPr>
                <w:rFonts w:asciiTheme="minorHAnsi" w:hAnsiTheme="minorHAnsi" w:cs="Times New Roman"/>
                <w:b/>
                <w:lang w:eastAsia="en-IE"/>
              </w:rPr>
              <w:t>%</w:t>
            </w:r>
          </w:p>
        </w:tc>
        <w:tc>
          <w:tcPr>
            <w:tcW w:w="1064" w:type="dxa"/>
            <w:gridSpan w:val="2"/>
            <w:tcBorders>
              <w:top w:val="single" w:sz="4" w:space="0" w:color="auto"/>
              <w:left w:val="nil"/>
              <w:right w:val="single" w:sz="4" w:space="0" w:color="auto"/>
            </w:tcBorders>
            <w:shd w:val="clear" w:color="auto" w:fill="auto"/>
          </w:tcPr>
          <w:p w14:paraId="747A66AE" w14:textId="5A25EB3D" w:rsidR="00CC1D33" w:rsidRPr="00E464CE"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E464CE">
              <w:rPr>
                <w:rFonts w:asciiTheme="minorHAnsi" w:hAnsiTheme="minorHAnsi" w:cs="Times New Roman"/>
                <w:b/>
                <w:lang w:eastAsia="en-IE"/>
              </w:rPr>
              <w:t>-1%</w:t>
            </w:r>
          </w:p>
        </w:tc>
      </w:tr>
      <w:tr w:rsidR="00CC1D33" w:rsidRPr="00E464CE" w14:paraId="103DA738" w14:textId="77777777" w:rsidTr="002B33EA">
        <w:trPr>
          <w:trHeight w:val="70"/>
        </w:trPr>
        <w:tc>
          <w:tcPr>
            <w:tcW w:w="2977" w:type="dxa"/>
            <w:tcBorders>
              <w:top w:val="nil"/>
              <w:left w:val="single" w:sz="4" w:space="0" w:color="auto"/>
              <w:bottom w:val="nil"/>
              <w:right w:val="nil"/>
            </w:tcBorders>
          </w:tcPr>
          <w:p w14:paraId="17B2FC91" w14:textId="77777777" w:rsidR="00CC1D33" w:rsidRPr="00E464CE"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8"/>
                <w:szCs w:val="8"/>
                <w:lang w:eastAsia="en-IE"/>
              </w:rPr>
            </w:pPr>
          </w:p>
        </w:tc>
        <w:tc>
          <w:tcPr>
            <w:tcW w:w="1063" w:type="dxa"/>
            <w:tcBorders>
              <w:top w:val="nil"/>
              <w:left w:val="nil"/>
              <w:bottom w:val="nil"/>
              <w:right w:val="nil"/>
            </w:tcBorders>
            <w:shd w:val="clear" w:color="auto" w:fill="auto"/>
          </w:tcPr>
          <w:p w14:paraId="488FF97A" w14:textId="77777777" w:rsidR="00CC1D33" w:rsidRPr="00E464CE"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c>
          <w:tcPr>
            <w:tcW w:w="1063" w:type="dxa"/>
            <w:gridSpan w:val="2"/>
            <w:tcBorders>
              <w:top w:val="nil"/>
              <w:left w:val="nil"/>
              <w:bottom w:val="nil"/>
              <w:right w:val="nil"/>
            </w:tcBorders>
            <w:shd w:val="clear" w:color="auto" w:fill="auto"/>
          </w:tcPr>
          <w:p w14:paraId="56629D01" w14:textId="77777777" w:rsidR="00CC1D33" w:rsidRPr="00E464CE"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c>
          <w:tcPr>
            <w:tcW w:w="1063" w:type="dxa"/>
            <w:gridSpan w:val="2"/>
            <w:tcBorders>
              <w:top w:val="nil"/>
              <w:left w:val="nil"/>
              <w:bottom w:val="nil"/>
              <w:right w:val="nil"/>
            </w:tcBorders>
            <w:shd w:val="clear" w:color="auto" w:fill="auto"/>
          </w:tcPr>
          <w:p w14:paraId="202E077B" w14:textId="77777777" w:rsidR="00CC1D33" w:rsidRPr="00E464CE"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c>
          <w:tcPr>
            <w:tcW w:w="1064" w:type="dxa"/>
            <w:gridSpan w:val="2"/>
            <w:tcBorders>
              <w:top w:val="nil"/>
              <w:left w:val="nil"/>
              <w:bottom w:val="nil"/>
              <w:right w:val="single" w:sz="4" w:space="0" w:color="auto"/>
            </w:tcBorders>
            <w:shd w:val="clear" w:color="auto" w:fill="auto"/>
          </w:tcPr>
          <w:p w14:paraId="20E1C48A" w14:textId="77777777" w:rsidR="00CC1D33" w:rsidRPr="00E464CE"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8"/>
                <w:szCs w:val="8"/>
                <w:lang w:eastAsia="en-IE"/>
              </w:rPr>
            </w:pPr>
          </w:p>
        </w:tc>
      </w:tr>
      <w:tr w:rsidR="00CC1D33" w:rsidRPr="00E40E55" w14:paraId="61F0226D" w14:textId="77777777" w:rsidTr="002B33EA">
        <w:trPr>
          <w:trHeight w:val="70"/>
        </w:trPr>
        <w:tc>
          <w:tcPr>
            <w:tcW w:w="2977" w:type="dxa"/>
            <w:tcBorders>
              <w:top w:val="nil"/>
              <w:left w:val="single" w:sz="4" w:space="0" w:color="auto"/>
              <w:bottom w:val="nil"/>
              <w:right w:val="nil"/>
            </w:tcBorders>
          </w:tcPr>
          <w:p w14:paraId="2F71DDE0" w14:textId="77777777" w:rsidR="00CC1D33" w:rsidRPr="00E40E5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Product and technology</w:t>
            </w:r>
          </w:p>
        </w:tc>
        <w:tc>
          <w:tcPr>
            <w:tcW w:w="1063" w:type="dxa"/>
            <w:tcBorders>
              <w:top w:val="nil"/>
              <w:left w:val="nil"/>
              <w:bottom w:val="nil"/>
              <w:right w:val="nil"/>
            </w:tcBorders>
            <w:shd w:val="clear" w:color="auto" w:fill="auto"/>
          </w:tcPr>
          <w:p w14:paraId="3E59AB73" w14:textId="76E3BC9F" w:rsidR="00CC1D33" w:rsidRPr="00064FB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(21)</w:t>
            </w:r>
          </w:p>
        </w:tc>
        <w:tc>
          <w:tcPr>
            <w:tcW w:w="1063" w:type="dxa"/>
            <w:gridSpan w:val="2"/>
            <w:tcBorders>
              <w:top w:val="nil"/>
              <w:left w:val="nil"/>
              <w:bottom w:val="nil"/>
              <w:right w:val="nil"/>
            </w:tcBorders>
            <w:shd w:val="clear" w:color="auto" w:fill="auto"/>
          </w:tcPr>
          <w:p w14:paraId="111322C9" w14:textId="1C974C31" w:rsidR="00CC1D33" w:rsidRPr="00E40E5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64FB6">
              <w:rPr>
                <w:rFonts w:asciiTheme="minorHAnsi" w:hAnsiTheme="minorHAnsi" w:cs="Times New Roman"/>
                <w:lang w:eastAsia="en-IE"/>
              </w:rPr>
              <w:t>(20)</w:t>
            </w:r>
          </w:p>
        </w:tc>
        <w:tc>
          <w:tcPr>
            <w:tcW w:w="1063" w:type="dxa"/>
            <w:gridSpan w:val="2"/>
            <w:tcBorders>
              <w:top w:val="nil"/>
              <w:left w:val="nil"/>
              <w:bottom w:val="nil"/>
              <w:right w:val="nil"/>
            </w:tcBorders>
            <w:shd w:val="clear" w:color="auto" w:fill="auto"/>
          </w:tcPr>
          <w:p w14:paraId="262A41DA" w14:textId="4A28999E"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+5%</w:t>
            </w:r>
          </w:p>
        </w:tc>
        <w:tc>
          <w:tcPr>
            <w:tcW w:w="1064" w:type="dxa"/>
            <w:gridSpan w:val="2"/>
            <w:tcBorders>
              <w:top w:val="nil"/>
              <w:left w:val="nil"/>
              <w:bottom w:val="nil"/>
              <w:right w:val="single" w:sz="4" w:space="0" w:color="auto"/>
            </w:tcBorders>
            <w:shd w:val="clear" w:color="auto" w:fill="auto"/>
          </w:tcPr>
          <w:p w14:paraId="3E2D10F3" w14:textId="129A1A98"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+7%</w:t>
            </w:r>
          </w:p>
        </w:tc>
      </w:tr>
      <w:tr w:rsidR="00CC1D33" w:rsidRPr="00E40E55" w14:paraId="7CAEBCAD" w14:textId="77777777" w:rsidTr="002B33EA">
        <w:trPr>
          <w:trHeight w:val="70"/>
        </w:trPr>
        <w:tc>
          <w:tcPr>
            <w:tcW w:w="2977" w:type="dxa"/>
            <w:tcBorders>
              <w:top w:val="nil"/>
              <w:left w:val="single" w:sz="4" w:space="0" w:color="auto"/>
              <w:bottom w:val="nil"/>
              <w:right w:val="nil"/>
            </w:tcBorders>
          </w:tcPr>
          <w:p w14:paraId="54659BDE" w14:textId="77777777" w:rsidR="00CC1D33" w:rsidRPr="00E40E5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Operations</w:t>
            </w:r>
          </w:p>
        </w:tc>
        <w:tc>
          <w:tcPr>
            <w:tcW w:w="1063" w:type="dxa"/>
            <w:tcBorders>
              <w:top w:val="nil"/>
              <w:left w:val="nil"/>
              <w:bottom w:val="nil"/>
              <w:right w:val="nil"/>
            </w:tcBorders>
            <w:shd w:val="clear" w:color="auto" w:fill="auto"/>
          </w:tcPr>
          <w:p w14:paraId="59197F8B" w14:textId="3CFAE4AD" w:rsidR="00CC1D33" w:rsidRPr="00064FB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(45)</w:t>
            </w:r>
          </w:p>
        </w:tc>
        <w:tc>
          <w:tcPr>
            <w:tcW w:w="1063" w:type="dxa"/>
            <w:gridSpan w:val="2"/>
            <w:tcBorders>
              <w:top w:val="nil"/>
              <w:left w:val="nil"/>
              <w:bottom w:val="nil"/>
              <w:right w:val="nil"/>
            </w:tcBorders>
            <w:shd w:val="clear" w:color="auto" w:fill="auto"/>
          </w:tcPr>
          <w:p w14:paraId="423EE6EA" w14:textId="4560DB08" w:rsidR="00CC1D33" w:rsidRPr="00E40E5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64FB6">
              <w:rPr>
                <w:rFonts w:asciiTheme="minorHAnsi" w:hAnsiTheme="minorHAnsi" w:cs="Times New Roman"/>
                <w:lang w:eastAsia="en-IE"/>
              </w:rPr>
              <w:t>(42)</w:t>
            </w:r>
          </w:p>
        </w:tc>
        <w:tc>
          <w:tcPr>
            <w:tcW w:w="1063" w:type="dxa"/>
            <w:gridSpan w:val="2"/>
            <w:tcBorders>
              <w:top w:val="nil"/>
              <w:left w:val="nil"/>
              <w:bottom w:val="nil"/>
              <w:right w:val="nil"/>
            </w:tcBorders>
            <w:shd w:val="clear" w:color="auto" w:fill="auto"/>
          </w:tcPr>
          <w:p w14:paraId="022D7CAC" w14:textId="0023A82E"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+7%</w:t>
            </w:r>
          </w:p>
        </w:tc>
        <w:tc>
          <w:tcPr>
            <w:tcW w:w="1064" w:type="dxa"/>
            <w:gridSpan w:val="2"/>
            <w:tcBorders>
              <w:top w:val="nil"/>
              <w:left w:val="nil"/>
              <w:bottom w:val="nil"/>
              <w:right w:val="single" w:sz="4" w:space="0" w:color="auto"/>
            </w:tcBorders>
            <w:shd w:val="clear" w:color="auto" w:fill="auto"/>
          </w:tcPr>
          <w:p w14:paraId="261487E9" w14:textId="72F78C54"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+10%</w:t>
            </w:r>
          </w:p>
        </w:tc>
      </w:tr>
      <w:tr w:rsidR="00CC1D33" w:rsidRPr="00E40E55" w14:paraId="2F718F9A" w14:textId="77777777" w:rsidTr="002B33EA">
        <w:trPr>
          <w:trHeight w:val="70"/>
        </w:trPr>
        <w:tc>
          <w:tcPr>
            <w:tcW w:w="2977" w:type="dxa"/>
            <w:tcBorders>
              <w:top w:val="nil"/>
              <w:left w:val="single" w:sz="4" w:space="0" w:color="auto"/>
              <w:bottom w:val="nil"/>
              <w:right w:val="nil"/>
            </w:tcBorders>
          </w:tcPr>
          <w:p w14:paraId="5689312E" w14:textId="7E603027" w:rsidR="00CC1D33" w:rsidRPr="00E40E5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Other operating costs</w:t>
            </w:r>
          </w:p>
        </w:tc>
        <w:tc>
          <w:tcPr>
            <w:tcW w:w="1063" w:type="dxa"/>
            <w:tcBorders>
              <w:top w:val="single" w:sz="4" w:space="0" w:color="auto"/>
              <w:left w:val="nil"/>
              <w:bottom w:val="single" w:sz="4" w:space="0" w:color="auto"/>
              <w:right w:val="nil"/>
            </w:tcBorders>
            <w:shd w:val="clear" w:color="auto" w:fill="auto"/>
          </w:tcPr>
          <w:p w14:paraId="6830A71F" w14:textId="4B244EAA" w:rsidR="00CC1D33" w:rsidRPr="00064FB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(67)</w:t>
            </w:r>
          </w:p>
        </w:tc>
        <w:tc>
          <w:tcPr>
            <w:tcW w:w="1063" w:type="dxa"/>
            <w:gridSpan w:val="2"/>
            <w:tcBorders>
              <w:top w:val="single" w:sz="4" w:space="0" w:color="auto"/>
              <w:left w:val="nil"/>
              <w:bottom w:val="single" w:sz="4" w:space="0" w:color="auto"/>
              <w:right w:val="nil"/>
            </w:tcBorders>
            <w:shd w:val="clear" w:color="auto" w:fill="auto"/>
          </w:tcPr>
          <w:p w14:paraId="2D88424E" w14:textId="4AEAAB65" w:rsidR="00CC1D33" w:rsidRPr="00E40E5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64FB6">
              <w:rPr>
                <w:rFonts w:asciiTheme="minorHAnsi" w:hAnsiTheme="minorHAnsi" w:cs="Times New Roman"/>
                <w:lang w:eastAsia="en-IE"/>
              </w:rPr>
              <w:t>(</w:t>
            </w:r>
            <w:r>
              <w:rPr>
                <w:rFonts w:asciiTheme="minorHAnsi" w:hAnsiTheme="minorHAnsi" w:cs="Times New Roman"/>
                <w:lang w:eastAsia="en-IE"/>
              </w:rPr>
              <w:t>62</w:t>
            </w:r>
            <w:r w:rsidRPr="00064FB6">
              <w:rPr>
                <w:rFonts w:asciiTheme="minorHAnsi" w:hAnsiTheme="minorHAnsi" w:cs="Times New Roman"/>
                <w:lang w:eastAsia="en-IE"/>
              </w:rPr>
              <w:t>)</w:t>
            </w:r>
          </w:p>
        </w:tc>
        <w:tc>
          <w:tcPr>
            <w:tcW w:w="1063" w:type="dxa"/>
            <w:gridSpan w:val="2"/>
            <w:tcBorders>
              <w:top w:val="single" w:sz="4" w:space="0" w:color="auto"/>
              <w:left w:val="nil"/>
              <w:bottom w:val="single" w:sz="4" w:space="0" w:color="auto"/>
              <w:right w:val="nil"/>
            </w:tcBorders>
            <w:shd w:val="clear" w:color="auto" w:fill="auto"/>
          </w:tcPr>
          <w:p w14:paraId="5F646F58" w14:textId="27BE2127"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+7%</w:t>
            </w:r>
          </w:p>
        </w:tc>
        <w:tc>
          <w:tcPr>
            <w:tcW w:w="1064" w:type="dxa"/>
            <w:gridSpan w:val="2"/>
            <w:tcBorders>
              <w:top w:val="single" w:sz="4" w:space="0" w:color="auto"/>
              <w:left w:val="nil"/>
              <w:bottom w:val="single" w:sz="4" w:space="0" w:color="auto"/>
              <w:right w:val="single" w:sz="4" w:space="0" w:color="auto"/>
            </w:tcBorders>
          </w:tcPr>
          <w:p w14:paraId="2B1067F9" w14:textId="440A9861"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+9%</w:t>
            </w:r>
          </w:p>
        </w:tc>
      </w:tr>
      <w:tr w:rsidR="00CC1D33" w:rsidRPr="00E40E55" w14:paraId="2D8B50EE" w14:textId="77777777" w:rsidTr="002B33EA">
        <w:trPr>
          <w:trHeight w:val="70"/>
        </w:trPr>
        <w:tc>
          <w:tcPr>
            <w:tcW w:w="2977" w:type="dxa"/>
            <w:tcBorders>
              <w:top w:val="nil"/>
              <w:left w:val="single" w:sz="4" w:space="0" w:color="auto"/>
              <w:bottom w:val="nil"/>
              <w:right w:val="nil"/>
            </w:tcBorders>
          </w:tcPr>
          <w:p w14:paraId="329EE01C" w14:textId="77777777" w:rsidR="00CC1D33" w:rsidRPr="004C7C0F"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sz w:val="6"/>
                <w:szCs w:val="6"/>
                <w:lang w:eastAsia="en-IE"/>
              </w:rPr>
            </w:pPr>
          </w:p>
        </w:tc>
        <w:tc>
          <w:tcPr>
            <w:tcW w:w="1063" w:type="dxa"/>
            <w:tcBorders>
              <w:top w:val="single" w:sz="4" w:space="0" w:color="auto"/>
              <w:left w:val="nil"/>
              <w:bottom w:val="nil"/>
              <w:right w:val="nil"/>
            </w:tcBorders>
            <w:shd w:val="clear" w:color="auto" w:fill="auto"/>
          </w:tcPr>
          <w:p w14:paraId="140871DC" w14:textId="77777777" w:rsidR="00CC1D33" w:rsidRPr="00064FB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1063" w:type="dxa"/>
            <w:gridSpan w:val="2"/>
            <w:tcBorders>
              <w:top w:val="single" w:sz="4" w:space="0" w:color="auto"/>
              <w:left w:val="nil"/>
              <w:bottom w:val="nil"/>
              <w:right w:val="nil"/>
            </w:tcBorders>
            <w:shd w:val="clear" w:color="auto" w:fill="auto"/>
          </w:tcPr>
          <w:p w14:paraId="2304B6AD" w14:textId="77777777" w:rsidR="00CC1D33" w:rsidRPr="004C7C0F"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1063" w:type="dxa"/>
            <w:gridSpan w:val="2"/>
            <w:tcBorders>
              <w:top w:val="single" w:sz="4" w:space="0" w:color="auto"/>
              <w:left w:val="nil"/>
              <w:bottom w:val="nil"/>
              <w:right w:val="nil"/>
            </w:tcBorders>
            <w:shd w:val="clear" w:color="auto" w:fill="auto"/>
          </w:tcPr>
          <w:p w14:paraId="06E0D5B4" w14:textId="77777777" w:rsidR="00CC1D33" w:rsidRPr="008D5F7B"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highlight w:val="yellow"/>
                <w:lang w:eastAsia="en-IE"/>
              </w:rPr>
            </w:pPr>
          </w:p>
        </w:tc>
        <w:tc>
          <w:tcPr>
            <w:tcW w:w="1064" w:type="dxa"/>
            <w:gridSpan w:val="2"/>
            <w:tcBorders>
              <w:top w:val="single" w:sz="4" w:space="0" w:color="auto"/>
              <w:left w:val="nil"/>
              <w:bottom w:val="nil"/>
              <w:right w:val="single" w:sz="4" w:space="0" w:color="auto"/>
            </w:tcBorders>
          </w:tcPr>
          <w:p w14:paraId="7A731F79" w14:textId="77777777" w:rsidR="00CC1D33" w:rsidRPr="008D5F7B"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highlight w:val="yellow"/>
                <w:lang w:eastAsia="en-IE"/>
              </w:rPr>
            </w:pPr>
          </w:p>
        </w:tc>
      </w:tr>
      <w:tr w:rsidR="00CC1D33" w:rsidRPr="00443C47" w14:paraId="01B83C7F" w14:textId="77777777" w:rsidTr="002B33EA">
        <w:trPr>
          <w:trHeight w:val="70"/>
        </w:trPr>
        <w:tc>
          <w:tcPr>
            <w:tcW w:w="2977" w:type="dxa"/>
            <w:tcBorders>
              <w:top w:val="nil"/>
              <w:left w:val="single" w:sz="4" w:space="0" w:color="auto"/>
              <w:bottom w:val="nil"/>
              <w:right w:val="nil"/>
            </w:tcBorders>
          </w:tcPr>
          <w:p w14:paraId="54AC8A8F" w14:textId="77777777" w:rsidR="00CC1D33" w:rsidRPr="004C7C0F"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C7C0F">
              <w:rPr>
                <w:rFonts w:asciiTheme="minorHAnsi" w:hAnsiTheme="minorHAnsi" w:cs="Times New Roman"/>
                <w:b/>
                <w:lang w:eastAsia="en-IE"/>
              </w:rPr>
              <w:t>Underlying EBITDA</w:t>
            </w:r>
            <w:r w:rsidRPr="00E27643">
              <w:rPr>
                <w:rFonts w:asciiTheme="minorHAnsi" w:hAnsiTheme="minorHAnsi"/>
                <w:sz w:val="18"/>
                <w:szCs w:val="18"/>
                <w:vertAlign w:val="superscript"/>
              </w:rPr>
              <w:t>1,2</w:t>
            </w:r>
          </w:p>
        </w:tc>
        <w:tc>
          <w:tcPr>
            <w:tcW w:w="1063" w:type="dxa"/>
            <w:tcBorders>
              <w:top w:val="nil"/>
              <w:left w:val="nil"/>
              <w:bottom w:val="nil"/>
              <w:right w:val="nil"/>
            </w:tcBorders>
            <w:shd w:val="clear" w:color="auto" w:fill="auto"/>
          </w:tcPr>
          <w:p w14:paraId="7A4C7074" w14:textId="4D3093F3" w:rsidR="00CC1D33" w:rsidRPr="00064FB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125</w:t>
            </w:r>
          </w:p>
        </w:tc>
        <w:tc>
          <w:tcPr>
            <w:tcW w:w="1063" w:type="dxa"/>
            <w:gridSpan w:val="2"/>
            <w:tcBorders>
              <w:top w:val="nil"/>
              <w:left w:val="nil"/>
              <w:bottom w:val="nil"/>
              <w:right w:val="nil"/>
            </w:tcBorders>
            <w:shd w:val="clear" w:color="auto" w:fill="auto"/>
          </w:tcPr>
          <w:p w14:paraId="6183108B" w14:textId="6DC1EFCE" w:rsidR="00CC1D33" w:rsidRPr="004C7C0F"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064FB6">
              <w:rPr>
                <w:rFonts w:asciiTheme="minorHAnsi" w:hAnsiTheme="minorHAnsi" w:cs="Times New Roman"/>
                <w:b/>
                <w:lang w:eastAsia="en-IE"/>
              </w:rPr>
              <w:t>137</w:t>
            </w:r>
          </w:p>
        </w:tc>
        <w:tc>
          <w:tcPr>
            <w:tcW w:w="1063" w:type="dxa"/>
            <w:gridSpan w:val="2"/>
            <w:tcBorders>
              <w:top w:val="nil"/>
              <w:left w:val="nil"/>
              <w:bottom w:val="nil"/>
              <w:right w:val="nil"/>
            </w:tcBorders>
            <w:shd w:val="clear" w:color="auto" w:fill="auto"/>
          </w:tcPr>
          <w:p w14:paraId="7C1E8ED1" w14:textId="598A74FF"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-9%</w:t>
            </w:r>
          </w:p>
        </w:tc>
        <w:tc>
          <w:tcPr>
            <w:tcW w:w="1064" w:type="dxa"/>
            <w:gridSpan w:val="2"/>
            <w:tcBorders>
              <w:top w:val="nil"/>
              <w:left w:val="nil"/>
              <w:bottom w:val="nil"/>
              <w:right w:val="single" w:sz="4" w:space="0" w:color="auto"/>
            </w:tcBorders>
          </w:tcPr>
          <w:p w14:paraId="3B59DE77" w14:textId="2FB73C92"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-6%</w:t>
            </w:r>
          </w:p>
        </w:tc>
      </w:tr>
      <w:tr w:rsidR="00CC1D33" w:rsidRPr="00443C47" w14:paraId="27051B44" w14:textId="77777777" w:rsidTr="002B33EA">
        <w:trPr>
          <w:trHeight w:val="70"/>
        </w:trPr>
        <w:tc>
          <w:tcPr>
            <w:tcW w:w="2977" w:type="dxa"/>
            <w:tcBorders>
              <w:top w:val="nil"/>
              <w:left w:val="single" w:sz="4" w:space="0" w:color="auto"/>
              <w:bottom w:val="nil"/>
              <w:right w:val="nil"/>
            </w:tcBorders>
          </w:tcPr>
          <w:p w14:paraId="1BF61CF0" w14:textId="7F098AC2" w:rsidR="00CC1D33" w:rsidRPr="00B32CCA" w:rsidRDefault="003D5E9F"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Underlying</w:t>
            </w:r>
            <w:r>
              <w:rPr>
                <w:rFonts w:asciiTheme="minorHAnsi" w:hAnsiTheme="minorHAnsi" w:cs="Times New Roman"/>
                <w:i/>
                <w:sz w:val="18"/>
                <w:szCs w:val="18"/>
                <w:lang w:eastAsia="en-IE"/>
              </w:rPr>
              <w:t xml:space="preserve"> </w:t>
            </w:r>
            <w:r w:rsidRPr="00B32CCA">
              <w:rPr>
                <w:rFonts w:asciiTheme="minorHAnsi" w:hAnsiTheme="minorHAnsi" w:cs="Times New Roman"/>
                <w:i/>
                <w:sz w:val="18"/>
                <w:szCs w:val="18"/>
                <w:lang w:eastAsia="en-IE"/>
              </w:rPr>
              <w:t>EBITDA</w:t>
            </w:r>
            <w:r>
              <w:rPr>
                <w:rFonts w:asciiTheme="minorHAnsi" w:hAnsiTheme="minorHAnsi"/>
                <w:i/>
                <w:sz w:val="18"/>
                <w:szCs w:val="18"/>
                <w:vertAlign w:val="superscript"/>
              </w:rPr>
              <w:t>1,2</w:t>
            </w:r>
            <w:r w:rsidRPr="00B32CCA">
              <w:rPr>
                <w:rFonts w:asciiTheme="minorHAnsi" w:hAnsiTheme="minorHAnsi" w:cs="Times New Roman"/>
                <w:i/>
                <w:sz w:val="18"/>
                <w:szCs w:val="18"/>
                <w:lang w:eastAsia="en-IE"/>
              </w:rPr>
              <w:t xml:space="preserve"> margin</w:t>
            </w:r>
          </w:p>
        </w:tc>
        <w:tc>
          <w:tcPr>
            <w:tcW w:w="1063" w:type="dxa"/>
            <w:tcBorders>
              <w:top w:val="nil"/>
              <w:left w:val="nil"/>
              <w:bottom w:val="nil"/>
              <w:right w:val="nil"/>
            </w:tcBorders>
            <w:shd w:val="clear" w:color="auto" w:fill="auto"/>
          </w:tcPr>
          <w:p w14:paraId="4BC0EAE5" w14:textId="5A8CB733" w:rsidR="00CC1D33" w:rsidRPr="00B32CCA"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28.0%</w:t>
            </w:r>
          </w:p>
        </w:tc>
        <w:tc>
          <w:tcPr>
            <w:tcW w:w="1063" w:type="dxa"/>
            <w:gridSpan w:val="2"/>
            <w:tcBorders>
              <w:top w:val="nil"/>
              <w:left w:val="nil"/>
              <w:bottom w:val="nil"/>
              <w:right w:val="nil"/>
            </w:tcBorders>
            <w:shd w:val="clear" w:color="auto" w:fill="auto"/>
          </w:tcPr>
          <w:p w14:paraId="43002683" w14:textId="4B6308B0" w:rsidR="00CC1D33" w:rsidRPr="00B32CCA"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34.0%</w:t>
            </w:r>
          </w:p>
        </w:tc>
        <w:tc>
          <w:tcPr>
            <w:tcW w:w="1063" w:type="dxa"/>
            <w:gridSpan w:val="2"/>
            <w:tcBorders>
              <w:top w:val="nil"/>
              <w:left w:val="nil"/>
              <w:bottom w:val="nil"/>
              <w:right w:val="nil"/>
            </w:tcBorders>
            <w:shd w:val="clear" w:color="auto" w:fill="auto"/>
          </w:tcPr>
          <w:p w14:paraId="77D248D4" w14:textId="7A92E140" w:rsidR="00CC1D33" w:rsidRPr="00B32CCA"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-600bps</w:t>
            </w:r>
          </w:p>
        </w:tc>
        <w:tc>
          <w:tcPr>
            <w:tcW w:w="1064" w:type="dxa"/>
            <w:gridSpan w:val="2"/>
            <w:tcBorders>
              <w:top w:val="nil"/>
              <w:left w:val="nil"/>
              <w:bottom w:val="nil"/>
              <w:right w:val="single" w:sz="4" w:space="0" w:color="auto"/>
            </w:tcBorders>
          </w:tcPr>
          <w:p w14:paraId="5940D3AB" w14:textId="7BC11DD4" w:rsidR="00CC1D33" w:rsidRPr="00B32CCA"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-590bps</w:t>
            </w:r>
          </w:p>
        </w:tc>
      </w:tr>
      <w:tr w:rsidR="00CC1D33" w:rsidRPr="001F75A8" w14:paraId="6839F297" w14:textId="77777777" w:rsidTr="002B33EA">
        <w:trPr>
          <w:trHeight w:val="70"/>
        </w:trPr>
        <w:tc>
          <w:tcPr>
            <w:tcW w:w="2977" w:type="dxa"/>
            <w:tcBorders>
              <w:top w:val="nil"/>
              <w:left w:val="single" w:sz="4" w:space="0" w:color="auto"/>
              <w:bottom w:val="nil"/>
              <w:right w:val="nil"/>
            </w:tcBorders>
          </w:tcPr>
          <w:p w14:paraId="13F58FA2" w14:textId="77777777" w:rsidR="00CC1D33" w:rsidRPr="00220D6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063" w:type="dxa"/>
            <w:tcBorders>
              <w:top w:val="nil"/>
              <w:left w:val="nil"/>
              <w:bottom w:val="nil"/>
              <w:right w:val="nil"/>
            </w:tcBorders>
            <w:shd w:val="clear" w:color="auto" w:fill="auto"/>
          </w:tcPr>
          <w:p w14:paraId="4E93F5DF" w14:textId="77777777" w:rsidR="00CC1D33" w:rsidRPr="00064FB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063" w:type="dxa"/>
            <w:gridSpan w:val="2"/>
            <w:tcBorders>
              <w:top w:val="nil"/>
              <w:left w:val="nil"/>
              <w:bottom w:val="nil"/>
              <w:right w:val="nil"/>
            </w:tcBorders>
            <w:shd w:val="clear" w:color="auto" w:fill="auto"/>
          </w:tcPr>
          <w:p w14:paraId="1D4C4973" w14:textId="77777777" w:rsidR="00CC1D33" w:rsidRPr="00220D6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063" w:type="dxa"/>
            <w:gridSpan w:val="2"/>
            <w:tcBorders>
              <w:top w:val="nil"/>
              <w:left w:val="nil"/>
              <w:bottom w:val="nil"/>
              <w:right w:val="nil"/>
            </w:tcBorders>
            <w:shd w:val="clear" w:color="auto" w:fill="auto"/>
          </w:tcPr>
          <w:p w14:paraId="12AA87AA" w14:textId="77777777"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064" w:type="dxa"/>
            <w:gridSpan w:val="2"/>
            <w:tcBorders>
              <w:top w:val="nil"/>
              <w:left w:val="nil"/>
              <w:bottom w:val="nil"/>
              <w:right w:val="single" w:sz="4" w:space="0" w:color="auto"/>
            </w:tcBorders>
          </w:tcPr>
          <w:p w14:paraId="332331CA" w14:textId="77777777"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CC1D33" w:rsidRPr="00B03B43" w14:paraId="6CEA36F0" w14:textId="77777777" w:rsidTr="002B33EA">
        <w:trPr>
          <w:trHeight w:val="70"/>
        </w:trPr>
        <w:tc>
          <w:tcPr>
            <w:tcW w:w="2977" w:type="dxa"/>
            <w:tcBorders>
              <w:top w:val="nil"/>
              <w:left w:val="single" w:sz="4" w:space="0" w:color="auto"/>
              <w:bottom w:val="nil"/>
              <w:right w:val="nil"/>
            </w:tcBorders>
          </w:tcPr>
          <w:p w14:paraId="121C6D64" w14:textId="77777777" w:rsidR="00CC1D33" w:rsidRPr="00B03B43"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Depreciation and amortisation</w:t>
            </w:r>
          </w:p>
        </w:tc>
        <w:tc>
          <w:tcPr>
            <w:tcW w:w="1063" w:type="dxa"/>
            <w:tcBorders>
              <w:top w:val="nil"/>
              <w:left w:val="nil"/>
              <w:bottom w:val="single" w:sz="4" w:space="0" w:color="auto"/>
              <w:right w:val="nil"/>
            </w:tcBorders>
            <w:shd w:val="clear" w:color="auto" w:fill="auto"/>
          </w:tcPr>
          <w:p w14:paraId="679D4355" w14:textId="5BA8A353" w:rsidR="00CC1D33" w:rsidRPr="00064FB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(21)</w:t>
            </w:r>
          </w:p>
        </w:tc>
        <w:tc>
          <w:tcPr>
            <w:tcW w:w="1063" w:type="dxa"/>
            <w:gridSpan w:val="2"/>
            <w:tcBorders>
              <w:top w:val="nil"/>
              <w:left w:val="nil"/>
              <w:bottom w:val="single" w:sz="4" w:space="0" w:color="auto"/>
              <w:right w:val="nil"/>
            </w:tcBorders>
            <w:shd w:val="clear" w:color="auto" w:fill="auto"/>
          </w:tcPr>
          <w:p w14:paraId="172D01F4" w14:textId="24692E14" w:rsidR="00CC1D33" w:rsidRPr="00B03B43"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64FB6">
              <w:rPr>
                <w:rFonts w:asciiTheme="minorHAnsi" w:hAnsiTheme="minorHAnsi" w:cs="Times New Roman"/>
                <w:lang w:eastAsia="en-IE"/>
              </w:rPr>
              <w:t>(18)</w:t>
            </w:r>
          </w:p>
        </w:tc>
        <w:tc>
          <w:tcPr>
            <w:tcW w:w="1063" w:type="dxa"/>
            <w:gridSpan w:val="2"/>
            <w:tcBorders>
              <w:top w:val="nil"/>
              <w:left w:val="nil"/>
              <w:bottom w:val="single" w:sz="4" w:space="0" w:color="auto"/>
              <w:right w:val="nil"/>
            </w:tcBorders>
            <w:shd w:val="clear" w:color="auto" w:fill="auto"/>
          </w:tcPr>
          <w:p w14:paraId="34B09A99" w14:textId="239B7007"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+22%</w:t>
            </w:r>
          </w:p>
        </w:tc>
        <w:tc>
          <w:tcPr>
            <w:tcW w:w="1064" w:type="dxa"/>
            <w:gridSpan w:val="2"/>
            <w:tcBorders>
              <w:top w:val="nil"/>
              <w:left w:val="nil"/>
              <w:bottom w:val="single" w:sz="4" w:space="0" w:color="auto"/>
              <w:right w:val="single" w:sz="4" w:space="0" w:color="auto"/>
            </w:tcBorders>
          </w:tcPr>
          <w:p w14:paraId="7627B8D2" w14:textId="1D257EDB"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+25%</w:t>
            </w:r>
          </w:p>
        </w:tc>
      </w:tr>
      <w:tr w:rsidR="00CC1D33" w:rsidRPr="001F75A8" w14:paraId="7FED6727" w14:textId="77777777" w:rsidTr="002B33EA">
        <w:trPr>
          <w:trHeight w:val="70"/>
        </w:trPr>
        <w:tc>
          <w:tcPr>
            <w:tcW w:w="2977" w:type="dxa"/>
            <w:tcBorders>
              <w:top w:val="nil"/>
              <w:left w:val="single" w:sz="4" w:space="0" w:color="auto"/>
              <w:bottom w:val="nil"/>
              <w:right w:val="nil"/>
            </w:tcBorders>
          </w:tcPr>
          <w:p w14:paraId="704A8FB1" w14:textId="77777777" w:rsidR="00CC1D33" w:rsidRPr="00220D6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063" w:type="dxa"/>
            <w:tcBorders>
              <w:top w:val="single" w:sz="4" w:space="0" w:color="auto"/>
              <w:left w:val="nil"/>
              <w:right w:val="nil"/>
            </w:tcBorders>
            <w:shd w:val="clear" w:color="auto" w:fill="auto"/>
          </w:tcPr>
          <w:p w14:paraId="777778E7" w14:textId="77777777" w:rsidR="00CC1D33" w:rsidRPr="00064FB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063" w:type="dxa"/>
            <w:gridSpan w:val="2"/>
            <w:tcBorders>
              <w:top w:val="single" w:sz="4" w:space="0" w:color="auto"/>
              <w:left w:val="nil"/>
              <w:right w:val="nil"/>
            </w:tcBorders>
            <w:shd w:val="clear" w:color="auto" w:fill="auto"/>
          </w:tcPr>
          <w:p w14:paraId="3D661CA5" w14:textId="77777777" w:rsidR="00CC1D33" w:rsidRPr="00220D6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063" w:type="dxa"/>
            <w:gridSpan w:val="2"/>
            <w:tcBorders>
              <w:top w:val="single" w:sz="4" w:space="0" w:color="auto"/>
              <w:left w:val="nil"/>
              <w:right w:val="nil"/>
            </w:tcBorders>
            <w:shd w:val="clear" w:color="auto" w:fill="auto"/>
          </w:tcPr>
          <w:p w14:paraId="1165C0FC" w14:textId="77777777"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064" w:type="dxa"/>
            <w:gridSpan w:val="2"/>
            <w:tcBorders>
              <w:top w:val="single" w:sz="4" w:space="0" w:color="auto"/>
              <w:left w:val="nil"/>
              <w:right w:val="single" w:sz="4" w:space="0" w:color="auto"/>
            </w:tcBorders>
          </w:tcPr>
          <w:p w14:paraId="07A92B43" w14:textId="77777777"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CC1D33" w:rsidRPr="00443C47" w14:paraId="232F7DF9" w14:textId="77777777" w:rsidTr="002B33EA">
        <w:trPr>
          <w:trHeight w:val="70"/>
        </w:trPr>
        <w:tc>
          <w:tcPr>
            <w:tcW w:w="2977" w:type="dxa"/>
            <w:tcBorders>
              <w:top w:val="nil"/>
              <w:left w:val="single" w:sz="4" w:space="0" w:color="auto"/>
              <w:bottom w:val="nil"/>
              <w:right w:val="nil"/>
            </w:tcBorders>
          </w:tcPr>
          <w:p w14:paraId="519B3DC0" w14:textId="77777777" w:rsidR="00CC1D33" w:rsidRPr="004C7C0F"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C7C0F">
              <w:rPr>
                <w:rFonts w:asciiTheme="minorHAnsi" w:hAnsiTheme="minorHAnsi" w:cs="Times New Roman"/>
                <w:b/>
                <w:lang w:eastAsia="en-IE"/>
              </w:rPr>
              <w:t>Underlying</w:t>
            </w:r>
            <w:r>
              <w:rPr>
                <w:rFonts w:asciiTheme="minorHAnsi" w:hAnsiTheme="minorHAnsi"/>
                <w:i/>
                <w:sz w:val="18"/>
                <w:szCs w:val="18"/>
                <w:vertAlign w:val="superscript"/>
              </w:rPr>
              <w:t>1</w:t>
            </w:r>
            <w:r w:rsidRPr="004C7C0F">
              <w:rPr>
                <w:rFonts w:asciiTheme="minorHAnsi" w:hAnsiTheme="minorHAnsi" w:cs="Times New Roman"/>
                <w:b/>
                <w:lang w:eastAsia="en-IE"/>
              </w:rPr>
              <w:t xml:space="preserve"> operating profit</w:t>
            </w:r>
          </w:p>
        </w:tc>
        <w:tc>
          <w:tcPr>
            <w:tcW w:w="1063" w:type="dxa"/>
            <w:tcBorders>
              <w:top w:val="nil"/>
              <w:left w:val="nil"/>
              <w:right w:val="nil"/>
            </w:tcBorders>
            <w:shd w:val="clear" w:color="auto" w:fill="auto"/>
          </w:tcPr>
          <w:p w14:paraId="4B9CCEE2" w14:textId="6F8E7D05" w:rsidR="00CC1D33" w:rsidRPr="00064FB6"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103</w:t>
            </w:r>
          </w:p>
        </w:tc>
        <w:tc>
          <w:tcPr>
            <w:tcW w:w="1063" w:type="dxa"/>
            <w:gridSpan w:val="2"/>
            <w:tcBorders>
              <w:top w:val="nil"/>
              <w:left w:val="nil"/>
              <w:right w:val="nil"/>
            </w:tcBorders>
            <w:shd w:val="clear" w:color="auto" w:fill="auto"/>
          </w:tcPr>
          <w:p w14:paraId="59B98FAA" w14:textId="556F2033" w:rsidR="00CC1D33" w:rsidRPr="004C7C0F"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064FB6">
              <w:rPr>
                <w:rFonts w:asciiTheme="minorHAnsi" w:hAnsiTheme="minorHAnsi" w:cs="Times New Roman"/>
                <w:b/>
                <w:lang w:eastAsia="en-IE"/>
              </w:rPr>
              <w:t>119</w:t>
            </w:r>
          </w:p>
        </w:tc>
        <w:tc>
          <w:tcPr>
            <w:tcW w:w="1063" w:type="dxa"/>
            <w:gridSpan w:val="2"/>
            <w:tcBorders>
              <w:top w:val="nil"/>
              <w:left w:val="nil"/>
              <w:right w:val="nil"/>
            </w:tcBorders>
            <w:shd w:val="clear" w:color="auto" w:fill="auto"/>
          </w:tcPr>
          <w:p w14:paraId="3EC94540" w14:textId="428067E2"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-13%</w:t>
            </w:r>
          </w:p>
        </w:tc>
        <w:tc>
          <w:tcPr>
            <w:tcW w:w="1064" w:type="dxa"/>
            <w:gridSpan w:val="2"/>
            <w:tcBorders>
              <w:top w:val="nil"/>
              <w:left w:val="nil"/>
              <w:right w:val="single" w:sz="4" w:space="0" w:color="auto"/>
            </w:tcBorders>
          </w:tcPr>
          <w:p w14:paraId="4A726F95" w14:textId="531E1826" w:rsidR="00CC1D33" w:rsidRPr="00590875"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-11%</w:t>
            </w:r>
          </w:p>
        </w:tc>
      </w:tr>
      <w:tr w:rsidR="00CC1D33" w:rsidRPr="00355244" w14:paraId="1D266A7E" w14:textId="77777777" w:rsidTr="002B33EA">
        <w:trPr>
          <w:trHeight w:val="70"/>
        </w:trPr>
        <w:tc>
          <w:tcPr>
            <w:tcW w:w="2977" w:type="dxa"/>
            <w:tcBorders>
              <w:top w:val="nil"/>
              <w:left w:val="single" w:sz="4" w:space="0" w:color="auto"/>
              <w:bottom w:val="single" w:sz="4" w:space="0" w:color="auto"/>
              <w:right w:val="nil"/>
            </w:tcBorders>
          </w:tcPr>
          <w:p w14:paraId="700080F0" w14:textId="77777777" w:rsidR="00CC1D33" w:rsidRPr="00355244"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4"/>
                <w:szCs w:val="4"/>
                <w:lang w:eastAsia="en-IE"/>
              </w:rPr>
            </w:pPr>
          </w:p>
        </w:tc>
        <w:tc>
          <w:tcPr>
            <w:tcW w:w="1559" w:type="dxa"/>
            <w:gridSpan w:val="2"/>
            <w:tcBorders>
              <w:left w:val="nil"/>
              <w:bottom w:val="single" w:sz="4" w:space="0" w:color="auto"/>
              <w:right w:val="nil"/>
            </w:tcBorders>
            <w:shd w:val="clear" w:color="auto" w:fill="auto"/>
          </w:tcPr>
          <w:p w14:paraId="5E5F5BF7" w14:textId="77777777" w:rsidR="00CC1D33" w:rsidRPr="00355244"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1276" w:type="dxa"/>
            <w:gridSpan w:val="2"/>
            <w:tcBorders>
              <w:left w:val="nil"/>
              <w:bottom w:val="single" w:sz="4" w:space="0" w:color="auto"/>
              <w:right w:val="nil"/>
            </w:tcBorders>
            <w:shd w:val="clear" w:color="auto" w:fill="auto"/>
          </w:tcPr>
          <w:p w14:paraId="0B57F869" w14:textId="77777777" w:rsidR="00CC1D33" w:rsidRPr="00355244"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992" w:type="dxa"/>
            <w:gridSpan w:val="2"/>
            <w:tcBorders>
              <w:left w:val="nil"/>
              <w:bottom w:val="single" w:sz="4" w:space="0" w:color="auto"/>
              <w:right w:val="nil"/>
            </w:tcBorders>
            <w:shd w:val="clear" w:color="auto" w:fill="auto"/>
          </w:tcPr>
          <w:p w14:paraId="48E19A47" w14:textId="77777777" w:rsidR="00CC1D33" w:rsidRPr="00355244"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426" w:type="dxa"/>
            <w:tcBorders>
              <w:left w:val="nil"/>
              <w:bottom w:val="single" w:sz="4" w:space="0" w:color="auto"/>
              <w:right w:val="single" w:sz="4" w:space="0" w:color="auto"/>
            </w:tcBorders>
          </w:tcPr>
          <w:p w14:paraId="11E8703C" w14:textId="77777777" w:rsidR="00CC1D33" w:rsidRPr="00355244" w:rsidRDefault="00CC1D33" w:rsidP="00CC1D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r>
    </w:tbl>
    <w:p w14:paraId="169B0874" w14:textId="7FF9021B" w:rsidR="004A330E" w:rsidRPr="00E56186" w:rsidRDefault="00DB3903" w:rsidP="000C7A56">
      <w:pPr>
        <w:spacing w:before="120" w:after="120"/>
        <w:jc w:val="both"/>
        <w:rPr>
          <w:rFonts w:asciiTheme="minorHAnsi" w:hAnsiTheme="minorHAnsi"/>
          <w:sz w:val="22"/>
          <w:szCs w:val="22"/>
        </w:rPr>
      </w:pPr>
      <w:r w:rsidRPr="00E56186">
        <w:rPr>
          <w:rFonts w:asciiTheme="minorHAnsi" w:hAnsiTheme="minorHAnsi"/>
          <w:sz w:val="22"/>
          <w:szCs w:val="22"/>
        </w:rPr>
        <w:t xml:space="preserve">Sportsbet performed very well during 2019 against the backdrop of a </w:t>
      </w:r>
      <w:r w:rsidR="00291835">
        <w:rPr>
          <w:rFonts w:asciiTheme="minorHAnsi" w:hAnsiTheme="minorHAnsi"/>
          <w:sz w:val="22"/>
          <w:szCs w:val="22"/>
        </w:rPr>
        <w:t>step</w:t>
      </w:r>
      <w:r w:rsidR="00291835" w:rsidRPr="00E56186">
        <w:rPr>
          <w:rFonts w:asciiTheme="minorHAnsi" w:hAnsiTheme="minorHAnsi"/>
          <w:sz w:val="22"/>
          <w:szCs w:val="22"/>
        </w:rPr>
        <w:t xml:space="preserve"> </w:t>
      </w:r>
      <w:r w:rsidRPr="00E56186">
        <w:rPr>
          <w:rFonts w:asciiTheme="minorHAnsi" w:hAnsiTheme="minorHAnsi"/>
          <w:sz w:val="22"/>
          <w:szCs w:val="22"/>
        </w:rPr>
        <w:t xml:space="preserve">change in gaming taxes that saw cost of sales as a percentage of revenue rise from </w:t>
      </w:r>
      <w:r w:rsidRPr="00ED70CA">
        <w:rPr>
          <w:rFonts w:asciiTheme="minorHAnsi" w:hAnsiTheme="minorHAnsi"/>
          <w:sz w:val="22"/>
          <w:szCs w:val="22"/>
        </w:rPr>
        <w:t>30.</w:t>
      </w:r>
      <w:r w:rsidR="00F256EB">
        <w:rPr>
          <w:rFonts w:asciiTheme="minorHAnsi" w:hAnsiTheme="minorHAnsi"/>
          <w:sz w:val="22"/>
          <w:szCs w:val="22"/>
        </w:rPr>
        <w:t>1</w:t>
      </w:r>
      <w:r w:rsidRPr="00ED70CA">
        <w:rPr>
          <w:rFonts w:asciiTheme="minorHAnsi" w:hAnsiTheme="minorHAnsi"/>
          <w:sz w:val="22"/>
          <w:szCs w:val="22"/>
        </w:rPr>
        <w:t>% to 40.</w:t>
      </w:r>
      <w:r w:rsidR="00F256EB">
        <w:rPr>
          <w:rFonts w:asciiTheme="minorHAnsi" w:hAnsiTheme="minorHAnsi"/>
          <w:sz w:val="22"/>
          <w:szCs w:val="22"/>
        </w:rPr>
        <w:t>7</w:t>
      </w:r>
      <w:r w:rsidRPr="00ED70CA">
        <w:rPr>
          <w:rFonts w:asciiTheme="minorHAnsi" w:hAnsiTheme="minorHAnsi"/>
          <w:sz w:val="22"/>
          <w:szCs w:val="22"/>
        </w:rPr>
        <w:t>%.</w:t>
      </w:r>
      <w:r w:rsidRPr="00E56186">
        <w:rPr>
          <w:rFonts w:asciiTheme="minorHAnsi" w:hAnsiTheme="minorHAnsi"/>
          <w:sz w:val="22"/>
          <w:szCs w:val="22"/>
        </w:rPr>
        <w:t xml:space="preserve"> In advance of this</w:t>
      </w:r>
      <w:r w:rsidR="004A330E" w:rsidRPr="00E56186">
        <w:rPr>
          <w:rFonts w:asciiTheme="minorHAnsi" w:hAnsiTheme="minorHAnsi"/>
          <w:sz w:val="22"/>
          <w:szCs w:val="22"/>
        </w:rPr>
        <w:t xml:space="preserve"> change</w:t>
      </w:r>
      <w:r w:rsidRPr="00E56186">
        <w:rPr>
          <w:rFonts w:asciiTheme="minorHAnsi" w:hAnsiTheme="minorHAnsi"/>
          <w:sz w:val="22"/>
          <w:szCs w:val="22"/>
        </w:rPr>
        <w:t>, the Group increase</w:t>
      </w:r>
      <w:r w:rsidR="004A330E" w:rsidRPr="00E56186">
        <w:rPr>
          <w:rFonts w:asciiTheme="minorHAnsi" w:hAnsiTheme="minorHAnsi"/>
          <w:sz w:val="22"/>
          <w:szCs w:val="22"/>
        </w:rPr>
        <w:t>d</w:t>
      </w:r>
      <w:r w:rsidRPr="00E56186">
        <w:rPr>
          <w:rFonts w:asciiTheme="minorHAnsi" w:hAnsiTheme="minorHAnsi"/>
          <w:sz w:val="22"/>
          <w:szCs w:val="22"/>
        </w:rPr>
        <w:t xml:space="preserve"> investment in customer generosity </w:t>
      </w:r>
      <w:r w:rsidR="004A330E" w:rsidRPr="00E56186">
        <w:rPr>
          <w:rFonts w:asciiTheme="minorHAnsi" w:hAnsiTheme="minorHAnsi"/>
          <w:sz w:val="22"/>
          <w:szCs w:val="22"/>
        </w:rPr>
        <w:t xml:space="preserve">during 2018 </w:t>
      </w:r>
      <w:r w:rsidRPr="00E56186">
        <w:rPr>
          <w:rFonts w:asciiTheme="minorHAnsi" w:hAnsiTheme="minorHAnsi"/>
          <w:sz w:val="22"/>
          <w:szCs w:val="22"/>
        </w:rPr>
        <w:t>and this</w:t>
      </w:r>
      <w:r w:rsidR="004A330E" w:rsidRPr="00E56186">
        <w:rPr>
          <w:rFonts w:asciiTheme="minorHAnsi" w:hAnsiTheme="minorHAnsi"/>
          <w:sz w:val="22"/>
          <w:szCs w:val="22"/>
        </w:rPr>
        <w:t xml:space="preserve"> strategic decision</w:t>
      </w:r>
      <w:r w:rsidRPr="00E56186">
        <w:rPr>
          <w:rFonts w:asciiTheme="minorHAnsi" w:hAnsiTheme="minorHAnsi"/>
          <w:sz w:val="22"/>
          <w:szCs w:val="22"/>
        </w:rPr>
        <w:t xml:space="preserve">, coupled with </w:t>
      </w:r>
      <w:r w:rsidR="00DA484D" w:rsidRPr="00E56186">
        <w:rPr>
          <w:rFonts w:asciiTheme="minorHAnsi" w:hAnsiTheme="minorHAnsi"/>
          <w:sz w:val="22"/>
          <w:szCs w:val="22"/>
        </w:rPr>
        <w:t xml:space="preserve">further </w:t>
      </w:r>
      <w:r w:rsidRPr="00E56186">
        <w:rPr>
          <w:rFonts w:asciiTheme="minorHAnsi" w:hAnsiTheme="minorHAnsi"/>
          <w:sz w:val="22"/>
          <w:szCs w:val="22"/>
        </w:rPr>
        <w:t xml:space="preserve">personalisation </w:t>
      </w:r>
      <w:r w:rsidR="00DA484D" w:rsidRPr="00E56186">
        <w:rPr>
          <w:rFonts w:asciiTheme="minorHAnsi" w:hAnsiTheme="minorHAnsi"/>
          <w:sz w:val="22"/>
          <w:szCs w:val="22"/>
        </w:rPr>
        <w:t>of</w:t>
      </w:r>
      <w:r w:rsidRPr="00E56186">
        <w:rPr>
          <w:rFonts w:asciiTheme="minorHAnsi" w:hAnsiTheme="minorHAnsi"/>
          <w:sz w:val="22"/>
          <w:szCs w:val="22"/>
        </w:rPr>
        <w:t xml:space="preserve"> </w:t>
      </w:r>
      <w:r w:rsidR="004A330E" w:rsidRPr="00E56186">
        <w:rPr>
          <w:rFonts w:asciiTheme="minorHAnsi" w:hAnsiTheme="minorHAnsi"/>
          <w:sz w:val="22"/>
          <w:szCs w:val="22"/>
        </w:rPr>
        <w:t xml:space="preserve">the Sportsbet </w:t>
      </w:r>
      <w:r w:rsidR="00560E79" w:rsidRPr="00E56186">
        <w:rPr>
          <w:rFonts w:asciiTheme="minorHAnsi" w:hAnsiTheme="minorHAnsi"/>
          <w:sz w:val="22"/>
          <w:szCs w:val="22"/>
        </w:rPr>
        <w:t>product offering</w:t>
      </w:r>
      <w:r w:rsidR="00291835">
        <w:rPr>
          <w:rFonts w:asciiTheme="minorHAnsi" w:hAnsiTheme="minorHAnsi"/>
          <w:sz w:val="22"/>
          <w:szCs w:val="22"/>
        </w:rPr>
        <w:t>,</w:t>
      </w:r>
      <w:r w:rsidR="00560E79" w:rsidRPr="00E56186">
        <w:rPr>
          <w:rFonts w:asciiTheme="minorHAnsi" w:hAnsiTheme="minorHAnsi"/>
          <w:sz w:val="22"/>
          <w:szCs w:val="22"/>
        </w:rPr>
        <w:t xml:space="preserve"> </w:t>
      </w:r>
      <w:r w:rsidRPr="00E56186">
        <w:rPr>
          <w:rFonts w:asciiTheme="minorHAnsi" w:hAnsiTheme="minorHAnsi"/>
          <w:sz w:val="22"/>
          <w:szCs w:val="22"/>
        </w:rPr>
        <w:t>delivered excellent customer and revenue growth</w:t>
      </w:r>
      <w:r w:rsidR="004A330E" w:rsidRPr="00E56186">
        <w:rPr>
          <w:rFonts w:asciiTheme="minorHAnsi" w:hAnsiTheme="minorHAnsi"/>
          <w:sz w:val="22"/>
          <w:szCs w:val="22"/>
        </w:rPr>
        <w:t xml:space="preserve"> </w:t>
      </w:r>
      <w:r w:rsidR="00E64F5C" w:rsidRPr="00E56186">
        <w:rPr>
          <w:rFonts w:asciiTheme="minorHAnsi" w:hAnsiTheme="minorHAnsi"/>
          <w:sz w:val="22"/>
          <w:szCs w:val="22"/>
        </w:rPr>
        <w:t>during 2019</w:t>
      </w:r>
      <w:r w:rsidRPr="00E56186">
        <w:rPr>
          <w:rFonts w:asciiTheme="minorHAnsi" w:hAnsiTheme="minorHAnsi"/>
          <w:sz w:val="22"/>
          <w:szCs w:val="22"/>
        </w:rPr>
        <w:t xml:space="preserve">. Sportsbet grew its active customers by </w:t>
      </w:r>
      <w:r w:rsidR="00F70880" w:rsidRPr="00E56186">
        <w:rPr>
          <w:rFonts w:asciiTheme="minorHAnsi" w:hAnsiTheme="minorHAnsi"/>
          <w:sz w:val="22"/>
          <w:szCs w:val="22"/>
        </w:rPr>
        <w:t>9</w:t>
      </w:r>
      <w:r w:rsidRPr="00E56186">
        <w:rPr>
          <w:rFonts w:asciiTheme="minorHAnsi" w:hAnsiTheme="minorHAnsi"/>
          <w:sz w:val="22"/>
          <w:szCs w:val="22"/>
        </w:rPr>
        <w:t>%</w:t>
      </w:r>
      <w:r w:rsidR="00D269FB">
        <w:rPr>
          <w:rFonts w:asciiTheme="minorHAnsi" w:hAnsiTheme="minorHAnsi"/>
          <w:sz w:val="22"/>
          <w:szCs w:val="22"/>
        </w:rPr>
        <w:t xml:space="preserve"> </w:t>
      </w:r>
      <w:r w:rsidRPr="00E56186">
        <w:rPr>
          <w:rFonts w:asciiTheme="minorHAnsi" w:hAnsiTheme="minorHAnsi"/>
          <w:sz w:val="22"/>
          <w:szCs w:val="22"/>
        </w:rPr>
        <w:t xml:space="preserve">(excluding </w:t>
      </w:r>
      <w:r w:rsidR="00DA484D" w:rsidRPr="00E56186">
        <w:rPr>
          <w:rFonts w:asciiTheme="minorHAnsi" w:hAnsiTheme="minorHAnsi"/>
          <w:sz w:val="22"/>
          <w:szCs w:val="22"/>
        </w:rPr>
        <w:t>World Cup</w:t>
      </w:r>
      <w:r w:rsidRPr="00E56186">
        <w:rPr>
          <w:rFonts w:asciiTheme="minorHAnsi" w:hAnsiTheme="minorHAnsi"/>
          <w:sz w:val="22"/>
          <w:szCs w:val="22"/>
        </w:rPr>
        <w:t xml:space="preserve">) </w:t>
      </w:r>
      <w:r w:rsidR="004A330E" w:rsidRPr="00E56186">
        <w:rPr>
          <w:rFonts w:asciiTheme="minorHAnsi" w:hAnsiTheme="minorHAnsi"/>
          <w:sz w:val="22"/>
          <w:szCs w:val="22"/>
        </w:rPr>
        <w:t xml:space="preserve">which in turn helped to drive </w:t>
      </w:r>
      <w:r w:rsidRPr="00E56186">
        <w:rPr>
          <w:rFonts w:asciiTheme="minorHAnsi" w:hAnsiTheme="minorHAnsi"/>
          <w:sz w:val="22"/>
          <w:szCs w:val="22"/>
        </w:rPr>
        <w:t>r</w:t>
      </w:r>
      <w:r w:rsidR="00A4573F" w:rsidRPr="00E56186">
        <w:rPr>
          <w:rFonts w:asciiTheme="minorHAnsi" w:hAnsiTheme="minorHAnsi"/>
          <w:sz w:val="22"/>
          <w:szCs w:val="22"/>
        </w:rPr>
        <w:t xml:space="preserve">evenue </w:t>
      </w:r>
      <w:r w:rsidRPr="00E56186">
        <w:rPr>
          <w:rFonts w:asciiTheme="minorHAnsi" w:hAnsiTheme="minorHAnsi"/>
          <w:sz w:val="22"/>
          <w:szCs w:val="22"/>
        </w:rPr>
        <w:t>grow</w:t>
      </w:r>
      <w:r w:rsidR="004A330E" w:rsidRPr="00E56186">
        <w:rPr>
          <w:rFonts w:asciiTheme="minorHAnsi" w:hAnsiTheme="minorHAnsi"/>
          <w:sz w:val="22"/>
          <w:szCs w:val="22"/>
        </w:rPr>
        <w:t>th of</w:t>
      </w:r>
      <w:r w:rsidRPr="00E56186">
        <w:rPr>
          <w:rFonts w:asciiTheme="minorHAnsi" w:hAnsiTheme="minorHAnsi"/>
          <w:sz w:val="22"/>
          <w:szCs w:val="22"/>
        </w:rPr>
        <w:t xml:space="preserve"> </w:t>
      </w:r>
      <w:r w:rsidR="00A4573F" w:rsidRPr="00E56186">
        <w:rPr>
          <w:rFonts w:asciiTheme="minorHAnsi" w:hAnsiTheme="minorHAnsi"/>
          <w:sz w:val="22"/>
          <w:szCs w:val="22"/>
        </w:rPr>
        <w:t xml:space="preserve">14%. </w:t>
      </w:r>
    </w:p>
    <w:p w14:paraId="02726C8F" w14:textId="18907891" w:rsidR="00DB3903" w:rsidRPr="00E56186" w:rsidRDefault="00DB3903" w:rsidP="006F3B8A">
      <w:pPr>
        <w:spacing w:after="120"/>
        <w:jc w:val="both"/>
        <w:rPr>
          <w:rFonts w:asciiTheme="minorHAnsi" w:hAnsiTheme="minorHAnsi"/>
          <w:sz w:val="22"/>
          <w:szCs w:val="22"/>
        </w:rPr>
      </w:pPr>
      <w:r w:rsidRPr="00E56186">
        <w:rPr>
          <w:rFonts w:asciiTheme="minorHAnsi" w:hAnsiTheme="minorHAnsi"/>
          <w:sz w:val="22"/>
          <w:szCs w:val="22"/>
        </w:rPr>
        <w:t xml:space="preserve">Stakes increased by 3% year-on-year </w:t>
      </w:r>
      <w:r w:rsidR="00020CCE" w:rsidRPr="00E56186">
        <w:rPr>
          <w:rFonts w:asciiTheme="minorHAnsi" w:hAnsiTheme="minorHAnsi"/>
          <w:sz w:val="22"/>
          <w:szCs w:val="22"/>
        </w:rPr>
        <w:t xml:space="preserve">with less customer recycling due to more bookmaker friendly results. </w:t>
      </w:r>
      <w:r w:rsidR="005C7E3D" w:rsidRPr="00E56186">
        <w:rPr>
          <w:rFonts w:asciiTheme="minorHAnsi" w:hAnsiTheme="minorHAnsi"/>
          <w:sz w:val="22"/>
          <w:szCs w:val="22"/>
        </w:rPr>
        <w:t>Excluding the</w:t>
      </w:r>
      <w:r w:rsidR="004A330E" w:rsidRPr="00E56186">
        <w:rPr>
          <w:rFonts w:asciiTheme="minorHAnsi" w:hAnsiTheme="minorHAnsi"/>
          <w:sz w:val="22"/>
          <w:szCs w:val="22"/>
        </w:rPr>
        <w:t xml:space="preserve"> </w:t>
      </w:r>
      <w:r w:rsidRPr="00E56186">
        <w:rPr>
          <w:rFonts w:asciiTheme="minorHAnsi" w:hAnsiTheme="minorHAnsi"/>
          <w:sz w:val="22"/>
          <w:szCs w:val="22"/>
        </w:rPr>
        <w:t xml:space="preserve">benefit </w:t>
      </w:r>
      <w:r w:rsidR="00291835">
        <w:rPr>
          <w:rFonts w:asciiTheme="minorHAnsi" w:hAnsiTheme="minorHAnsi"/>
          <w:sz w:val="22"/>
          <w:szCs w:val="22"/>
        </w:rPr>
        <w:t>of</w:t>
      </w:r>
      <w:r w:rsidR="00291835" w:rsidRPr="00E56186">
        <w:rPr>
          <w:rFonts w:asciiTheme="minorHAnsi" w:hAnsiTheme="minorHAnsi"/>
          <w:sz w:val="22"/>
          <w:szCs w:val="22"/>
        </w:rPr>
        <w:t xml:space="preserve"> </w:t>
      </w:r>
      <w:r w:rsidRPr="00E56186">
        <w:rPr>
          <w:rFonts w:asciiTheme="minorHAnsi" w:hAnsiTheme="minorHAnsi"/>
          <w:sz w:val="22"/>
          <w:szCs w:val="22"/>
        </w:rPr>
        <w:t>the World Cup</w:t>
      </w:r>
      <w:r w:rsidR="00291835">
        <w:rPr>
          <w:rFonts w:asciiTheme="minorHAnsi" w:hAnsiTheme="minorHAnsi"/>
          <w:sz w:val="22"/>
          <w:szCs w:val="22"/>
        </w:rPr>
        <w:t>,</w:t>
      </w:r>
      <w:r w:rsidRPr="00E56186">
        <w:rPr>
          <w:rFonts w:asciiTheme="minorHAnsi" w:hAnsiTheme="minorHAnsi"/>
          <w:sz w:val="22"/>
          <w:szCs w:val="22"/>
        </w:rPr>
        <w:t xml:space="preserve"> </w:t>
      </w:r>
      <w:r w:rsidR="005C7E3D" w:rsidRPr="00E56186">
        <w:rPr>
          <w:rFonts w:asciiTheme="minorHAnsi" w:hAnsiTheme="minorHAnsi"/>
          <w:sz w:val="22"/>
          <w:szCs w:val="22"/>
        </w:rPr>
        <w:t xml:space="preserve">stakes were up </w:t>
      </w:r>
      <w:r w:rsidR="00D50DCA">
        <w:rPr>
          <w:rFonts w:asciiTheme="minorHAnsi" w:hAnsiTheme="minorHAnsi"/>
          <w:sz w:val="22"/>
          <w:szCs w:val="22"/>
        </w:rPr>
        <w:t>5</w:t>
      </w:r>
      <w:r w:rsidR="005C7E3D" w:rsidRPr="00E56186">
        <w:rPr>
          <w:rFonts w:asciiTheme="minorHAnsi" w:hAnsiTheme="minorHAnsi"/>
          <w:sz w:val="22"/>
          <w:szCs w:val="22"/>
        </w:rPr>
        <w:t>%</w:t>
      </w:r>
      <w:r w:rsidRPr="00E56186">
        <w:rPr>
          <w:rFonts w:asciiTheme="minorHAnsi" w:hAnsiTheme="minorHAnsi"/>
          <w:sz w:val="22"/>
          <w:szCs w:val="22"/>
        </w:rPr>
        <w:t xml:space="preserve">. Expected margin </w:t>
      </w:r>
      <w:r w:rsidR="004A330E" w:rsidRPr="00E56186">
        <w:rPr>
          <w:rFonts w:asciiTheme="minorHAnsi" w:hAnsiTheme="minorHAnsi"/>
          <w:sz w:val="22"/>
          <w:szCs w:val="22"/>
        </w:rPr>
        <w:t xml:space="preserve">increased by </w:t>
      </w:r>
      <w:r w:rsidR="00EA07F7">
        <w:rPr>
          <w:rFonts w:asciiTheme="minorHAnsi" w:hAnsiTheme="minorHAnsi"/>
          <w:sz w:val="22"/>
          <w:szCs w:val="22"/>
        </w:rPr>
        <w:t>9</w:t>
      </w:r>
      <w:r w:rsidR="00470D7B">
        <w:rPr>
          <w:rFonts w:asciiTheme="minorHAnsi" w:hAnsiTheme="minorHAnsi"/>
          <w:sz w:val="22"/>
          <w:szCs w:val="22"/>
        </w:rPr>
        <w:t>0</w:t>
      </w:r>
      <w:r w:rsidR="00470D7B" w:rsidRPr="00E56186">
        <w:rPr>
          <w:rFonts w:asciiTheme="minorHAnsi" w:hAnsiTheme="minorHAnsi"/>
          <w:sz w:val="22"/>
          <w:szCs w:val="22"/>
        </w:rPr>
        <w:t xml:space="preserve"> </w:t>
      </w:r>
      <w:r w:rsidRPr="00E56186">
        <w:rPr>
          <w:rFonts w:asciiTheme="minorHAnsi" w:hAnsiTheme="minorHAnsi"/>
          <w:sz w:val="22"/>
          <w:szCs w:val="22"/>
        </w:rPr>
        <w:t>bps year</w:t>
      </w:r>
      <w:r w:rsidR="00012A96">
        <w:rPr>
          <w:rFonts w:asciiTheme="minorHAnsi" w:hAnsiTheme="minorHAnsi"/>
          <w:sz w:val="22"/>
          <w:szCs w:val="22"/>
        </w:rPr>
        <w:t>-</w:t>
      </w:r>
      <w:r w:rsidRPr="00E56186">
        <w:rPr>
          <w:rFonts w:asciiTheme="minorHAnsi" w:hAnsiTheme="minorHAnsi"/>
          <w:sz w:val="22"/>
          <w:szCs w:val="22"/>
        </w:rPr>
        <w:t>on</w:t>
      </w:r>
      <w:r w:rsidR="00012A96">
        <w:rPr>
          <w:rFonts w:asciiTheme="minorHAnsi" w:hAnsiTheme="minorHAnsi"/>
          <w:sz w:val="22"/>
          <w:szCs w:val="22"/>
        </w:rPr>
        <w:t>-</w:t>
      </w:r>
      <w:r w:rsidRPr="00E56186">
        <w:rPr>
          <w:rFonts w:asciiTheme="minorHAnsi" w:hAnsiTheme="minorHAnsi"/>
          <w:sz w:val="22"/>
          <w:szCs w:val="22"/>
        </w:rPr>
        <w:t>year</w:t>
      </w:r>
      <w:r w:rsidR="004A330E" w:rsidRPr="00E56186">
        <w:rPr>
          <w:rFonts w:asciiTheme="minorHAnsi" w:hAnsiTheme="minorHAnsi"/>
          <w:sz w:val="22"/>
          <w:szCs w:val="22"/>
        </w:rPr>
        <w:t>,</w:t>
      </w:r>
      <w:r w:rsidRPr="00E56186">
        <w:rPr>
          <w:rFonts w:asciiTheme="minorHAnsi" w:hAnsiTheme="minorHAnsi"/>
          <w:sz w:val="22"/>
          <w:szCs w:val="22"/>
        </w:rPr>
        <w:t xml:space="preserve"> reflecting further refinement of our risk and trading capabilities as well as </w:t>
      </w:r>
      <w:r w:rsidR="004A330E" w:rsidRPr="00E56186">
        <w:rPr>
          <w:rFonts w:asciiTheme="minorHAnsi" w:hAnsiTheme="minorHAnsi"/>
          <w:sz w:val="22"/>
          <w:szCs w:val="22"/>
        </w:rPr>
        <w:t xml:space="preserve">ongoing </w:t>
      </w:r>
      <w:r w:rsidRPr="00E56186">
        <w:rPr>
          <w:rFonts w:asciiTheme="minorHAnsi" w:hAnsiTheme="minorHAnsi"/>
          <w:sz w:val="22"/>
          <w:szCs w:val="22"/>
        </w:rPr>
        <w:t>changes in product mix</w:t>
      </w:r>
      <w:r w:rsidR="004A330E" w:rsidRPr="00E56186">
        <w:rPr>
          <w:rFonts w:asciiTheme="minorHAnsi" w:hAnsiTheme="minorHAnsi"/>
          <w:sz w:val="22"/>
          <w:szCs w:val="22"/>
        </w:rPr>
        <w:t>,</w:t>
      </w:r>
      <w:r w:rsidRPr="00E56186">
        <w:rPr>
          <w:rFonts w:asciiTheme="minorHAnsi" w:hAnsiTheme="minorHAnsi"/>
          <w:sz w:val="22"/>
          <w:szCs w:val="22"/>
        </w:rPr>
        <w:t xml:space="preserve"> </w:t>
      </w:r>
      <w:r w:rsidR="00291835">
        <w:rPr>
          <w:rFonts w:asciiTheme="minorHAnsi" w:hAnsiTheme="minorHAnsi"/>
          <w:sz w:val="22"/>
          <w:szCs w:val="22"/>
        </w:rPr>
        <w:t>with</w:t>
      </w:r>
      <w:r w:rsidR="004A330E" w:rsidRPr="00E56186">
        <w:rPr>
          <w:rFonts w:asciiTheme="minorHAnsi" w:hAnsiTheme="minorHAnsi"/>
          <w:sz w:val="22"/>
          <w:szCs w:val="22"/>
        </w:rPr>
        <w:t xml:space="preserve"> </w:t>
      </w:r>
      <w:r w:rsidRPr="00E56186">
        <w:rPr>
          <w:rFonts w:asciiTheme="minorHAnsi" w:hAnsiTheme="minorHAnsi"/>
          <w:sz w:val="22"/>
          <w:szCs w:val="22"/>
        </w:rPr>
        <w:t>customers favour</w:t>
      </w:r>
      <w:r w:rsidR="00291835">
        <w:rPr>
          <w:rFonts w:asciiTheme="minorHAnsi" w:hAnsiTheme="minorHAnsi"/>
          <w:sz w:val="22"/>
          <w:szCs w:val="22"/>
        </w:rPr>
        <w:t>ing</w:t>
      </w:r>
      <w:r w:rsidRPr="00E56186">
        <w:rPr>
          <w:rFonts w:asciiTheme="minorHAnsi" w:hAnsiTheme="minorHAnsi"/>
          <w:sz w:val="22"/>
          <w:szCs w:val="22"/>
        </w:rPr>
        <w:t xml:space="preserve"> higher margin products such as same game multis. </w:t>
      </w:r>
      <w:r w:rsidR="004A330E" w:rsidRPr="00E56186">
        <w:rPr>
          <w:rFonts w:asciiTheme="minorHAnsi" w:hAnsiTheme="minorHAnsi"/>
          <w:sz w:val="22"/>
          <w:szCs w:val="22"/>
        </w:rPr>
        <w:t>F</w:t>
      </w:r>
      <w:r w:rsidRPr="00E56186">
        <w:rPr>
          <w:rFonts w:asciiTheme="minorHAnsi" w:hAnsiTheme="minorHAnsi"/>
          <w:sz w:val="22"/>
          <w:szCs w:val="22"/>
        </w:rPr>
        <w:t xml:space="preserve">avourable sports results </w:t>
      </w:r>
      <w:r w:rsidR="00E64F5C" w:rsidRPr="00E56186">
        <w:rPr>
          <w:rFonts w:asciiTheme="minorHAnsi" w:hAnsiTheme="minorHAnsi"/>
          <w:sz w:val="22"/>
          <w:szCs w:val="22"/>
        </w:rPr>
        <w:t>during 2019</w:t>
      </w:r>
      <w:r w:rsidRPr="00E56186">
        <w:rPr>
          <w:rFonts w:asciiTheme="minorHAnsi" w:hAnsiTheme="minorHAnsi"/>
          <w:sz w:val="22"/>
          <w:szCs w:val="22"/>
        </w:rPr>
        <w:t xml:space="preserve"> </w:t>
      </w:r>
      <w:r w:rsidR="004A330E" w:rsidRPr="00E56186">
        <w:rPr>
          <w:rFonts w:asciiTheme="minorHAnsi" w:hAnsiTheme="minorHAnsi"/>
          <w:sz w:val="22"/>
          <w:szCs w:val="22"/>
        </w:rPr>
        <w:t xml:space="preserve">resulted in a further boost of </w:t>
      </w:r>
      <w:r w:rsidR="00EA07F7">
        <w:rPr>
          <w:rFonts w:asciiTheme="minorHAnsi" w:hAnsiTheme="minorHAnsi"/>
          <w:sz w:val="22"/>
          <w:szCs w:val="22"/>
        </w:rPr>
        <w:t>8</w:t>
      </w:r>
      <w:r w:rsidR="00470D7B">
        <w:rPr>
          <w:rFonts w:asciiTheme="minorHAnsi" w:hAnsiTheme="minorHAnsi"/>
          <w:sz w:val="22"/>
          <w:szCs w:val="22"/>
        </w:rPr>
        <w:t>0</w:t>
      </w:r>
      <w:r w:rsidR="00470D7B" w:rsidRPr="00E56186">
        <w:rPr>
          <w:rFonts w:asciiTheme="minorHAnsi" w:hAnsiTheme="minorHAnsi"/>
          <w:sz w:val="22"/>
          <w:szCs w:val="22"/>
        </w:rPr>
        <w:t xml:space="preserve"> </w:t>
      </w:r>
      <w:r w:rsidR="004A330E" w:rsidRPr="00E56186">
        <w:rPr>
          <w:rFonts w:asciiTheme="minorHAnsi" w:hAnsiTheme="minorHAnsi"/>
          <w:sz w:val="22"/>
          <w:szCs w:val="22"/>
        </w:rPr>
        <w:t xml:space="preserve">bps in margin though we responded </w:t>
      </w:r>
      <w:r w:rsidR="00D074AC">
        <w:rPr>
          <w:rFonts w:asciiTheme="minorHAnsi" w:hAnsiTheme="minorHAnsi"/>
          <w:sz w:val="22"/>
          <w:szCs w:val="22"/>
        </w:rPr>
        <w:t xml:space="preserve">to these results </w:t>
      </w:r>
      <w:r w:rsidR="004A330E" w:rsidRPr="00E56186">
        <w:rPr>
          <w:rFonts w:asciiTheme="minorHAnsi" w:hAnsiTheme="minorHAnsi"/>
          <w:sz w:val="22"/>
          <w:szCs w:val="22"/>
        </w:rPr>
        <w:t xml:space="preserve">by giving more back to customers via increased </w:t>
      </w:r>
      <w:r w:rsidRPr="00E56186">
        <w:rPr>
          <w:rFonts w:asciiTheme="minorHAnsi" w:hAnsiTheme="minorHAnsi"/>
          <w:sz w:val="22"/>
          <w:szCs w:val="22"/>
        </w:rPr>
        <w:t>generosity</w:t>
      </w:r>
      <w:r w:rsidR="00D074AC">
        <w:rPr>
          <w:rFonts w:asciiTheme="minorHAnsi" w:hAnsiTheme="minorHAnsi"/>
          <w:sz w:val="22"/>
          <w:szCs w:val="22"/>
        </w:rPr>
        <w:t>,</w:t>
      </w:r>
      <w:r w:rsidR="004A330E" w:rsidRPr="00E56186">
        <w:rPr>
          <w:rFonts w:asciiTheme="minorHAnsi" w:hAnsiTheme="minorHAnsi"/>
          <w:sz w:val="22"/>
          <w:szCs w:val="22"/>
        </w:rPr>
        <w:t xml:space="preserve"> meaning that the net increase in margin was </w:t>
      </w:r>
      <w:r w:rsidRPr="00E56186">
        <w:rPr>
          <w:rFonts w:asciiTheme="minorHAnsi" w:hAnsiTheme="minorHAnsi"/>
          <w:sz w:val="22"/>
          <w:szCs w:val="22"/>
        </w:rPr>
        <w:t>100 bps</w:t>
      </w:r>
      <w:r w:rsidR="004A330E" w:rsidRPr="00E56186">
        <w:rPr>
          <w:rFonts w:asciiTheme="minorHAnsi" w:hAnsiTheme="minorHAnsi"/>
          <w:sz w:val="22"/>
          <w:szCs w:val="22"/>
        </w:rPr>
        <w:t xml:space="preserve"> year-on-year</w:t>
      </w:r>
      <w:r w:rsidRPr="00E56186">
        <w:rPr>
          <w:rFonts w:asciiTheme="minorHAnsi" w:hAnsiTheme="minorHAnsi"/>
          <w:sz w:val="22"/>
          <w:szCs w:val="22"/>
        </w:rPr>
        <w:t>.</w:t>
      </w:r>
    </w:p>
    <w:p w14:paraId="565BADE9" w14:textId="299784A0" w:rsidR="00A4573F" w:rsidRPr="00E56186" w:rsidRDefault="00C14034" w:rsidP="00C14034">
      <w:pPr>
        <w:spacing w:after="120"/>
        <w:jc w:val="both"/>
        <w:rPr>
          <w:rFonts w:asciiTheme="minorHAnsi" w:hAnsiTheme="minorHAnsi"/>
          <w:sz w:val="22"/>
          <w:szCs w:val="22"/>
        </w:rPr>
      </w:pPr>
      <w:r w:rsidRPr="00E56186">
        <w:rPr>
          <w:rFonts w:asciiTheme="minorHAnsi" w:hAnsiTheme="minorHAnsi"/>
          <w:sz w:val="22"/>
          <w:szCs w:val="22"/>
        </w:rPr>
        <w:t xml:space="preserve">While </w:t>
      </w:r>
      <w:r w:rsidR="00A4573F" w:rsidRPr="00E56186">
        <w:rPr>
          <w:rFonts w:asciiTheme="minorHAnsi" w:hAnsiTheme="minorHAnsi"/>
          <w:sz w:val="22"/>
          <w:szCs w:val="22"/>
        </w:rPr>
        <w:t>personalisation</w:t>
      </w:r>
      <w:r w:rsidR="00B05C99" w:rsidRPr="00E56186">
        <w:rPr>
          <w:rFonts w:asciiTheme="minorHAnsi" w:hAnsiTheme="minorHAnsi"/>
          <w:sz w:val="22"/>
          <w:szCs w:val="22"/>
        </w:rPr>
        <w:t xml:space="preserve"> work</w:t>
      </w:r>
      <w:r w:rsidR="00A4573F" w:rsidRPr="00E56186">
        <w:rPr>
          <w:rFonts w:asciiTheme="minorHAnsi" w:hAnsiTheme="minorHAnsi"/>
          <w:sz w:val="22"/>
          <w:szCs w:val="22"/>
        </w:rPr>
        <w:t xml:space="preserve"> </w:t>
      </w:r>
      <w:r w:rsidRPr="00E56186">
        <w:rPr>
          <w:rFonts w:asciiTheme="minorHAnsi" w:hAnsiTheme="minorHAnsi"/>
          <w:sz w:val="22"/>
          <w:szCs w:val="22"/>
        </w:rPr>
        <w:t xml:space="preserve">led to </w:t>
      </w:r>
      <w:r w:rsidR="00881508">
        <w:rPr>
          <w:rFonts w:asciiTheme="minorHAnsi" w:hAnsiTheme="minorHAnsi"/>
          <w:sz w:val="22"/>
          <w:szCs w:val="22"/>
        </w:rPr>
        <w:t>other operating costs being 9% higher during 2019</w:t>
      </w:r>
      <w:r w:rsidRPr="00E56186">
        <w:rPr>
          <w:rFonts w:asciiTheme="minorHAnsi" w:hAnsiTheme="minorHAnsi"/>
          <w:sz w:val="22"/>
          <w:szCs w:val="22"/>
        </w:rPr>
        <w:t xml:space="preserve">, this was more than offset by savings at the sales and marketing line where we </w:t>
      </w:r>
      <w:r w:rsidR="00A4573F" w:rsidRPr="00E56186">
        <w:rPr>
          <w:rFonts w:asciiTheme="minorHAnsi" w:hAnsiTheme="minorHAnsi"/>
          <w:sz w:val="22"/>
          <w:szCs w:val="22"/>
        </w:rPr>
        <w:t>shift</w:t>
      </w:r>
      <w:r w:rsidR="00141B12" w:rsidRPr="00E56186">
        <w:rPr>
          <w:rFonts w:asciiTheme="minorHAnsi" w:hAnsiTheme="minorHAnsi"/>
          <w:sz w:val="22"/>
          <w:szCs w:val="22"/>
        </w:rPr>
        <w:t>ed</w:t>
      </w:r>
      <w:r w:rsidR="00A4573F" w:rsidRPr="00E56186">
        <w:rPr>
          <w:rFonts w:asciiTheme="minorHAnsi" w:hAnsiTheme="minorHAnsi"/>
          <w:sz w:val="22"/>
          <w:szCs w:val="22"/>
        </w:rPr>
        <w:t xml:space="preserve"> spend from traditional </w:t>
      </w:r>
      <w:r w:rsidR="00D074AC">
        <w:rPr>
          <w:rFonts w:asciiTheme="minorHAnsi" w:hAnsiTheme="minorHAnsi"/>
          <w:sz w:val="22"/>
          <w:szCs w:val="22"/>
        </w:rPr>
        <w:t xml:space="preserve">channels </w:t>
      </w:r>
      <w:r w:rsidR="00A4573F" w:rsidRPr="00E56186">
        <w:rPr>
          <w:rFonts w:asciiTheme="minorHAnsi" w:hAnsiTheme="minorHAnsi"/>
          <w:sz w:val="22"/>
          <w:szCs w:val="22"/>
        </w:rPr>
        <w:t xml:space="preserve">to </w:t>
      </w:r>
      <w:r w:rsidR="00141B12" w:rsidRPr="00E56186">
        <w:rPr>
          <w:rFonts w:asciiTheme="minorHAnsi" w:hAnsiTheme="minorHAnsi"/>
          <w:sz w:val="22"/>
          <w:szCs w:val="22"/>
        </w:rPr>
        <w:t>personalised</w:t>
      </w:r>
      <w:r w:rsidR="00A4573F" w:rsidRPr="00E56186">
        <w:rPr>
          <w:rFonts w:asciiTheme="minorHAnsi" w:hAnsiTheme="minorHAnsi"/>
          <w:sz w:val="22"/>
          <w:szCs w:val="22"/>
        </w:rPr>
        <w:t xml:space="preserve"> digital channels</w:t>
      </w:r>
      <w:r w:rsidR="006F3B8A">
        <w:rPr>
          <w:rFonts w:asciiTheme="minorHAnsi" w:hAnsiTheme="minorHAnsi"/>
          <w:sz w:val="22"/>
          <w:szCs w:val="22"/>
        </w:rPr>
        <w:t>. Examples of this type of promotional spend during the year include our popular “Justice Refund” campaign where we returned money to our customers through free bets</w:t>
      </w:r>
      <w:r w:rsidR="00A4573F" w:rsidRPr="00E56186">
        <w:rPr>
          <w:rFonts w:asciiTheme="minorHAnsi" w:hAnsiTheme="minorHAnsi"/>
          <w:sz w:val="22"/>
          <w:szCs w:val="22"/>
        </w:rPr>
        <w:t xml:space="preserve">. Sales and marketing costs therefore reduced </w:t>
      </w:r>
      <w:r w:rsidR="00560E79" w:rsidRPr="00E56186">
        <w:rPr>
          <w:rFonts w:asciiTheme="minorHAnsi" w:hAnsiTheme="minorHAnsi"/>
          <w:sz w:val="22"/>
          <w:szCs w:val="22"/>
        </w:rPr>
        <w:t>9</w:t>
      </w:r>
      <w:r w:rsidR="00A4573F" w:rsidRPr="00E56186">
        <w:rPr>
          <w:rFonts w:asciiTheme="minorHAnsi" w:hAnsiTheme="minorHAnsi"/>
          <w:sz w:val="22"/>
          <w:szCs w:val="22"/>
        </w:rPr>
        <w:t xml:space="preserve">% compared with 2018. </w:t>
      </w:r>
      <w:r w:rsidR="00B6311E">
        <w:rPr>
          <w:rFonts w:asciiTheme="minorHAnsi" w:hAnsiTheme="minorHAnsi"/>
          <w:sz w:val="22"/>
          <w:szCs w:val="22"/>
        </w:rPr>
        <w:t xml:space="preserve"> </w:t>
      </w:r>
    </w:p>
    <w:p w14:paraId="2DA9CB40" w14:textId="6EAD58BF" w:rsidR="002678F9" w:rsidRPr="006F3B8A" w:rsidRDefault="009F3EFB" w:rsidP="00324B39">
      <w:pPr>
        <w:spacing w:after="120"/>
        <w:jc w:val="both"/>
        <w:rPr>
          <w:rFonts w:asciiTheme="minorHAnsi" w:hAnsiTheme="minorHAnsi"/>
          <w:sz w:val="22"/>
          <w:szCs w:val="22"/>
        </w:rPr>
      </w:pPr>
      <w:r>
        <w:rPr>
          <w:rFonts w:asciiTheme="minorHAnsi" w:hAnsiTheme="minorHAnsi"/>
          <w:sz w:val="22"/>
          <w:szCs w:val="22"/>
        </w:rPr>
        <w:t xml:space="preserve">Underlying </w:t>
      </w:r>
      <w:r w:rsidR="00141B12" w:rsidRPr="00E56186">
        <w:rPr>
          <w:rFonts w:asciiTheme="minorHAnsi" w:hAnsiTheme="minorHAnsi"/>
          <w:sz w:val="22"/>
          <w:szCs w:val="22"/>
        </w:rPr>
        <w:t>EBITDA</w:t>
      </w:r>
      <w:r w:rsidR="00EA3F18" w:rsidRPr="00676F2F">
        <w:rPr>
          <w:rFonts w:asciiTheme="minorHAnsi" w:hAnsiTheme="minorHAnsi"/>
          <w:sz w:val="22"/>
          <w:szCs w:val="22"/>
          <w:vertAlign w:val="superscript"/>
        </w:rPr>
        <w:t>2</w:t>
      </w:r>
      <w:r w:rsidR="00141B12" w:rsidRPr="000C7A56">
        <w:rPr>
          <w:rFonts w:asciiTheme="minorHAnsi" w:hAnsiTheme="minorHAnsi"/>
          <w:sz w:val="22"/>
          <w:vertAlign w:val="superscript"/>
        </w:rPr>
        <w:t xml:space="preserve"> </w:t>
      </w:r>
      <w:r w:rsidR="00B64D8C">
        <w:rPr>
          <w:rFonts w:asciiTheme="minorHAnsi" w:hAnsiTheme="minorHAnsi"/>
          <w:sz w:val="22"/>
          <w:szCs w:val="22"/>
        </w:rPr>
        <w:t>reduced by £12m to £125m</w:t>
      </w:r>
      <w:r w:rsidR="00D074AC">
        <w:rPr>
          <w:rFonts w:asciiTheme="minorHAnsi" w:hAnsiTheme="minorHAnsi"/>
          <w:sz w:val="22"/>
          <w:szCs w:val="22"/>
        </w:rPr>
        <w:t xml:space="preserve">, offsetting much of the additional £50m in </w:t>
      </w:r>
      <w:r w:rsidR="00B64D8C">
        <w:rPr>
          <w:rFonts w:asciiTheme="minorHAnsi" w:hAnsiTheme="minorHAnsi"/>
          <w:sz w:val="22"/>
          <w:szCs w:val="22"/>
        </w:rPr>
        <w:t>incremental</w:t>
      </w:r>
      <w:r w:rsidR="00141B12" w:rsidRPr="00E56186">
        <w:rPr>
          <w:rFonts w:asciiTheme="minorHAnsi" w:hAnsiTheme="minorHAnsi"/>
          <w:sz w:val="22"/>
          <w:szCs w:val="22"/>
        </w:rPr>
        <w:t xml:space="preserve"> taxes and product fees. Adjusting for these additional costs, </w:t>
      </w:r>
      <w:r>
        <w:rPr>
          <w:rFonts w:asciiTheme="minorHAnsi" w:hAnsiTheme="minorHAnsi"/>
          <w:sz w:val="22"/>
          <w:szCs w:val="22"/>
        </w:rPr>
        <w:t xml:space="preserve">underlying </w:t>
      </w:r>
      <w:r w:rsidR="00141B12" w:rsidRPr="00E56186">
        <w:rPr>
          <w:rFonts w:asciiTheme="minorHAnsi" w:hAnsiTheme="minorHAnsi"/>
          <w:sz w:val="22"/>
          <w:szCs w:val="22"/>
        </w:rPr>
        <w:t>EBITDA</w:t>
      </w:r>
      <w:r w:rsidR="00EA3F18" w:rsidRPr="00676F2F">
        <w:rPr>
          <w:rFonts w:asciiTheme="minorHAnsi" w:hAnsiTheme="minorHAnsi"/>
          <w:sz w:val="22"/>
          <w:szCs w:val="22"/>
          <w:vertAlign w:val="superscript"/>
        </w:rPr>
        <w:t>2</w:t>
      </w:r>
      <w:r w:rsidR="00141B12" w:rsidRPr="00E56186">
        <w:rPr>
          <w:rFonts w:asciiTheme="minorHAnsi" w:hAnsiTheme="minorHAnsi"/>
          <w:sz w:val="22"/>
          <w:szCs w:val="22"/>
        </w:rPr>
        <w:t xml:space="preserve"> </w:t>
      </w:r>
      <w:r w:rsidR="00141B12" w:rsidRPr="002826B4">
        <w:rPr>
          <w:rFonts w:asciiTheme="minorHAnsi" w:hAnsiTheme="minorHAnsi"/>
          <w:sz w:val="22"/>
          <w:szCs w:val="22"/>
        </w:rPr>
        <w:t xml:space="preserve">was </w:t>
      </w:r>
      <w:r w:rsidR="00B06210" w:rsidRPr="002826B4">
        <w:rPr>
          <w:rFonts w:asciiTheme="minorHAnsi" w:hAnsiTheme="minorHAnsi"/>
          <w:sz w:val="22"/>
          <w:szCs w:val="22"/>
        </w:rPr>
        <w:t>49</w:t>
      </w:r>
      <w:r w:rsidR="00141B12" w:rsidRPr="002826B4">
        <w:rPr>
          <w:rFonts w:asciiTheme="minorHAnsi" w:hAnsiTheme="minorHAnsi"/>
          <w:sz w:val="22"/>
          <w:szCs w:val="22"/>
        </w:rPr>
        <w:t>%</w:t>
      </w:r>
      <w:r w:rsidR="00B64D8C" w:rsidRPr="002826B4">
        <w:rPr>
          <w:rFonts w:asciiTheme="minorHAnsi" w:hAnsiTheme="minorHAnsi"/>
          <w:sz w:val="22"/>
          <w:szCs w:val="22"/>
        </w:rPr>
        <w:t xml:space="preserve"> higher</w:t>
      </w:r>
      <w:r w:rsidR="002826B4">
        <w:rPr>
          <w:rFonts w:asciiTheme="minorHAnsi" w:hAnsiTheme="minorHAnsi"/>
          <w:sz w:val="22"/>
          <w:szCs w:val="22"/>
        </w:rPr>
        <w:t xml:space="preserve"> in constant currency terms</w:t>
      </w:r>
      <w:r w:rsidR="00141B12" w:rsidRPr="00E56186">
        <w:rPr>
          <w:rFonts w:asciiTheme="minorHAnsi" w:hAnsiTheme="minorHAnsi"/>
          <w:sz w:val="22"/>
          <w:szCs w:val="22"/>
        </w:rPr>
        <w:t>.</w:t>
      </w:r>
    </w:p>
    <w:p w14:paraId="7F8A3EC7" w14:textId="75974DB4" w:rsidR="00903308" w:rsidRDefault="00903308" w:rsidP="00324B39">
      <w:pPr>
        <w:spacing w:after="120"/>
        <w:jc w:val="both"/>
        <w:rPr>
          <w:rFonts w:asciiTheme="minorHAnsi" w:hAnsiTheme="minorHAnsi"/>
          <w:b/>
          <w:sz w:val="22"/>
          <w:szCs w:val="22"/>
        </w:rPr>
      </w:pPr>
    </w:p>
    <w:p w14:paraId="488CE482" w14:textId="694F1313" w:rsidR="00903308" w:rsidRDefault="00903308" w:rsidP="00324B39">
      <w:pPr>
        <w:spacing w:after="120"/>
        <w:jc w:val="both"/>
        <w:rPr>
          <w:rFonts w:asciiTheme="minorHAnsi" w:hAnsiTheme="minorHAnsi"/>
          <w:b/>
          <w:sz w:val="22"/>
          <w:szCs w:val="22"/>
        </w:rPr>
      </w:pPr>
    </w:p>
    <w:p w14:paraId="199BA32F" w14:textId="2421B947" w:rsidR="00FE4A34" w:rsidRDefault="00FE4A34" w:rsidP="00324B39">
      <w:pPr>
        <w:spacing w:after="120"/>
        <w:jc w:val="both"/>
        <w:rPr>
          <w:rFonts w:asciiTheme="minorHAnsi" w:hAnsiTheme="minorHAnsi"/>
          <w:b/>
          <w:sz w:val="22"/>
          <w:szCs w:val="22"/>
        </w:rPr>
      </w:pPr>
    </w:p>
    <w:p w14:paraId="3CCDA67E" w14:textId="77777777" w:rsidR="00251F9E" w:rsidRDefault="00251F9E" w:rsidP="00324B39">
      <w:pPr>
        <w:spacing w:after="120"/>
        <w:jc w:val="both"/>
        <w:rPr>
          <w:rFonts w:asciiTheme="minorHAnsi" w:hAnsiTheme="minorHAnsi"/>
          <w:b/>
          <w:sz w:val="22"/>
          <w:szCs w:val="22"/>
        </w:rPr>
      </w:pPr>
    </w:p>
    <w:p w14:paraId="360C7040" w14:textId="2BF461D8" w:rsidR="00324B39" w:rsidRPr="00FF2520" w:rsidRDefault="00324B39" w:rsidP="00324B39">
      <w:pPr>
        <w:spacing w:after="120"/>
        <w:jc w:val="both"/>
        <w:rPr>
          <w:rFonts w:asciiTheme="minorHAnsi" w:hAnsiTheme="minorHAnsi"/>
          <w:b/>
          <w:i/>
          <w:sz w:val="22"/>
          <w:szCs w:val="22"/>
          <w:vertAlign w:val="superscript"/>
        </w:rPr>
      </w:pPr>
      <w:r w:rsidRPr="000D0EFF">
        <w:rPr>
          <w:rFonts w:asciiTheme="minorHAnsi" w:hAnsiTheme="minorHAnsi"/>
          <w:b/>
          <w:sz w:val="22"/>
          <w:szCs w:val="22"/>
        </w:rPr>
        <w:lastRenderedPageBreak/>
        <w:t>US</w:t>
      </w:r>
      <w:r>
        <w:rPr>
          <w:rFonts w:asciiTheme="minorHAnsi" w:hAnsiTheme="minorHAnsi"/>
          <w:b/>
          <w:sz w:val="22"/>
          <w:szCs w:val="22"/>
          <w:vertAlign w:val="superscript"/>
        </w:rPr>
        <w:t xml:space="preserve">6  </w:t>
      </w:r>
      <w:r w:rsidRPr="00B05220">
        <w:rPr>
          <w:rFonts w:asciiTheme="minorHAnsi" w:hAnsiTheme="minorHAnsi"/>
          <w:b/>
          <w:i/>
          <w:sz w:val="22"/>
          <w:szCs w:val="22"/>
          <w:vertAlign w:val="superscript"/>
        </w:rPr>
        <w:t xml:space="preserve"> </w:t>
      </w:r>
    </w:p>
    <w:tbl>
      <w:tblPr>
        <w:tblW w:w="0" w:type="auto"/>
        <w:tblLayout w:type="fixed"/>
        <w:tblLook w:val="04A0" w:firstRow="1" w:lastRow="0" w:firstColumn="1" w:lastColumn="0" w:noHBand="0" w:noVBand="1"/>
      </w:tblPr>
      <w:tblGrid>
        <w:gridCol w:w="2873"/>
        <w:gridCol w:w="823"/>
        <w:gridCol w:w="722"/>
        <w:gridCol w:w="236"/>
        <w:gridCol w:w="649"/>
        <w:gridCol w:w="588"/>
        <w:gridCol w:w="929"/>
        <w:gridCol w:w="929"/>
      </w:tblGrid>
      <w:tr w:rsidR="00E877C8" w:rsidRPr="00203051" w14:paraId="246D695E" w14:textId="77777777" w:rsidTr="00154BB7">
        <w:trPr>
          <w:trHeight w:val="249"/>
        </w:trPr>
        <w:tc>
          <w:tcPr>
            <w:tcW w:w="2873" w:type="dxa"/>
            <w:tcBorders>
              <w:top w:val="single" w:sz="4" w:space="0" w:color="auto"/>
              <w:left w:val="single" w:sz="4" w:space="0" w:color="auto"/>
            </w:tcBorders>
            <w:tcMar>
              <w:left w:w="45" w:type="dxa"/>
              <w:right w:w="45" w:type="dxa"/>
            </w:tcMar>
          </w:tcPr>
          <w:p w14:paraId="163B04D8" w14:textId="77777777" w:rsidR="00324B39" w:rsidRPr="00203051"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p>
        </w:tc>
        <w:tc>
          <w:tcPr>
            <w:tcW w:w="1545" w:type="dxa"/>
            <w:gridSpan w:val="2"/>
            <w:tcBorders>
              <w:top w:val="single" w:sz="4" w:space="0" w:color="auto"/>
            </w:tcBorders>
            <w:tcMar>
              <w:left w:w="45" w:type="dxa"/>
              <w:right w:w="45" w:type="dxa"/>
            </w:tcMar>
          </w:tcPr>
          <w:p w14:paraId="713591C8" w14:textId="77777777" w:rsidR="00324B39" w:rsidRPr="003416FA"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heme="minorHAnsi"/>
                <w:b/>
                <w:lang w:eastAsia="en-IE"/>
              </w:rPr>
            </w:pPr>
            <w:r>
              <w:rPr>
                <w:rFonts w:asciiTheme="minorHAnsi" w:hAnsiTheme="minorHAnsi" w:cstheme="minorHAnsi"/>
                <w:b/>
                <w:lang w:eastAsia="en-IE"/>
              </w:rPr>
              <w:t>Reported</w:t>
            </w:r>
          </w:p>
        </w:tc>
        <w:tc>
          <w:tcPr>
            <w:tcW w:w="236" w:type="dxa"/>
            <w:tcBorders>
              <w:top w:val="single" w:sz="4" w:space="0" w:color="auto"/>
              <w:right w:val="single" w:sz="4" w:space="0" w:color="auto"/>
            </w:tcBorders>
            <w:shd w:val="clear" w:color="auto" w:fill="auto"/>
          </w:tcPr>
          <w:p w14:paraId="2F269227" w14:textId="77777777" w:rsidR="00324B39" w:rsidRPr="003416FA"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lang w:eastAsia="en-IE"/>
              </w:rPr>
            </w:pPr>
          </w:p>
        </w:tc>
        <w:tc>
          <w:tcPr>
            <w:tcW w:w="3095" w:type="dxa"/>
            <w:gridSpan w:val="4"/>
            <w:tcBorders>
              <w:top w:val="single" w:sz="4" w:space="0" w:color="auto"/>
              <w:left w:val="single" w:sz="4" w:space="0" w:color="auto"/>
              <w:right w:val="single" w:sz="4" w:space="0" w:color="auto"/>
            </w:tcBorders>
            <w:shd w:val="clear" w:color="auto" w:fill="F2F2F2" w:themeFill="background1" w:themeFillShade="F2"/>
            <w:tcMar>
              <w:left w:w="45" w:type="dxa"/>
              <w:right w:w="45" w:type="dxa"/>
            </w:tcMar>
          </w:tcPr>
          <w:p w14:paraId="75C1BC9A" w14:textId="77777777" w:rsidR="00324B39" w:rsidRPr="003416FA"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heme="minorHAnsi"/>
                <w:b/>
                <w:lang w:eastAsia="en-IE"/>
              </w:rPr>
            </w:pPr>
            <w:r w:rsidRPr="003416FA">
              <w:rPr>
                <w:rFonts w:asciiTheme="minorHAnsi" w:hAnsiTheme="minorHAnsi" w:cs="Times New Roman"/>
                <w:b/>
                <w:lang w:eastAsia="en-IE"/>
              </w:rPr>
              <w:t>Proforma</w:t>
            </w:r>
            <w:r>
              <w:rPr>
                <w:rFonts w:asciiTheme="minorHAnsi" w:hAnsiTheme="minorHAnsi" w:cs="Times New Roman"/>
                <w:b/>
                <w:vertAlign w:val="superscript"/>
                <w:lang w:eastAsia="en-IE"/>
              </w:rPr>
              <w:t>4</w:t>
            </w:r>
            <w:r w:rsidRPr="003416FA">
              <w:rPr>
                <w:rFonts w:asciiTheme="minorHAnsi" w:hAnsiTheme="minorHAnsi" w:cs="Times New Roman"/>
                <w:b/>
                <w:lang w:eastAsia="en-IE"/>
              </w:rPr>
              <w:t xml:space="preserve"> Basis</w:t>
            </w:r>
          </w:p>
        </w:tc>
      </w:tr>
      <w:tr w:rsidR="00E877C8" w:rsidRPr="00203051" w14:paraId="05456F5E" w14:textId="77777777" w:rsidTr="00154BB7">
        <w:trPr>
          <w:trHeight w:val="793"/>
        </w:trPr>
        <w:tc>
          <w:tcPr>
            <w:tcW w:w="2873" w:type="dxa"/>
            <w:tcBorders>
              <w:left w:val="single" w:sz="4" w:space="0" w:color="auto"/>
              <w:bottom w:val="single" w:sz="4" w:space="0" w:color="auto"/>
            </w:tcBorders>
            <w:tcMar>
              <w:left w:w="45" w:type="dxa"/>
              <w:right w:w="45" w:type="dxa"/>
            </w:tcMar>
          </w:tcPr>
          <w:p w14:paraId="226C7BE3" w14:textId="77777777" w:rsidR="00345AD3" w:rsidRPr="00443C47" w:rsidRDefault="00345AD3" w:rsidP="00345A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Fonts w:asciiTheme="minorHAnsi" w:hAnsiTheme="minorHAnsi" w:cs="Times New Roman"/>
                <w:b/>
                <w:lang w:eastAsia="en-IE"/>
              </w:rPr>
            </w:pPr>
          </w:p>
          <w:p w14:paraId="146FF3B9" w14:textId="36D9812B" w:rsidR="00324B39" w:rsidRPr="00203051" w:rsidRDefault="00345AD3" w:rsidP="00345A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r>
              <w:rPr>
                <w:rFonts w:asciiTheme="minorHAnsi" w:hAnsiTheme="minorHAnsi" w:cs="Times New Roman"/>
                <w:i/>
                <w:sz w:val="18"/>
                <w:szCs w:val="18"/>
                <w:lang w:eastAsia="en-IE"/>
              </w:rPr>
              <w:t>Pre IFRS 16</w:t>
            </w:r>
          </w:p>
        </w:tc>
        <w:tc>
          <w:tcPr>
            <w:tcW w:w="823" w:type="dxa"/>
            <w:tcBorders>
              <w:bottom w:val="single" w:sz="4" w:space="0" w:color="auto"/>
            </w:tcBorders>
            <w:tcMar>
              <w:left w:w="45" w:type="dxa"/>
              <w:right w:w="45" w:type="dxa"/>
            </w:tcMar>
          </w:tcPr>
          <w:p w14:paraId="25E5B901"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sidRPr="003416FA">
              <w:rPr>
                <w:rFonts w:asciiTheme="minorHAnsi" w:hAnsiTheme="minorHAnsi" w:cstheme="minorHAnsi"/>
                <w:b/>
                <w:lang w:eastAsia="en-IE"/>
              </w:rPr>
              <w:t xml:space="preserve"> </w:t>
            </w:r>
          </w:p>
          <w:p w14:paraId="78F72910" w14:textId="2713316F"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sidRPr="003416FA">
              <w:rPr>
                <w:rFonts w:asciiTheme="minorHAnsi" w:hAnsiTheme="minorHAnsi" w:cstheme="minorHAnsi"/>
                <w:b/>
                <w:lang w:eastAsia="en-IE"/>
              </w:rPr>
              <w:t>201</w:t>
            </w:r>
            <w:r w:rsidR="002B33EA">
              <w:rPr>
                <w:rFonts w:asciiTheme="minorHAnsi" w:hAnsiTheme="minorHAnsi" w:cstheme="minorHAnsi"/>
                <w:b/>
                <w:lang w:eastAsia="en-IE"/>
              </w:rPr>
              <w:t>9</w:t>
            </w:r>
          </w:p>
          <w:p w14:paraId="3CEF3284" w14:textId="77777777" w:rsidR="00324B39" w:rsidRPr="003416FA"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£m</w:t>
            </w:r>
          </w:p>
        </w:tc>
        <w:tc>
          <w:tcPr>
            <w:tcW w:w="722" w:type="dxa"/>
            <w:tcBorders>
              <w:bottom w:val="single" w:sz="4" w:space="0" w:color="auto"/>
            </w:tcBorders>
            <w:tcMar>
              <w:left w:w="45" w:type="dxa"/>
              <w:right w:w="45" w:type="dxa"/>
            </w:tcMar>
          </w:tcPr>
          <w:p w14:paraId="3F71B46A"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p>
          <w:p w14:paraId="082324C5" w14:textId="777E24CF"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sidRPr="003416FA">
              <w:rPr>
                <w:rFonts w:asciiTheme="minorHAnsi" w:hAnsiTheme="minorHAnsi" w:cstheme="minorHAnsi"/>
                <w:b/>
                <w:lang w:eastAsia="en-IE"/>
              </w:rPr>
              <w:t>201</w:t>
            </w:r>
            <w:r w:rsidR="002B33EA">
              <w:rPr>
                <w:rFonts w:asciiTheme="minorHAnsi" w:hAnsiTheme="minorHAnsi" w:cstheme="minorHAnsi"/>
                <w:b/>
                <w:lang w:eastAsia="en-IE"/>
              </w:rPr>
              <w:t>8</w:t>
            </w:r>
          </w:p>
          <w:p w14:paraId="47466060" w14:textId="77777777" w:rsidR="00324B39" w:rsidRPr="003416FA"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£m</w:t>
            </w:r>
          </w:p>
        </w:tc>
        <w:tc>
          <w:tcPr>
            <w:tcW w:w="236" w:type="dxa"/>
            <w:tcBorders>
              <w:bottom w:val="single" w:sz="4" w:space="0" w:color="auto"/>
              <w:right w:val="single" w:sz="4" w:space="0" w:color="auto"/>
            </w:tcBorders>
            <w:shd w:val="clear" w:color="auto" w:fill="auto"/>
          </w:tcPr>
          <w:p w14:paraId="71EC0F4D" w14:textId="77777777" w:rsidR="00324B39" w:rsidRPr="003416FA"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p>
        </w:tc>
        <w:tc>
          <w:tcPr>
            <w:tcW w:w="649" w:type="dxa"/>
            <w:tcBorders>
              <w:left w:val="single" w:sz="4" w:space="0" w:color="auto"/>
              <w:bottom w:val="single" w:sz="4" w:space="0" w:color="auto"/>
            </w:tcBorders>
            <w:shd w:val="clear" w:color="auto" w:fill="F2F2F2" w:themeFill="background1" w:themeFillShade="F2"/>
            <w:tcMar>
              <w:left w:w="45" w:type="dxa"/>
              <w:right w:w="45" w:type="dxa"/>
            </w:tcMar>
          </w:tcPr>
          <w:p w14:paraId="0813E14E"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sidRPr="003416FA">
              <w:rPr>
                <w:rFonts w:asciiTheme="minorHAnsi" w:hAnsiTheme="minorHAnsi" w:cstheme="minorHAnsi"/>
                <w:b/>
                <w:lang w:eastAsia="en-IE"/>
              </w:rPr>
              <w:t xml:space="preserve"> </w:t>
            </w:r>
          </w:p>
          <w:p w14:paraId="7DB72933" w14:textId="6AA82411"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sidRPr="003416FA">
              <w:rPr>
                <w:rFonts w:asciiTheme="minorHAnsi" w:hAnsiTheme="minorHAnsi" w:cstheme="minorHAnsi"/>
                <w:b/>
                <w:lang w:eastAsia="en-IE"/>
              </w:rPr>
              <w:t>201</w:t>
            </w:r>
            <w:r w:rsidR="002B33EA">
              <w:rPr>
                <w:rFonts w:asciiTheme="minorHAnsi" w:hAnsiTheme="minorHAnsi" w:cstheme="minorHAnsi"/>
                <w:b/>
                <w:lang w:eastAsia="en-IE"/>
              </w:rPr>
              <w:t>9</w:t>
            </w:r>
          </w:p>
          <w:p w14:paraId="76B48EBF" w14:textId="77777777" w:rsidR="00324B39" w:rsidRPr="003416FA"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£m</w:t>
            </w:r>
          </w:p>
        </w:tc>
        <w:tc>
          <w:tcPr>
            <w:tcW w:w="588" w:type="dxa"/>
            <w:tcBorders>
              <w:bottom w:val="single" w:sz="4" w:space="0" w:color="auto"/>
            </w:tcBorders>
            <w:shd w:val="clear" w:color="auto" w:fill="F2F2F2" w:themeFill="background1" w:themeFillShade="F2"/>
            <w:tcMar>
              <w:left w:w="45" w:type="dxa"/>
              <w:right w:w="45" w:type="dxa"/>
            </w:tcMar>
          </w:tcPr>
          <w:p w14:paraId="07D53418"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p>
          <w:p w14:paraId="193C3631" w14:textId="06C02B95"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sidRPr="003416FA">
              <w:rPr>
                <w:rFonts w:asciiTheme="minorHAnsi" w:hAnsiTheme="minorHAnsi" w:cstheme="minorHAnsi"/>
                <w:b/>
                <w:lang w:eastAsia="en-IE"/>
              </w:rPr>
              <w:t>201</w:t>
            </w:r>
            <w:r w:rsidR="002B33EA">
              <w:rPr>
                <w:rFonts w:asciiTheme="minorHAnsi" w:hAnsiTheme="minorHAnsi" w:cstheme="minorHAnsi"/>
                <w:b/>
                <w:lang w:eastAsia="en-IE"/>
              </w:rPr>
              <w:t>8</w:t>
            </w:r>
          </w:p>
          <w:p w14:paraId="35F7B57E" w14:textId="77777777" w:rsidR="00324B39" w:rsidRPr="003416FA"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£m</w:t>
            </w:r>
          </w:p>
        </w:tc>
        <w:tc>
          <w:tcPr>
            <w:tcW w:w="929" w:type="dxa"/>
            <w:tcBorders>
              <w:bottom w:val="single" w:sz="4" w:space="0" w:color="auto"/>
            </w:tcBorders>
            <w:shd w:val="clear" w:color="auto" w:fill="F2F2F2" w:themeFill="background1" w:themeFillShade="F2"/>
            <w:tcMar>
              <w:left w:w="45" w:type="dxa"/>
              <w:right w:w="45" w:type="dxa"/>
            </w:tcMar>
          </w:tcPr>
          <w:p w14:paraId="7AFA6562" w14:textId="77777777" w:rsidR="00324B39" w:rsidRPr="00443C47"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443C47">
              <w:rPr>
                <w:rFonts w:asciiTheme="minorHAnsi" w:hAnsiTheme="minorHAnsi" w:cs="Times New Roman"/>
                <w:b/>
                <w:lang w:eastAsia="en-IE"/>
              </w:rPr>
              <w:t>Change</w:t>
            </w:r>
          </w:p>
          <w:p w14:paraId="73104CCC"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443C47">
              <w:rPr>
                <w:rFonts w:asciiTheme="minorHAnsi" w:hAnsiTheme="minorHAnsi" w:cs="Times New Roman"/>
                <w:b/>
                <w:lang w:eastAsia="en-IE"/>
              </w:rPr>
              <w:t>%</w:t>
            </w:r>
          </w:p>
          <w:p w14:paraId="535F1309" w14:textId="77777777" w:rsidR="00324B39" w:rsidRPr="003416FA"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imes New Roman"/>
                <w:b/>
                <w:lang w:eastAsia="en-IE"/>
              </w:rPr>
              <w:t>£</w:t>
            </w:r>
          </w:p>
        </w:tc>
        <w:tc>
          <w:tcPr>
            <w:tcW w:w="929" w:type="dxa"/>
            <w:tcBorders>
              <w:bottom w:val="single" w:sz="4" w:space="0" w:color="auto"/>
              <w:right w:val="single" w:sz="4" w:space="0" w:color="auto"/>
            </w:tcBorders>
            <w:shd w:val="clear" w:color="auto" w:fill="F2F2F2" w:themeFill="background1" w:themeFillShade="F2"/>
            <w:tcMar>
              <w:left w:w="45" w:type="dxa"/>
              <w:right w:w="45" w:type="dxa"/>
            </w:tcMar>
          </w:tcPr>
          <w:p w14:paraId="016A33E3"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Change</w:t>
            </w:r>
          </w:p>
          <w:p w14:paraId="6255495B"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 xml:space="preserve"> </w:t>
            </w:r>
            <w:r w:rsidRPr="00443C47">
              <w:rPr>
                <w:rFonts w:asciiTheme="minorHAnsi" w:hAnsiTheme="minorHAnsi" w:cs="Times New Roman"/>
                <w:b/>
                <w:lang w:eastAsia="en-IE"/>
              </w:rPr>
              <w:t>%</w:t>
            </w:r>
          </w:p>
          <w:p w14:paraId="7CEC033E" w14:textId="77777777" w:rsidR="00324B39" w:rsidRPr="003416FA"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imes New Roman"/>
                <w:b/>
                <w:lang w:eastAsia="en-IE"/>
              </w:rPr>
              <w:t>US$</w:t>
            </w:r>
          </w:p>
        </w:tc>
      </w:tr>
      <w:tr w:rsidR="00E877C8" w:rsidRPr="00E4257A" w14:paraId="7223C0D1" w14:textId="77777777" w:rsidTr="00154BB7">
        <w:trPr>
          <w:trHeight w:val="232"/>
        </w:trPr>
        <w:tc>
          <w:tcPr>
            <w:tcW w:w="2873" w:type="dxa"/>
            <w:tcBorders>
              <w:top w:val="single" w:sz="4" w:space="0" w:color="auto"/>
              <w:left w:val="single" w:sz="4" w:space="0" w:color="auto"/>
            </w:tcBorders>
            <w:tcMar>
              <w:left w:w="45" w:type="dxa"/>
              <w:right w:w="45" w:type="dxa"/>
            </w:tcMar>
          </w:tcPr>
          <w:p w14:paraId="53CE16C7" w14:textId="77777777" w:rsidR="00D2643C" w:rsidRPr="00203051"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0"/>
                <w:szCs w:val="10"/>
                <w:lang w:eastAsia="en-IE"/>
              </w:rPr>
            </w:pPr>
            <w:r w:rsidRPr="006529D3">
              <w:rPr>
                <w:rFonts w:asciiTheme="minorHAnsi" w:hAnsiTheme="minorHAnsi" w:cs="Times New Roman"/>
                <w:b/>
                <w:lang w:eastAsia="en-IE"/>
              </w:rPr>
              <w:t>Sportsbook stakes</w:t>
            </w:r>
          </w:p>
        </w:tc>
        <w:tc>
          <w:tcPr>
            <w:tcW w:w="823" w:type="dxa"/>
            <w:tcBorders>
              <w:top w:val="single" w:sz="4" w:space="0" w:color="auto"/>
            </w:tcBorders>
            <w:tcMar>
              <w:left w:w="45" w:type="dxa"/>
              <w:right w:w="45" w:type="dxa"/>
            </w:tcMar>
          </w:tcPr>
          <w:p w14:paraId="244CC1E3" w14:textId="3E66CC64"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2,326</w:t>
            </w:r>
          </w:p>
        </w:tc>
        <w:tc>
          <w:tcPr>
            <w:tcW w:w="722" w:type="dxa"/>
            <w:tcBorders>
              <w:top w:val="single" w:sz="4" w:space="0" w:color="auto"/>
            </w:tcBorders>
            <w:tcMar>
              <w:left w:w="45" w:type="dxa"/>
              <w:right w:w="45" w:type="dxa"/>
            </w:tcMar>
          </w:tcPr>
          <w:p w14:paraId="2FB6E307" w14:textId="46D244BE"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423</w:t>
            </w:r>
          </w:p>
        </w:tc>
        <w:tc>
          <w:tcPr>
            <w:tcW w:w="236" w:type="dxa"/>
            <w:tcBorders>
              <w:top w:val="single" w:sz="4" w:space="0" w:color="auto"/>
              <w:right w:val="single" w:sz="4" w:space="0" w:color="auto"/>
            </w:tcBorders>
            <w:shd w:val="clear" w:color="auto" w:fill="auto"/>
          </w:tcPr>
          <w:p w14:paraId="16305AEA" w14:textId="77777777" w:rsidR="00D2643C"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p>
        </w:tc>
        <w:tc>
          <w:tcPr>
            <w:tcW w:w="649" w:type="dxa"/>
            <w:tcBorders>
              <w:top w:val="single" w:sz="4" w:space="0" w:color="auto"/>
              <w:left w:val="single" w:sz="4" w:space="0" w:color="auto"/>
            </w:tcBorders>
            <w:shd w:val="clear" w:color="auto" w:fill="F2F2F2" w:themeFill="background1" w:themeFillShade="F2"/>
            <w:tcMar>
              <w:left w:w="45" w:type="dxa"/>
              <w:right w:w="45" w:type="dxa"/>
            </w:tcMar>
          </w:tcPr>
          <w:p w14:paraId="581C6E8A" w14:textId="75274E1C"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highlight w:val="yellow"/>
                <w:lang w:eastAsia="en-IE"/>
              </w:rPr>
            </w:pPr>
            <w:r>
              <w:rPr>
                <w:rFonts w:asciiTheme="minorHAnsi" w:hAnsiTheme="minorHAnsi" w:cstheme="minorHAnsi"/>
                <w:lang w:eastAsia="en-IE"/>
              </w:rPr>
              <w:t>2,326</w:t>
            </w:r>
          </w:p>
        </w:tc>
        <w:tc>
          <w:tcPr>
            <w:tcW w:w="588" w:type="dxa"/>
            <w:tcBorders>
              <w:top w:val="single" w:sz="4" w:space="0" w:color="auto"/>
            </w:tcBorders>
            <w:shd w:val="clear" w:color="auto" w:fill="F2F2F2" w:themeFill="background1" w:themeFillShade="F2"/>
            <w:tcMar>
              <w:left w:w="45" w:type="dxa"/>
              <w:right w:w="45" w:type="dxa"/>
            </w:tcMar>
          </w:tcPr>
          <w:p w14:paraId="55C9926D" w14:textId="0ED649BE" w:rsidR="00D2643C" w:rsidRPr="00A80371"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423</w:t>
            </w:r>
          </w:p>
        </w:tc>
        <w:tc>
          <w:tcPr>
            <w:tcW w:w="929" w:type="dxa"/>
            <w:tcBorders>
              <w:top w:val="single" w:sz="4" w:space="0" w:color="auto"/>
            </w:tcBorders>
            <w:shd w:val="clear" w:color="auto" w:fill="F2F2F2" w:themeFill="background1" w:themeFillShade="F2"/>
            <w:tcMar>
              <w:left w:w="45" w:type="dxa"/>
              <w:right w:w="45" w:type="dxa"/>
            </w:tcMar>
          </w:tcPr>
          <w:p w14:paraId="310347D3" w14:textId="6DDCA5AF" w:rsidR="00D2643C" w:rsidRPr="00A80371"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+450%</w:t>
            </w:r>
          </w:p>
        </w:tc>
        <w:tc>
          <w:tcPr>
            <w:tcW w:w="929" w:type="dxa"/>
            <w:tcBorders>
              <w:top w:val="single" w:sz="4" w:space="0" w:color="auto"/>
              <w:right w:val="single" w:sz="4" w:space="0" w:color="auto"/>
            </w:tcBorders>
            <w:shd w:val="clear" w:color="auto" w:fill="F2F2F2" w:themeFill="background1" w:themeFillShade="F2"/>
            <w:tcMar>
              <w:left w:w="45" w:type="dxa"/>
              <w:right w:w="45" w:type="dxa"/>
            </w:tcMar>
          </w:tcPr>
          <w:p w14:paraId="65E73687" w14:textId="44CD1A38"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highlight w:val="yellow"/>
                <w:lang w:eastAsia="en-IE"/>
              </w:rPr>
            </w:pPr>
            <w:r w:rsidRPr="005F4D86">
              <w:rPr>
                <w:rFonts w:asciiTheme="minorHAnsi" w:hAnsiTheme="minorHAnsi" w:cstheme="minorHAnsi"/>
                <w:lang w:eastAsia="en-IE"/>
              </w:rPr>
              <w:t>+446%</w:t>
            </w:r>
          </w:p>
        </w:tc>
      </w:tr>
      <w:tr w:rsidR="00E877C8" w:rsidRPr="00E4257A" w14:paraId="54AB6D74" w14:textId="77777777" w:rsidTr="00154BB7">
        <w:trPr>
          <w:trHeight w:val="232"/>
        </w:trPr>
        <w:tc>
          <w:tcPr>
            <w:tcW w:w="2873" w:type="dxa"/>
            <w:tcBorders>
              <w:left w:val="single" w:sz="4" w:space="0" w:color="auto"/>
            </w:tcBorders>
            <w:tcMar>
              <w:left w:w="45" w:type="dxa"/>
              <w:right w:w="45" w:type="dxa"/>
            </w:tcMar>
          </w:tcPr>
          <w:p w14:paraId="60A901B8" w14:textId="312A9899" w:rsidR="00D2643C" w:rsidRPr="00203051"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0"/>
                <w:szCs w:val="10"/>
                <w:lang w:eastAsia="en-IE"/>
              </w:rPr>
            </w:pPr>
            <w:r w:rsidRPr="006529D3">
              <w:rPr>
                <w:rFonts w:asciiTheme="minorHAnsi" w:hAnsiTheme="minorHAnsi" w:cs="Times New Roman"/>
                <w:i/>
                <w:lang w:eastAsia="en-IE"/>
              </w:rPr>
              <w:t xml:space="preserve">Sportsbook net revenue </w:t>
            </w:r>
            <w:r w:rsidR="008126B0">
              <w:rPr>
                <w:rFonts w:asciiTheme="minorHAnsi" w:hAnsiTheme="minorHAnsi" w:cs="Times New Roman"/>
                <w:i/>
                <w:lang w:eastAsia="en-IE"/>
              </w:rPr>
              <w:t>margin</w:t>
            </w:r>
          </w:p>
        </w:tc>
        <w:tc>
          <w:tcPr>
            <w:tcW w:w="823" w:type="dxa"/>
            <w:tcMar>
              <w:left w:w="45" w:type="dxa"/>
              <w:right w:w="45" w:type="dxa"/>
            </w:tcMar>
          </w:tcPr>
          <w:p w14:paraId="4EB3C9FB" w14:textId="08BBFD8F" w:rsidR="00D2643C" w:rsidRPr="00A80371"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lang w:eastAsia="en-IE"/>
              </w:rPr>
            </w:pPr>
            <w:r>
              <w:rPr>
                <w:rFonts w:asciiTheme="minorHAnsi" w:hAnsiTheme="minorHAnsi" w:cstheme="minorHAnsi"/>
                <w:i/>
                <w:lang w:eastAsia="en-IE"/>
              </w:rPr>
              <w:t>4.4%</w:t>
            </w:r>
          </w:p>
        </w:tc>
        <w:tc>
          <w:tcPr>
            <w:tcW w:w="722" w:type="dxa"/>
            <w:tcMar>
              <w:left w:w="45" w:type="dxa"/>
              <w:right w:w="45" w:type="dxa"/>
            </w:tcMar>
          </w:tcPr>
          <w:p w14:paraId="62588FBA" w14:textId="2F7714A6"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sidRPr="00A80371">
              <w:rPr>
                <w:rFonts w:asciiTheme="minorHAnsi" w:hAnsiTheme="minorHAnsi" w:cstheme="minorHAnsi"/>
                <w:i/>
                <w:lang w:eastAsia="en-IE"/>
              </w:rPr>
              <w:t>2.6%</w:t>
            </w:r>
          </w:p>
        </w:tc>
        <w:tc>
          <w:tcPr>
            <w:tcW w:w="236" w:type="dxa"/>
            <w:tcBorders>
              <w:right w:val="single" w:sz="4" w:space="0" w:color="auto"/>
            </w:tcBorders>
            <w:shd w:val="clear" w:color="auto" w:fill="auto"/>
          </w:tcPr>
          <w:p w14:paraId="7A8EC1D6" w14:textId="77777777" w:rsidR="00D2643C" w:rsidRPr="00A80371"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lang w:eastAsia="en-IE"/>
              </w:rPr>
            </w:pPr>
          </w:p>
        </w:tc>
        <w:tc>
          <w:tcPr>
            <w:tcW w:w="649" w:type="dxa"/>
            <w:tcBorders>
              <w:left w:val="single" w:sz="4" w:space="0" w:color="auto"/>
            </w:tcBorders>
            <w:shd w:val="clear" w:color="auto" w:fill="F2F2F2" w:themeFill="background1" w:themeFillShade="F2"/>
            <w:tcMar>
              <w:left w:w="45" w:type="dxa"/>
              <w:right w:w="45" w:type="dxa"/>
            </w:tcMar>
          </w:tcPr>
          <w:p w14:paraId="51AF24D4" w14:textId="7FEC90C3"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highlight w:val="yellow"/>
                <w:lang w:eastAsia="en-IE"/>
              </w:rPr>
            </w:pPr>
            <w:r>
              <w:rPr>
                <w:rFonts w:asciiTheme="minorHAnsi" w:hAnsiTheme="minorHAnsi" w:cstheme="minorHAnsi"/>
                <w:i/>
                <w:lang w:eastAsia="en-IE"/>
              </w:rPr>
              <w:t>4.4%</w:t>
            </w:r>
          </w:p>
        </w:tc>
        <w:tc>
          <w:tcPr>
            <w:tcW w:w="588" w:type="dxa"/>
            <w:shd w:val="clear" w:color="auto" w:fill="F2F2F2" w:themeFill="background1" w:themeFillShade="F2"/>
            <w:tcMar>
              <w:left w:w="45" w:type="dxa"/>
              <w:right w:w="45" w:type="dxa"/>
            </w:tcMar>
          </w:tcPr>
          <w:p w14:paraId="4724BD0B" w14:textId="69818D7C" w:rsidR="00D2643C" w:rsidRPr="00A80371"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sidRPr="00A80371">
              <w:rPr>
                <w:rFonts w:asciiTheme="minorHAnsi" w:hAnsiTheme="minorHAnsi" w:cstheme="minorHAnsi"/>
                <w:i/>
                <w:lang w:eastAsia="en-IE"/>
              </w:rPr>
              <w:t>2.6%</w:t>
            </w:r>
          </w:p>
        </w:tc>
        <w:tc>
          <w:tcPr>
            <w:tcW w:w="929" w:type="dxa"/>
            <w:shd w:val="clear" w:color="auto" w:fill="F2F2F2" w:themeFill="background1" w:themeFillShade="F2"/>
            <w:tcMar>
              <w:left w:w="45" w:type="dxa"/>
              <w:right w:w="45" w:type="dxa"/>
            </w:tcMar>
          </w:tcPr>
          <w:p w14:paraId="67753BA4" w14:textId="0B73A2B3" w:rsidR="00D2643C" w:rsidRPr="00A80371"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sidRPr="00B14AEF">
              <w:rPr>
                <w:rFonts w:asciiTheme="minorHAnsi" w:hAnsiTheme="minorHAnsi" w:cstheme="minorHAnsi"/>
                <w:i/>
                <w:lang w:eastAsia="en-IE"/>
              </w:rPr>
              <w:t>+180bps</w:t>
            </w:r>
          </w:p>
        </w:tc>
        <w:tc>
          <w:tcPr>
            <w:tcW w:w="929" w:type="dxa"/>
            <w:tcBorders>
              <w:right w:val="single" w:sz="4" w:space="0" w:color="auto"/>
            </w:tcBorders>
            <w:shd w:val="clear" w:color="auto" w:fill="F2F2F2" w:themeFill="background1" w:themeFillShade="F2"/>
            <w:tcMar>
              <w:left w:w="45" w:type="dxa"/>
              <w:right w:w="45" w:type="dxa"/>
            </w:tcMar>
          </w:tcPr>
          <w:p w14:paraId="177DEAF5" w14:textId="6E356406"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highlight w:val="yellow"/>
                <w:lang w:eastAsia="en-IE"/>
              </w:rPr>
            </w:pPr>
            <w:r w:rsidRPr="00B14AEF">
              <w:rPr>
                <w:rFonts w:asciiTheme="minorHAnsi" w:hAnsiTheme="minorHAnsi" w:cstheme="minorHAnsi"/>
                <w:i/>
                <w:lang w:eastAsia="en-IE"/>
              </w:rPr>
              <w:t>+180bps</w:t>
            </w:r>
          </w:p>
        </w:tc>
      </w:tr>
      <w:tr w:rsidR="00E877C8" w:rsidRPr="00E4257A" w14:paraId="4664963D" w14:textId="77777777" w:rsidTr="00154BB7">
        <w:trPr>
          <w:trHeight w:val="123"/>
        </w:trPr>
        <w:tc>
          <w:tcPr>
            <w:tcW w:w="2873" w:type="dxa"/>
            <w:tcBorders>
              <w:left w:val="single" w:sz="4" w:space="0" w:color="auto"/>
            </w:tcBorders>
            <w:tcMar>
              <w:left w:w="45" w:type="dxa"/>
              <w:right w:w="45" w:type="dxa"/>
            </w:tcMar>
          </w:tcPr>
          <w:p w14:paraId="5A59F911" w14:textId="77777777" w:rsidR="00ED2DBB" w:rsidRPr="000C7A56" w:rsidRDefault="00ED2DBB"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i/>
                <w:sz w:val="8"/>
              </w:rPr>
            </w:pPr>
          </w:p>
        </w:tc>
        <w:tc>
          <w:tcPr>
            <w:tcW w:w="823" w:type="dxa"/>
            <w:tcMar>
              <w:left w:w="45" w:type="dxa"/>
              <w:right w:w="45" w:type="dxa"/>
            </w:tcMar>
          </w:tcPr>
          <w:p w14:paraId="48B4E7D4" w14:textId="77777777" w:rsidR="00ED2DBB" w:rsidRPr="000C7A56" w:rsidRDefault="00ED2DBB"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8"/>
              </w:rPr>
            </w:pPr>
          </w:p>
        </w:tc>
        <w:tc>
          <w:tcPr>
            <w:tcW w:w="722" w:type="dxa"/>
            <w:tcMar>
              <w:left w:w="45" w:type="dxa"/>
              <w:right w:w="45" w:type="dxa"/>
            </w:tcMar>
          </w:tcPr>
          <w:p w14:paraId="5F2E8402" w14:textId="77777777" w:rsidR="00ED2DBB" w:rsidRPr="000C7A56" w:rsidRDefault="00ED2DBB"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8"/>
              </w:rPr>
            </w:pPr>
          </w:p>
        </w:tc>
        <w:tc>
          <w:tcPr>
            <w:tcW w:w="236" w:type="dxa"/>
            <w:tcBorders>
              <w:right w:val="single" w:sz="4" w:space="0" w:color="auto"/>
            </w:tcBorders>
            <w:shd w:val="clear" w:color="auto" w:fill="auto"/>
          </w:tcPr>
          <w:p w14:paraId="168B3252" w14:textId="77777777" w:rsidR="00ED2DBB" w:rsidRPr="000C7A56" w:rsidRDefault="00ED2DBB"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8"/>
              </w:rPr>
            </w:pPr>
          </w:p>
        </w:tc>
        <w:tc>
          <w:tcPr>
            <w:tcW w:w="649" w:type="dxa"/>
            <w:tcBorders>
              <w:left w:val="single" w:sz="4" w:space="0" w:color="auto"/>
            </w:tcBorders>
            <w:shd w:val="clear" w:color="auto" w:fill="F2F2F2" w:themeFill="background1" w:themeFillShade="F2"/>
            <w:tcMar>
              <w:left w:w="45" w:type="dxa"/>
              <w:right w:w="45" w:type="dxa"/>
            </w:tcMar>
          </w:tcPr>
          <w:p w14:paraId="75163559" w14:textId="77777777" w:rsidR="00ED2DBB" w:rsidRPr="000C7A56" w:rsidRDefault="00ED2DBB"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8"/>
              </w:rPr>
            </w:pPr>
          </w:p>
        </w:tc>
        <w:tc>
          <w:tcPr>
            <w:tcW w:w="588" w:type="dxa"/>
            <w:shd w:val="clear" w:color="auto" w:fill="F2F2F2" w:themeFill="background1" w:themeFillShade="F2"/>
            <w:tcMar>
              <w:left w:w="45" w:type="dxa"/>
              <w:right w:w="45" w:type="dxa"/>
            </w:tcMar>
          </w:tcPr>
          <w:p w14:paraId="7009950F" w14:textId="77777777" w:rsidR="00ED2DBB" w:rsidRPr="000C7A56" w:rsidRDefault="00ED2DBB"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8"/>
              </w:rPr>
            </w:pPr>
          </w:p>
        </w:tc>
        <w:tc>
          <w:tcPr>
            <w:tcW w:w="929" w:type="dxa"/>
            <w:shd w:val="clear" w:color="auto" w:fill="F2F2F2" w:themeFill="background1" w:themeFillShade="F2"/>
            <w:tcMar>
              <w:left w:w="45" w:type="dxa"/>
              <w:right w:w="45" w:type="dxa"/>
            </w:tcMar>
          </w:tcPr>
          <w:p w14:paraId="3AA858DC" w14:textId="77777777" w:rsidR="00ED2DBB" w:rsidRPr="000C7A56" w:rsidRDefault="00ED2DBB"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8"/>
              </w:rPr>
            </w:pPr>
          </w:p>
        </w:tc>
        <w:tc>
          <w:tcPr>
            <w:tcW w:w="929" w:type="dxa"/>
            <w:tcBorders>
              <w:right w:val="single" w:sz="4" w:space="0" w:color="auto"/>
            </w:tcBorders>
            <w:shd w:val="clear" w:color="auto" w:fill="F2F2F2" w:themeFill="background1" w:themeFillShade="F2"/>
            <w:tcMar>
              <w:left w:w="45" w:type="dxa"/>
              <w:right w:w="45" w:type="dxa"/>
            </w:tcMar>
          </w:tcPr>
          <w:p w14:paraId="6765C5DD" w14:textId="77777777" w:rsidR="00ED2DBB" w:rsidRPr="000C7A56" w:rsidRDefault="00ED2DBB"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8"/>
              </w:rPr>
            </w:pPr>
          </w:p>
        </w:tc>
      </w:tr>
      <w:tr w:rsidR="00E877C8" w:rsidRPr="00E4257A" w14:paraId="7B79854E" w14:textId="77777777" w:rsidTr="00154BB7">
        <w:trPr>
          <w:trHeight w:val="232"/>
        </w:trPr>
        <w:tc>
          <w:tcPr>
            <w:tcW w:w="2873" w:type="dxa"/>
            <w:tcBorders>
              <w:left w:val="single" w:sz="4" w:space="0" w:color="auto"/>
            </w:tcBorders>
            <w:tcMar>
              <w:left w:w="45" w:type="dxa"/>
              <w:right w:w="45" w:type="dxa"/>
            </w:tcMar>
          </w:tcPr>
          <w:p w14:paraId="228F0F5E" w14:textId="77777777"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sidRPr="003416FA">
              <w:rPr>
                <w:rFonts w:asciiTheme="minorHAnsi" w:hAnsiTheme="minorHAnsi" w:cs="Times New Roman"/>
                <w:lang w:eastAsia="en-IE"/>
              </w:rPr>
              <w:t>Sports revenue</w:t>
            </w:r>
          </w:p>
        </w:tc>
        <w:tc>
          <w:tcPr>
            <w:tcW w:w="823" w:type="dxa"/>
            <w:tcMar>
              <w:left w:w="45" w:type="dxa"/>
              <w:right w:w="45" w:type="dxa"/>
            </w:tcMar>
          </w:tcPr>
          <w:p w14:paraId="654D5340" w14:textId="2EFB19A3"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325</w:t>
            </w:r>
          </w:p>
        </w:tc>
        <w:tc>
          <w:tcPr>
            <w:tcW w:w="722" w:type="dxa"/>
            <w:tcMar>
              <w:left w:w="45" w:type="dxa"/>
              <w:right w:w="45" w:type="dxa"/>
            </w:tcMar>
          </w:tcPr>
          <w:p w14:paraId="627FB0BD" w14:textId="275B9484"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sidRPr="003416FA">
              <w:rPr>
                <w:rFonts w:asciiTheme="minorHAnsi" w:hAnsiTheme="minorHAnsi" w:cstheme="minorHAnsi"/>
                <w:lang w:eastAsia="en-IE"/>
              </w:rPr>
              <w:t>172</w:t>
            </w:r>
          </w:p>
        </w:tc>
        <w:tc>
          <w:tcPr>
            <w:tcW w:w="236" w:type="dxa"/>
            <w:tcBorders>
              <w:right w:val="single" w:sz="4" w:space="0" w:color="auto"/>
            </w:tcBorders>
            <w:shd w:val="clear" w:color="auto" w:fill="auto"/>
          </w:tcPr>
          <w:p w14:paraId="57AC317A" w14:textId="77777777"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p>
        </w:tc>
        <w:tc>
          <w:tcPr>
            <w:tcW w:w="649" w:type="dxa"/>
            <w:tcBorders>
              <w:left w:val="single" w:sz="4" w:space="0" w:color="auto"/>
            </w:tcBorders>
            <w:shd w:val="clear" w:color="auto" w:fill="F2F2F2" w:themeFill="background1" w:themeFillShade="F2"/>
            <w:tcMar>
              <w:left w:w="45" w:type="dxa"/>
              <w:right w:w="45" w:type="dxa"/>
            </w:tcMar>
          </w:tcPr>
          <w:p w14:paraId="03F307F7" w14:textId="317A8E23"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325</w:t>
            </w:r>
          </w:p>
        </w:tc>
        <w:tc>
          <w:tcPr>
            <w:tcW w:w="588" w:type="dxa"/>
            <w:shd w:val="clear" w:color="auto" w:fill="F2F2F2" w:themeFill="background1" w:themeFillShade="F2"/>
            <w:tcMar>
              <w:left w:w="45" w:type="dxa"/>
              <w:right w:w="45" w:type="dxa"/>
            </w:tcMar>
          </w:tcPr>
          <w:p w14:paraId="1D853EC3" w14:textId="529874C7"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sidRPr="003416FA">
              <w:rPr>
                <w:rFonts w:asciiTheme="minorHAnsi" w:hAnsiTheme="minorHAnsi" w:cstheme="minorHAnsi"/>
                <w:lang w:eastAsia="en-IE"/>
              </w:rPr>
              <w:t>216</w:t>
            </w:r>
          </w:p>
        </w:tc>
        <w:tc>
          <w:tcPr>
            <w:tcW w:w="929" w:type="dxa"/>
            <w:shd w:val="clear" w:color="auto" w:fill="F2F2F2" w:themeFill="background1" w:themeFillShade="F2"/>
            <w:tcMar>
              <w:left w:w="45" w:type="dxa"/>
              <w:right w:w="45" w:type="dxa"/>
            </w:tcMar>
          </w:tcPr>
          <w:p w14:paraId="1BC582E1" w14:textId="114B2076"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+51%</w:t>
            </w:r>
          </w:p>
        </w:tc>
        <w:tc>
          <w:tcPr>
            <w:tcW w:w="929" w:type="dxa"/>
            <w:tcBorders>
              <w:right w:val="single" w:sz="4" w:space="0" w:color="auto"/>
            </w:tcBorders>
            <w:shd w:val="clear" w:color="auto" w:fill="F2F2F2" w:themeFill="background1" w:themeFillShade="F2"/>
            <w:tcMar>
              <w:left w:w="45" w:type="dxa"/>
              <w:right w:w="45" w:type="dxa"/>
            </w:tcMar>
          </w:tcPr>
          <w:p w14:paraId="033AA285" w14:textId="0A290019"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+45%</w:t>
            </w:r>
          </w:p>
        </w:tc>
      </w:tr>
      <w:tr w:rsidR="00E877C8" w:rsidRPr="00E4257A" w14:paraId="35F5962E" w14:textId="77777777" w:rsidTr="00154BB7">
        <w:trPr>
          <w:trHeight w:val="232"/>
        </w:trPr>
        <w:tc>
          <w:tcPr>
            <w:tcW w:w="2873" w:type="dxa"/>
            <w:tcBorders>
              <w:left w:val="single" w:sz="4" w:space="0" w:color="auto"/>
            </w:tcBorders>
            <w:tcMar>
              <w:left w:w="45" w:type="dxa"/>
              <w:right w:w="45" w:type="dxa"/>
            </w:tcMar>
          </w:tcPr>
          <w:p w14:paraId="7FFBFBFE" w14:textId="77777777"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sidRPr="003416FA">
              <w:rPr>
                <w:rFonts w:asciiTheme="minorHAnsi" w:hAnsiTheme="minorHAnsi" w:cs="Times New Roman"/>
                <w:lang w:eastAsia="en-IE"/>
              </w:rPr>
              <w:t>Gaming revenue</w:t>
            </w:r>
          </w:p>
        </w:tc>
        <w:tc>
          <w:tcPr>
            <w:tcW w:w="823" w:type="dxa"/>
            <w:tcBorders>
              <w:bottom w:val="single" w:sz="4" w:space="0" w:color="auto"/>
            </w:tcBorders>
            <w:tcMar>
              <w:left w:w="45" w:type="dxa"/>
              <w:right w:w="45" w:type="dxa"/>
            </w:tcMar>
          </w:tcPr>
          <w:p w14:paraId="00FF3D62" w14:textId="72134F03"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51</w:t>
            </w:r>
          </w:p>
        </w:tc>
        <w:tc>
          <w:tcPr>
            <w:tcW w:w="722" w:type="dxa"/>
            <w:tcBorders>
              <w:bottom w:val="single" w:sz="4" w:space="0" w:color="auto"/>
            </w:tcBorders>
            <w:tcMar>
              <w:left w:w="45" w:type="dxa"/>
              <w:right w:w="45" w:type="dxa"/>
            </w:tcMar>
          </w:tcPr>
          <w:p w14:paraId="5AE280B0" w14:textId="3D396CDE"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sidRPr="003416FA">
              <w:rPr>
                <w:rFonts w:asciiTheme="minorHAnsi" w:hAnsiTheme="minorHAnsi" w:cstheme="minorHAnsi"/>
                <w:lang w:eastAsia="en-IE"/>
              </w:rPr>
              <w:t>20</w:t>
            </w:r>
          </w:p>
        </w:tc>
        <w:tc>
          <w:tcPr>
            <w:tcW w:w="236" w:type="dxa"/>
            <w:tcBorders>
              <w:bottom w:val="single" w:sz="4" w:space="0" w:color="auto"/>
              <w:right w:val="single" w:sz="4" w:space="0" w:color="auto"/>
            </w:tcBorders>
            <w:shd w:val="clear" w:color="auto" w:fill="auto"/>
          </w:tcPr>
          <w:p w14:paraId="3E6FC099" w14:textId="77777777"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p>
        </w:tc>
        <w:tc>
          <w:tcPr>
            <w:tcW w:w="649" w:type="dxa"/>
            <w:tcBorders>
              <w:left w:val="single" w:sz="4" w:space="0" w:color="auto"/>
              <w:bottom w:val="single" w:sz="4" w:space="0" w:color="auto"/>
            </w:tcBorders>
            <w:shd w:val="clear" w:color="auto" w:fill="F2F2F2" w:themeFill="background1" w:themeFillShade="F2"/>
            <w:tcMar>
              <w:left w:w="45" w:type="dxa"/>
              <w:right w:w="45" w:type="dxa"/>
            </w:tcMar>
          </w:tcPr>
          <w:p w14:paraId="603C78A9" w14:textId="45ABB3F3"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51</w:t>
            </w:r>
          </w:p>
        </w:tc>
        <w:tc>
          <w:tcPr>
            <w:tcW w:w="588" w:type="dxa"/>
            <w:tcBorders>
              <w:bottom w:val="single" w:sz="4" w:space="0" w:color="auto"/>
            </w:tcBorders>
            <w:shd w:val="clear" w:color="auto" w:fill="F2F2F2" w:themeFill="background1" w:themeFillShade="F2"/>
            <w:tcMar>
              <w:left w:w="45" w:type="dxa"/>
              <w:right w:w="45" w:type="dxa"/>
            </w:tcMar>
          </w:tcPr>
          <w:p w14:paraId="0AEDC563" w14:textId="43435095"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sidRPr="003416FA">
              <w:rPr>
                <w:rFonts w:asciiTheme="minorHAnsi" w:hAnsiTheme="minorHAnsi" w:cstheme="minorHAnsi"/>
                <w:lang w:eastAsia="en-IE"/>
              </w:rPr>
              <w:t>20</w:t>
            </w:r>
          </w:p>
        </w:tc>
        <w:tc>
          <w:tcPr>
            <w:tcW w:w="929" w:type="dxa"/>
            <w:tcBorders>
              <w:bottom w:val="single" w:sz="4" w:space="0" w:color="auto"/>
            </w:tcBorders>
            <w:shd w:val="clear" w:color="auto" w:fill="F2F2F2" w:themeFill="background1" w:themeFillShade="F2"/>
            <w:tcMar>
              <w:left w:w="45" w:type="dxa"/>
              <w:right w:w="45" w:type="dxa"/>
            </w:tcMar>
          </w:tcPr>
          <w:p w14:paraId="5EBA2035" w14:textId="61F57F85"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+160%</w:t>
            </w:r>
          </w:p>
        </w:tc>
        <w:tc>
          <w:tcPr>
            <w:tcW w:w="929" w:type="dxa"/>
            <w:tcBorders>
              <w:bottom w:val="single" w:sz="4" w:space="0" w:color="auto"/>
              <w:right w:val="single" w:sz="4" w:space="0" w:color="auto"/>
            </w:tcBorders>
            <w:shd w:val="clear" w:color="auto" w:fill="F2F2F2" w:themeFill="background1" w:themeFillShade="F2"/>
            <w:tcMar>
              <w:left w:w="45" w:type="dxa"/>
              <w:right w:w="45" w:type="dxa"/>
            </w:tcMar>
          </w:tcPr>
          <w:p w14:paraId="257288C4" w14:textId="2229F340"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+149%</w:t>
            </w:r>
          </w:p>
        </w:tc>
      </w:tr>
      <w:tr w:rsidR="00E877C8" w:rsidRPr="00E4257A" w14:paraId="732BFB50" w14:textId="77777777" w:rsidTr="00154BB7">
        <w:trPr>
          <w:trHeight w:val="232"/>
        </w:trPr>
        <w:tc>
          <w:tcPr>
            <w:tcW w:w="2873" w:type="dxa"/>
            <w:tcBorders>
              <w:left w:val="single" w:sz="4" w:space="0" w:color="auto"/>
            </w:tcBorders>
            <w:tcMar>
              <w:left w:w="45" w:type="dxa"/>
              <w:right w:w="45" w:type="dxa"/>
            </w:tcMar>
          </w:tcPr>
          <w:p w14:paraId="298F276C" w14:textId="12C57853" w:rsidR="00B06210" w:rsidRPr="003416FA" w:rsidRDefault="00535846"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lang w:eastAsia="en-IE"/>
              </w:rPr>
            </w:pPr>
            <w:r>
              <w:rPr>
                <w:rFonts w:asciiTheme="minorHAnsi" w:hAnsiTheme="minorHAnsi" w:cs="Times New Roman"/>
                <w:b/>
                <w:lang w:eastAsia="en-IE"/>
              </w:rPr>
              <w:t>Total revenue</w:t>
            </w:r>
          </w:p>
        </w:tc>
        <w:tc>
          <w:tcPr>
            <w:tcW w:w="823" w:type="dxa"/>
            <w:tcBorders>
              <w:top w:val="single" w:sz="4" w:space="0" w:color="auto"/>
            </w:tcBorders>
            <w:tcMar>
              <w:left w:w="45" w:type="dxa"/>
              <w:right w:w="45" w:type="dxa"/>
            </w:tcMar>
          </w:tcPr>
          <w:p w14:paraId="73E8235D" w14:textId="69CB2D42"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376</w:t>
            </w:r>
          </w:p>
        </w:tc>
        <w:tc>
          <w:tcPr>
            <w:tcW w:w="722" w:type="dxa"/>
            <w:tcBorders>
              <w:top w:val="single" w:sz="4" w:space="0" w:color="auto"/>
            </w:tcBorders>
            <w:tcMar>
              <w:left w:w="45" w:type="dxa"/>
              <w:right w:w="45" w:type="dxa"/>
            </w:tcMar>
          </w:tcPr>
          <w:p w14:paraId="2BA18B6A" w14:textId="5C7152BD"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sidRPr="003416FA">
              <w:rPr>
                <w:rFonts w:asciiTheme="minorHAnsi" w:hAnsiTheme="minorHAnsi" w:cstheme="minorHAnsi"/>
                <w:b/>
                <w:lang w:eastAsia="en-IE"/>
              </w:rPr>
              <w:t>191</w:t>
            </w:r>
          </w:p>
        </w:tc>
        <w:tc>
          <w:tcPr>
            <w:tcW w:w="236" w:type="dxa"/>
            <w:tcBorders>
              <w:top w:val="single" w:sz="4" w:space="0" w:color="auto"/>
              <w:right w:val="single" w:sz="4" w:space="0" w:color="auto"/>
            </w:tcBorders>
            <w:shd w:val="clear" w:color="auto" w:fill="auto"/>
          </w:tcPr>
          <w:p w14:paraId="6F6E393F" w14:textId="77777777"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p>
        </w:tc>
        <w:tc>
          <w:tcPr>
            <w:tcW w:w="649" w:type="dxa"/>
            <w:tcBorders>
              <w:top w:val="single" w:sz="4" w:space="0" w:color="auto"/>
              <w:left w:val="single" w:sz="4" w:space="0" w:color="auto"/>
            </w:tcBorders>
            <w:shd w:val="clear" w:color="auto" w:fill="F2F2F2" w:themeFill="background1" w:themeFillShade="F2"/>
            <w:tcMar>
              <w:left w:w="45" w:type="dxa"/>
              <w:right w:w="45" w:type="dxa"/>
            </w:tcMar>
          </w:tcPr>
          <w:p w14:paraId="72971A9F" w14:textId="672345F2"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376</w:t>
            </w:r>
          </w:p>
        </w:tc>
        <w:tc>
          <w:tcPr>
            <w:tcW w:w="588" w:type="dxa"/>
            <w:tcBorders>
              <w:top w:val="single" w:sz="4" w:space="0" w:color="auto"/>
            </w:tcBorders>
            <w:shd w:val="clear" w:color="auto" w:fill="F2F2F2" w:themeFill="background1" w:themeFillShade="F2"/>
            <w:tcMar>
              <w:left w:w="45" w:type="dxa"/>
              <w:right w:w="45" w:type="dxa"/>
            </w:tcMar>
          </w:tcPr>
          <w:p w14:paraId="29E545F7" w14:textId="6268BB10"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sidRPr="003416FA">
              <w:rPr>
                <w:rFonts w:asciiTheme="minorHAnsi" w:hAnsiTheme="minorHAnsi" w:cstheme="minorHAnsi"/>
                <w:b/>
                <w:lang w:eastAsia="en-IE"/>
              </w:rPr>
              <w:t>236</w:t>
            </w:r>
          </w:p>
        </w:tc>
        <w:tc>
          <w:tcPr>
            <w:tcW w:w="929" w:type="dxa"/>
            <w:tcBorders>
              <w:top w:val="single" w:sz="4" w:space="0" w:color="auto"/>
            </w:tcBorders>
            <w:shd w:val="clear" w:color="auto" w:fill="F2F2F2" w:themeFill="background1" w:themeFillShade="F2"/>
            <w:tcMar>
              <w:left w:w="45" w:type="dxa"/>
              <w:right w:w="45" w:type="dxa"/>
            </w:tcMar>
          </w:tcPr>
          <w:p w14:paraId="5BB9E67A" w14:textId="3E65A13C"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+60%</w:t>
            </w:r>
          </w:p>
        </w:tc>
        <w:tc>
          <w:tcPr>
            <w:tcW w:w="929" w:type="dxa"/>
            <w:tcBorders>
              <w:top w:val="single" w:sz="4" w:space="0" w:color="auto"/>
              <w:right w:val="single" w:sz="4" w:space="0" w:color="auto"/>
            </w:tcBorders>
            <w:shd w:val="clear" w:color="auto" w:fill="F2F2F2" w:themeFill="background1" w:themeFillShade="F2"/>
            <w:tcMar>
              <w:left w:w="45" w:type="dxa"/>
              <w:right w:w="45" w:type="dxa"/>
            </w:tcMar>
          </w:tcPr>
          <w:p w14:paraId="05CBB6AF" w14:textId="5BE76378"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+54%</w:t>
            </w:r>
          </w:p>
        </w:tc>
      </w:tr>
      <w:tr w:rsidR="00535846" w:rsidRPr="00E4257A" w14:paraId="3549C75A" w14:textId="77777777" w:rsidTr="00154BB7">
        <w:trPr>
          <w:trHeight w:val="65"/>
        </w:trPr>
        <w:tc>
          <w:tcPr>
            <w:tcW w:w="2873" w:type="dxa"/>
            <w:tcBorders>
              <w:left w:val="single" w:sz="4" w:space="0" w:color="auto"/>
            </w:tcBorders>
            <w:tcMar>
              <w:left w:w="45" w:type="dxa"/>
              <w:right w:w="45" w:type="dxa"/>
            </w:tcMar>
          </w:tcPr>
          <w:p w14:paraId="03F688B5" w14:textId="77777777" w:rsidR="00535846" w:rsidRPr="002744B0" w:rsidRDefault="00535846"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8"/>
                <w:szCs w:val="8"/>
                <w:lang w:eastAsia="en-IE"/>
              </w:rPr>
            </w:pPr>
          </w:p>
        </w:tc>
        <w:tc>
          <w:tcPr>
            <w:tcW w:w="823" w:type="dxa"/>
            <w:tcMar>
              <w:left w:w="45" w:type="dxa"/>
              <w:right w:w="45" w:type="dxa"/>
            </w:tcMar>
          </w:tcPr>
          <w:p w14:paraId="23E740DA" w14:textId="77777777" w:rsidR="00535846" w:rsidRPr="002744B0" w:rsidRDefault="00535846"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722" w:type="dxa"/>
            <w:tcMar>
              <w:left w:w="45" w:type="dxa"/>
              <w:right w:w="45" w:type="dxa"/>
            </w:tcMar>
          </w:tcPr>
          <w:p w14:paraId="79AFAE67" w14:textId="77777777" w:rsidR="00535846" w:rsidRPr="002744B0" w:rsidRDefault="00535846"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236" w:type="dxa"/>
            <w:tcBorders>
              <w:right w:val="single" w:sz="4" w:space="0" w:color="auto"/>
            </w:tcBorders>
            <w:shd w:val="clear" w:color="auto" w:fill="auto"/>
          </w:tcPr>
          <w:p w14:paraId="63C2A2FF" w14:textId="77777777" w:rsidR="00535846" w:rsidRPr="002744B0" w:rsidRDefault="00535846"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649" w:type="dxa"/>
            <w:tcBorders>
              <w:left w:val="single" w:sz="4" w:space="0" w:color="auto"/>
            </w:tcBorders>
            <w:shd w:val="clear" w:color="auto" w:fill="F2F2F2" w:themeFill="background1" w:themeFillShade="F2"/>
            <w:tcMar>
              <w:left w:w="45" w:type="dxa"/>
              <w:right w:w="45" w:type="dxa"/>
            </w:tcMar>
          </w:tcPr>
          <w:p w14:paraId="3CF3FAF6" w14:textId="77777777" w:rsidR="00535846" w:rsidRPr="002744B0" w:rsidRDefault="00535846"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588" w:type="dxa"/>
            <w:shd w:val="clear" w:color="auto" w:fill="F2F2F2" w:themeFill="background1" w:themeFillShade="F2"/>
            <w:tcMar>
              <w:left w:w="45" w:type="dxa"/>
              <w:right w:w="45" w:type="dxa"/>
            </w:tcMar>
          </w:tcPr>
          <w:p w14:paraId="76EF7F8A" w14:textId="77777777" w:rsidR="00535846" w:rsidRPr="002744B0" w:rsidRDefault="00535846"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929" w:type="dxa"/>
            <w:shd w:val="clear" w:color="auto" w:fill="F2F2F2" w:themeFill="background1" w:themeFillShade="F2"/>
            <w:tcMar>
              <w:left w:w="45" w:type="dxa"/>
              <w:right w:w="45" w:type="dxa"/>
            </w:tcMar>
          </w:tcPr>
          <w:p w14:paraId="5CFCB89B" w14:textId="77777777" w:rsidR="00535846" w:rsidRPr="002744B0" w:rsidRDefault="00535846"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929" w:type="dxa"/>
            <w:tcBorders>
              <w:right w:val="single" w:sz="4" w:space="0" w:color="auto"/>
            </w:tcBorders>
            <w:shd w:val="clear" w:color="auto" w:fill="F2F2F2" w:themeFill="background1" w:themeFillShade="F2"/>
            <w:tcMar>
              <w:left w:w="45" w:type="dxa"/>
              <w:right w:w="45" w:type="dxa"/>
            </w:tcMar>
          </w:tcPr>
          <w:p w14:paraId="66430CAA" w14:textId="77777777" w:rsidR="00535846" w:rsidRPr="002744B0" w:rsidRDefault="00535846"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r>
      <w:tr w:rsidR="00E877C8" w:rsidRPr="00E4257A" w14:paraId="3EC9A4AB" w14:textId="77777777" w:rsidTr="00154BB7">
        <w:trPr>
          <w:trHeight w:val="232"/>
        </w:trPr>
        <w:tc>
          <w:tcPr>
            <w:tcW w:w="2873" w:type="dxa"/>
            <w:tcBorders>
              <w:left w:val="single" w:sz="4" w:space="0" w:color="auto"/>
            </w:tcBorders>
            <w:tcMar>
              <w:left w:w="45" w:type="dxa"/>
              <w:right w:w="45" w:type="dxa"/>
            </w:tcMar>
          </w:tcPr>
          <w:p w14:paraId="79551E8D" w14:textId="77777777"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sidRPr="003416FA">
              <w:rPr>
                <w:rFonts w:asciiTheme="minorHAnsi" w:hAnsiTheme="minorHAnsi" w:cs="Times New Roman"/>
                <w:lang w:eastAsia="en-IE"/>
              </w:rPr>
              <w:t>Cost of sales</w:t>
            </w:r>
          </w:p>
        </w:tc>
        <w:tc>
          <w:tcPr>
            <w:tcW w:w="823" w:type="dxa"/>
            <w:tcMar>
              <w:left w:w="45" w:type="dxa"/>
              <w:right w:w="45" w:type="dxa"/>
            </w:tcMar>
          </w:tcPr>
          <w:p w14:paraId="5181F60A" w14:textId="5528902C"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w:t>
            </w:r>
            <w:r w:rsidR="008277C2">
              <w:rPr>
                <w:rFonts w:asciiTheme="minorHAnsi" w:hAnsiTheme="minorHAnsi" w:cstheme="minorHAnsi"/>
                <w:lang w:eastAsia="en-IE"/>
              </w:rPr>
              <w:t>116</w:t>
            </w:r>
            <w:r>
              <w:rPr>
                <w:rFonts w:asciiTheme="minorHAnsi" w:hAnsiTheme="minorHAnsi" w:cstheme="minorHAnsi"/>
                <w:lang w:eastAsia="en-IE"/>
              </w:rPr>
              <w:t>)</w:t>
            </w:r>
          </w:p>
        </w:tc>
        <w:tc>
          <w:tcPr>
            <w:tcW w:w="722" w:type="dxa"/>
            <w:tcMar>
              <w:left w:w="45" w:type="dxa"/>
              <w:right w:w="45" w:type="dxa"/>
            </w:tcMar>
          </w:tcPr>
          <w:p w14:paraId="01C8D05A" w14:textId="03F2093A"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sidRPr="003416FA">
              <w:rPr>
                <w:rFonts w:asciiTheme="minorHAnsi" w:hAnsiTheme="minorHAnsi" w:cstheme="minorHAnsi"/>
                <w:lang w:eastAsia="en-IE"/>
              </w:rPr>
              <w:t>(45)</w:t>
            </w:r>
          </w:p>
        </w:tc>
        <w:tc>
          <w:tcPr>
            <w:tcW w:w="236" w:type="dxa"/>
            <w:tcBorders>
              <w:right w:val="single" w:sz="4" w:space="0" w:color="auto"/>
            </w:tcBorders>
            <w:shd w:val="clear" w:color="auto" w:fill="auto"/>
          </w:tcPr>
          <w:p w14:paraId="0FEDC3B2" w14:textId="77777777"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p>
        </w:tc>
        <w:tc>
          <w:tcPr>
            <w:tcW w:w="649" w:type="dxa"/>
            <w:tcBorders>
              <w:left w:val="single" w:sz="4" w:space="0" w:color="auto"/>
            </w:tcBorders>
            <w:shd w:val="clear" w:color="auto" w:fill="F2F2F2" w:themeFill="background1" w:themeFillShade="F2"/>
            <w:tcMar>
              <w:left w:w="45" w:type="dxa"/>
              <w:right w:w="45" w:type="dxa"/>
            </w:tcMar>
          </w:tcPr>
          <w:p w14:paraId="2F794395" w14:textId="7BA7B8CB"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(11</w:t>
            </w:r>
            <w:r w:rsidR="00755C6E">
              <w:rPr>
                <w:rFonts w:asciiTheme="minorHAnsi" w:hAnsiTheme="minorHAnsi" w:cstheme="minorHAnsi"/>
                <w:lang w:eastAsia="en-IE"/>
              </w:rPr>
              <w:t>6</w:t>
            </w:r>
            <w:r>
              <w:rPr>
                <w:rFonts w:asciiTheme="minorHAnsi" w:hAnsiTheme="minorHAnsi" w:cstheme="minorHAnsi"/>
                <w:lang w:eastAsia="en-IE"/>
              </w:rPr>
              <w:t>)</w:t>
            </w:r>
          </w:p>
        </w:tc>
        <w:tc>
          <w:tcPr>
            <w:tcW w:w="588" w:type="dxa"/>
            <w:shd w:val="clear" w:color="auto" w:fill="F2F2F2" w:themeFill="background1" w:themeFillShade="F2"/>
            <w:tcMar>
              <w:left w:w="45" w:type="dxa"/>
              <w:right w:w="45" w:type="dxa"/>
            </w:tcMar>
          </w:tcPr>
          <w:p w14:paraId="5A227349" w14:textId="53AEB0A7"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sidRPr="003416FA">
              <w:rPr>
                <w:rFonts w:asciiTheme="minorHAnsi" w:hAnsiTheme="minorHAnsi" w:cstheme="minorHAnsi"/>
                <w:lang w:eastAsia="en-IE"/>
              </w:rPr>
              <w:t>(50)</w:t>
            </w:r>
          </w:p>
        </w:tc>
        <w:tc>
          <w:tcPr>
            <w:tcW w:w="929" w:type="dxa"/>
            <w:shd w:val="clear" w:color="auto" w:fill="F2F2F2" w:themeFill="background1" w:themeFillShade="F2"/>
            <w:tcMar>
              <w:left w:w="45" w:type="dxa"/>
              <w:right w:w="45" w:type="dxa"/>
            </w:tcMar>
          </w:tcPr>
          <w:p w14:paraId="76AD8E49" w14:textId="6C6931BD"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+13</w:t>
            </w:r>
            <w:r w:rsidR="00755C6E">
              <w:rPr>
                <w:rFonts w:asciiTheme="minorHAnsi" w:hAnsiTheme="minorHAnsi" w:cstheme="minorHAnsi"/>
                <w:lang w:eastAsia="en-IE"/>
              </w:rPr>
              <w:t>2</w:t>
            </w:r>
            <w:r>
              <w:rPr>
                <w:rFonts w:asciiTheme="minorHAnsi" w:hAnsiTheme="minorHAnsi" w:cstheme="minorHAnsi"/>
                <w:lang w:eastAsia="en-IE"/>
              </w:rPr>
              <w:t>%</w:t>
            </w:r>
          </w:p>
        </w:tc>
        <w:tc>
          <w:tcPr>
            <w:tcW w:w="929" w:type="dxa"/>
            <w:tcBorders>
              <w:right w:val="single" w:sz="4" w:space="0" w:color="auto"/>
            </w:tcBorders>
            <w:shd w:val="clear" w:color="auto" w:fill="F2F2F2" w:themeFill="background1" w:themeFillShade="F2"/>
            <w:tcMar>
              <w:left w:w="45" w:type="dxa"/>
              <w:right w:w="45" w:type="dxa"/>
            </w:tcMar>
          </w:tcPr>
          <w:p w14:paraId="7B386D65" w14:textId="1AA61261" w:rsidR="00D2643C" w:rsidRPr="003416FA"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+1</w:t>
            </w:r>
            <w:r w:rsidR="00755C6E">
              <w:rPr>
                <w:rFonts w:asciiTheme="minorHAnsi" w:hAnsiTheme="minorHAnsi" w:cstheme="minorHAnsi"/>
                <w:lang w:eastAsia="en-IE"/>
              </w:rPr>
              <w:t>24</w:t>
            </w:r>
            <w:r>
              <w:rPr>
                <w:rFonts w:asciiTheme="minorHAnsi" w:hAnsiTheme="minorHAnsi" w:cstheme="minorHAnsi"/>
                <w:lang w:eastAsia="en-IE"/>
              </w:rPr>
              <w:t>%</w:t>
            </w:r>
          </w:p>
        </w:tc>
      </w:tr>
      <w:tr w:rsidR="000C43F2" w:rsidRPr="00E4257A" w14:paraId="498357AC" w14:textId="77777777" w:rsidTr="00154BB7">
        <w:trPr>
          <w:trHeight w:val="232"/>
        </w:trPr>
        <w:tc>
          <w:tcPr>
            <w:tcW w:w="2873" w:type="dxa"/>
            <w:tcBorders>
              <w:left w:val="single" w:sz="4" w:space="0" w:color="auto"/>
            </w:tcBorders>
            <w:tcMar>
              <w:left w:w="45" w:type="dxa"/>
              <w:right w:w="45" w:type="dxa"/>
            </w:tcMar>
          </w:tcPr>
          <w:p w14:paraId="5B0CF043" w14:textId="0F393A35" w:rsidR="000C43F2" w:rsidRPr="00B32CCA" w:rsidRDefault="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Cost of sales as a % of net revenue</w:t>
            </w:r>
          </w:p>
        </w:tc>
        <w:tc>
          <w:tcPr>
            <w:tcW w:w="823" w:type="dxa"/>
            <w:tcMar>
              <w:left w:w="45" w:type="dxa"/>
              <w:right w:w="45" w:type="dxa"/>
            </w:tcMar>
          </w:tcPr>
          <w:p w14:paraId="1A6A2617" w14:textId="082062EE" w:rsidR="000C43F2" w:rsidRPr="00B32CC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18"/>
                <w:szCs w:val="18"/>
                <w:lang w:eastAsia="en-IE"/>
              </w:rPr>
            </w:pPr>
            <w:r w:rsidRPr="00B32CCA">
              <w:rPr>
                <w:rFonts w:asciiTheme="minorHAnsi" w:hAnsiTheme="minorHAnsi" w:cstheme="minorHAnsi"/>
                <w:i/>
                <w:sz w:val="18"/>
                <w:szCs w:val="18"/>
                <w:lang w:eastAsia="en-IE"/>
              </w:rPr>
              <w:t>30.8%</w:t>
            </w:r>
          </w:p>
        </w:tc>
        <w:tc>
          <w:tcPr>
            <w:tcW w:w="722" w:type="dxa"/>
            <w:tcMar>
              <w:left w:w="45" w:type="dxa"/>
              <w:right w:w="45" w:type="dxa"/>
            </w:tcMar>
          </w:tcPr>
          <w:p w14:paraId="7543FB79" w14:textId="659DAED7" w:rsidR="000C43F2" w:rsidRPr="00B32CC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18"/>
                <w:szCs w:val="18"/>
                <w:lang w:eastAsia="en-IE"/>
              </w:rPr>
            </w:pPr>
            <w:r w:rsidRPr="00B32CCA">
              <w:rPr>
                <w:rFonts w:asciiTheme="minorHAnsi" w:hAnsiTheme="minorHAnsi" w:cstheme="minorHAnsi"/>
                <w:i/>
                <w:sz w:val="18"/>
                <w:szCs w:val="18"/>
                <w:lang w:eastAsia="en-IE"/>
              </w:rPr>
              <w:t>23.3%</w:t>
            </w:r>
          </w:p>
        </w:tc>
        <w:tc>
          <w:tcPr>
            <w:tcW w:w="236" w:type="dxa"/>
            <w:tcBorders>
              <w:right w:val="single" w:sz="4" w:space="0" w:color="auto"/>
            </w:tcBorders>
            <w:shd w:val="clear" w:color="auto" w:fill="auto"/>
          </w:tcPr>
          <w:p w14:paraId="4C1336DC" w14:textId="77777777" w:rsidR="000C43F2" w:rsidRPr="00B32CC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18"/>
                <w:szCs w:val="18"/>
                <w:lang w:eastAsia="en-IE"/>
              </w:rPr>
            </w:pPr>
          </w:p>
        </w:tc>
        <w:tc>
          <w:tcPr>
            <w:tcW w:w="649" w:type="dxa"/>
            <w:tcBorders>
              <w:left w:val="single" w:sz="4" w:space="0" w:color="auto"/>
            </w:tcBorders>
            <w:shd w:val="clear" w:color="auto" w:fill="F2F2F2" w:themeFill="background1" w:themeFillShade="F2"/>
            <w:tcMar>
              <w:left w:w="45" w:type="dxa"/>
              <w:right w:w="45" w:type="dxa"/>
            </w:tcMar>
          </w:tcPr>
          <w:p w14:paraId="182C70F6" w14:textId="2FA6ED45" w:rsidR="000C43F2" w:rsidRPr="00B32CC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18"/>
                <w:szCs w:val="18"/>
                <w:lang w:eastAsia="en-IE"/>
              </w:rPr>
            </w:pPr>
            <w:r w:rsidRPr="00B32CCA">
              <w:rPr>
                <w:rFonts w:asciiTheme="minorHAnsi" w:hAnsiTheme="minorHAnsi" w:cstheme="minorHAnsi"/>
                <w:i/>
                <w:sz w:val="18"/>
                <w:szCs w:val="18"/>
                <w:lang w:eastAsia="en-IE"/>
              </w:rPr>
              <w:t>30.8%</w:t>
            </w:r>
          </w:p>
        </w:tc>
        <w:tc>
          <w:tcPr>
            <w:tcW w:w="588" w:type="dxa"/>
            <w:shd w:val="clear" w:color="auto" w:fill="F2F2F2" w:themeFill="background1" w:themeFillShade="F2"/>
            <w:tcMar>
              <w:left w:w="45" w:type="dxa"/>
              <w:right w:w="45" w:type="dxa"/>
            </w:tcMar>
          </w:tcPr>
          <w:p w14:paraId="7BF65B70" w14:textId="4CE70457" w:rsidR="000C43F2" w:rsidRPr="00B32CC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18"/>
                <w:szCs w:val="18"/>
                <w:lang w:eastAsia="en-IE"/>
              </w:rPr>
            </w:pPr>
            <w:r w:rsidRPr="00B32CCA">
              <w:rPr>
                <w:rFonts w:asciiTheme="minorHAnsi" w:hAnsiTheme="minorHAnsi" w:cstheme="minorHAnsi"/>
                <w:i/>
                <w:sz w:val="18"/>
                <w:szCs w:val="18"/>
                <w:lang w:eastAsia="en-IE"/>
              </w:rPr>
              <w:t>21.2%</w:t>
            </w:r>
          </w:p>
        </w:tc>
        <w:tc>
          <w:tcPr>
            <w:tcW w:w="929" w:type="dxa"/>
            <w:shd w:val="clear" w:color="auto" w:fill="F2F2F2" w:themeFill="background1" w:themeFillShade="F2"/>
            <w:tcMar>
              <w:left w:w="45" w:type="dxa"/>
              <w:right w:w="45" w:type="dxa"/>
            </w:tcMar>
          </w:tcPr>
          <w:p w14:paraId="351EE23B" w14:textId="7FC0527F" w:rsidR="000C43F2" w:rsidRPr="00B32CCA" w:rsidRDefault="004B7E5E"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18"/>
                <w:szCs w:val="18"/>
                <w:lang w:eastAsia="en-IE"/>
              </w:rPr>
            </w:pPr>
            <w:r w:rsidRPr="00B32CCA">
              <w:rPr>
                <w:rFonts w:asciiTheme="minorHAnsi" w:hAnsiTheme="minorHAnsi" w:cstheme="minorHAnsi"/>
                <w:i/>
                <w:sz w:val="18"/>
                <w:szCs w:val="18"/>
                <w:lang w:eastAsia="en-IE"/>
              </w:rPr>
              <w:t>+</w:t>
            </w:r>
            <w:r w:rsidR="000C43F2" w:rsidRPr="00B32CCA">
              <w:rPr>
                <w:rFonts w:asciiTheme="minorHAnsi" w:hAnsiTheme="minorHAnsi" w:cstheme="minorHAnsi"/>
                <w:i/>
                <w:sz w:val="18"/>
                <w:szCs w:val="18"/>
                <w:lang w:eastAsia="en-IE"/>
              </w:rPr>
              <w:t>960bps</w:t>
            </w:r>
          </w:p>
        </w:tc>
        <w:tc>
          <w:tcPr>
            <w:tcW w:w="929" w:type="dxa"/>
            <w:tcBorders>
              <w:right w:val="single" w:sz="4" w:space="0" w:color="auto"/>
            </w:tcBorders>
            <w:shd w:val="clear" w:color="auto" w:fill="F2F2F2" w:themeFill="background1" w:themeFillShade="F2"/>
            <w:tcMar>
              <w:left w:w="45" w:type="dxa"/>
              <w:right w:w="45" w:type="dxa"/>
            </w:tcMar>
          </w:tcPr>
          <w:p w14:paraId="7CD9C5B9" w14:textId="1029C348" w:rsidR="000C43F2" w:rsidRPr="00B32CCA" w:rsidRDefault="004B7E5E"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18"/>
                <w:szCs w:val="18"/>
                <w:lang w:eastAsia="en-IE"/>
              </w:rPr>
            </w:pPr>
            <w:r w:rsidRPr="00B32CCA">
              <w:rPr>
                <w:rFonts w:asciiTheme="minorHAnsi" w:hAnsiTheme="minorHAnsi" w:cstheme="minorHAnsi"/>
                <w:i/>
                <w:sz w:val="18"/>
                <w:szCs w:val="18"/>
                <w:lang w:eastAsia="en-IE"/>
              </w:rPr>
              <w:t>+</w:t>
            </w:r>
            <w:r w:rsidR="000C43F2" w:rsidRPr="00B32CCA">
              <w:rPr>
                <w:rFonts w:asciiTheme="minorHAnsi" w:hAnsiTheme="minorHAnsi" w:cstheme="minorHAnsi"/>
                <w:i/>
                <w:sz w:val="18"/>
                <w:szCs w:val="18"/>
                <w:lang w:eastAsia="en-IE"/>
              </w:rPr>
              <w:t>960bps</w:t>
            </w:r>
          </w:p>
        </w:tc>
      </w:tr>
      <w:tr w:rsidR="000C43F2" w:rsidRPr="00E4257A" w14:paraId="586379DB" w14:textId="77777777" w:rsidTr="00154BB7">
        <w:trPr>
          <w:trHeight w:val="64"/>
        </w:trPr>
        <w:tc>
          <w:tcPr>
            <w:tcW w:w="2873" w:type="dxa"/>
            <w:tcBorders>
              <w:left w:val="single" w:sz="4" w:space="0" w:color="auto"/>
            </w:tcBorders>
            <w:tcMar>
              <w:left w:w="45" w:type="dxa"/>
              <w:right w:w="45" w:type="dxa"/>
            </w:tcMar>
          </w:tcPr>
          <w:p w14:paraId="0E80B6B5"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i/>
                <w:sz w:val="8"/>
                <w:szCs w:val="8"/>
                <w:lang w:eastAsia="en-IE"/>
              </w:rPr>
            </w:pPr>
          </w:p>
        </w:tc>
        <w:tc>
          <w:tcPr>
            <w:tcW w:w="823" w:type="dxa"/>
            <w:tcMar>
              <w:left w:w="45" w:type="dxa"/>
              <w:right w:w="45" w:type="dxa"/>
            </w:tcMar>
          </w:tcPr>
          <w:p w14:paraId="7AEE0934"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8"/>
                <w:szCs w:val="8"/>
                <w:lang w:eastAsia="en-IE"/>
              </w:rPr>
            </w:pPr>
          </w:p>
        </w:tc>
        <w:tc>
          <w:tcPr>
            <w:tcW w:w="722" w:type="dxa"/>
            <w:tcMar>
              <w:left w:w="45" w:type="dxa"/>
              <w:right w:w="45" w:type="dxa"/>
            </w:tcMar>
          </w:tcPr>
          <w:p w14:paraId="18E40CB9"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8"/>
                <w:szCs w:val="8"/>
                <w:lang w:eastAsia="en-IE"/>
              </w:rPr>
            </w:pPr>
          </w:p>
        </w:tc>
        <w:tc>
          <w:tcPr>
            <w:tcW w:w="236" w:type="dxa"/>
            <w:tcBorders>
              <w:right w:val="single" w:sz="4" w:space="0" w:color="auto"/>
            </w:tcBorders>
            <w:shd w:val="clear" w:color="auto" w:fill="auto"/>
          </w:tcPr>
          <w:p w14:paraId="7FC8E05B"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8"/>
                <w:szCs w:val="8"/>
                <w:lang w:eastAsia="en-IE"/>
              </w:rPr>
            </w:pPr>
          </w:p>
        </w:tc>
        <w:tc>
          <w:tcPr>
            <w:tcW w:w="649" w:type="dxa"/>
            <w:tcBorders>
              <w:left w:val="single" w:sz="4" w:space="0" w:color="auto"/>
            </w:tcBorders>
            <w:shd w:val="clear" w:color="auto" w:fill="F2F2F2" w:themeFill="background1" w:themeFillShade="F2"/>
            <w:tcMar>
              <w:left w:w="45" w:type="dxa"/>
              <w:right w:w="45" w:type="dxa"/>
            </w:tcMar>
          </w:tcPr>
          <w:p w14:paraId="58540A61"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8"/>
                <w:szCs w:val="8"/>
                <w:lang w:eastAsia="en-IE"/>
              </w:rPr>
            </w:pPr>
          </w:p>
        </w:tc>
        <w:tc>
          <w:tcPr>
            <w:tcW w:w="588" w:type="dxa"/>
            <w:shd w:val="clear" w:color="auto" w:fill="F2F2F2" w:themeFill="background1" w:themeFillShade="F2"/>
            <w:tcMar>
              <w:left w:w="45" w:type="dxa"/>
              <w:right w:w="45" w:type="dxa"/>
            </w:tcMar>
          </w:tcPr>
          <w:p w14:paraId="2B1F06E1"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8"/>
                <w:szCs w:val="8"/>
                <w:lang w:eastAsia="en-IE"/>
              </w:rPr>
            </w:pPr>
          </w:p>
        </w:tc>
        <w:tc>
          <w:tcPr>
            <w:tcW w:w="929" w:type="dxa"/>
            <w:shd w:val="clear" w:color="auto" w:fill="F2F2F2" w:themeFill="background1" w:themeFillShade="F2"/>
            <w:tcMar>
              <w:left w:w="45" w:type="dxa"/>
              <w:right w:w="45" w:type="dxa"/>
            </w:tcMar>
          </w:tcPr>
          <w:p w14:paraId="60579ED5"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8"/>
                <w:szCs w:val="8"/>
                <w:lang w:eastAsia="en-IE"/>
              </w:rPr>
            </w:pPr>
          </w:p>
        </w:tc>
        <w:tc>
          <w:tcPr>
            <w:tcW w:w="929" w:type="dxa"/>
            <w:tcBorders>
              <w:right w:val="single" w:sz="4" w:space="0" w:color="auto"/>
            </w:tcBorders>
            <w:shd w:val="clear" w:color="auto" w:fill="F2F2F2" w:themeFill="background1" w:themeFillShade="F2"/>
            <w:tcMar>
              <w:left w:w="45" w:type="dxa"/>
              <w:right w:w="45" w:type="dxa"/>
            </w:tcMar>
          </w:tcPr>
          <w:p w14:paraId="1C753AF5"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8"/>
                <w:szCs w:val="8"/>
                <w:lang w:eastAsia="en-IE"/>
              </w:rPr>
            </w:pPr>
          </w:p>
        </w:tc>
      </w:tr>
      <w:tr w:rsidR="00E877C8" w:rsidRPr="00E4257A" w14:paraId="4945A631" w14:textId="77777777" w:rsidTr="00154BB7">
        <w:trPr>
          <w:trHeight w:val="232"/>
        </w:trPr>
        <w:tc>
          <w:tcPr>
            <w:tcW w:w="2873" w:type="dxa"/>
            <w:tcBorders>
              <w:left w:val="single" w:sz="4" w:space="0" w:color="auto"/>
            </w:tcBorders>
            <w:tcMar>
              <w:left w:w="45" w:type="dxa"/>
              <w:right w:w="45" w:type="dxa"/>
            </w:tcMar>
          </w:tcPr>
          <w:p w14:paraId="58BEFA07" w14:textId="77777777"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lang w:eastAsia="en-IE"/>
              </w:rPr>
            </w:pPr>
            <w:r w:rsidRPr="003416FA">
              <w:rPr>
                <w:rFonts w:asciiTheme="minorHAnsi" w:hAnsiTheme="minorHAnsi" w:cs="Times New Roman"/>
                <w:b/>
                <w:lang w:eastAsia="en-IE"/>
              </w:rPr>
              <w:t>Gross Profit</w:t>
            </w:r>
          </w:p>
        </w:tc>
        <w:tc>
          <w:tcPr>
            <w:tcW w:w="823" w:type="dxa"/>
            <w:tcMar>
              <w:left w:w="45" w:type="dxa"/>
              <w:right w:w="45" w:type="dxa"/>
            </w:tcMar>
          </w:tcPr>
          <w:p w14:paraId="318ACA71" w14:textId="701BCA4F" w:rsidR="000C43F2" w:rsidRPr="0089179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7F6035">
              <w:rPr>
                <w:rFonts w:asciiTheme="minorHAnsi" w:hAnsiTheme="minorHAnsi" w:cs="Times New Roman"/>
                <w:b/>
                <w:lang w:eastAsia="en-IE"/>
              </w:rPr>
              <w:t>261</w:t>
            </w:r>
          </w:p>
        </w:tc>
        <w:tc>
          <w:tcPr>
            <w:tcW w:w="722" w:type="dxa"/>
            <w:tcMar>
              <w:left w:w="45" w:type="dxa"/>
              <w:right w:w="45" w:type="dxa"/>
            </w:tcMar>
          </w:tcPr>
          <w:p w14:paraId="34851A1B" w14:textId="1D0BE3F2" w:rsidR="000C43F2" w:rsidRPr="00C768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C768B0">
              <w:rPr>
                <w:rFonts w:asciiTheme="minorHAnsi" w:hAnsiTheme="minorHAnsi" w:cs="Times New Roman"/>
                <w:b/>
                <w:lang w:eastAsia="en-IE"/>
              </w:rPr>
              <w:t>147</w:t>
            </w:r>
          </w:p>
        </w:tc>
        <w:tc>
          <w:tcPr>
            <w:tcW w:w="236" w:type="dxa"/>
            <w:tcBorders>
              <w:right w:val="single" w:sz="4" w:space="0" w:color="auto"/>
            </w:tcBorders>
            <w:shd w:val="clear" w:color="auto" w:fill="auto"/>
          </w:tcPr>
          <w:p w14:paraId="71475B77" w14:textId="77777777" w:rsidR="000C43F2" w:rsidRPr="008A4048"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p>
        </w:tc>
        <w:tc>
          <w:tcPr>
            <w:tcW w:w="649" w:type="dxa"/>
            <w:tcBorders>
              <w:left w:val="single" w:sz="4" w:space="0" w:color="auto"/>
            </w:tcBorders>
            <w:shd w:val="clear" w:color="auto" w:fill="F2F2F2" w:themeFill="background1" w:themeFillShade="F2"/>
            <w:tcMar>
              <w:left w:w="45" w:type="dxa"/>
              <w:right w:w="45" w:type="dxa"/>
            </w:tcMar>
          </w:tcPr>
          <w:p w14:paraId="598CE661" w14:textId="752D25F1" w:rsidR="000C43F2" w:rsidRPr="008A4048"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8A4048">
              <w:rPr>
                <w:rFonts w:asciiTheme="minorHAnsi" w:hAnsiTheme="minorHAnsi" w:cs="Times New Roman"/>
                <w:b/>
                <w:lang w:eastAsia="en-IE"/>
              </w:rPr>
              <w:t>261</w:t>
            </w:r>
          </w:p>
        </w:tc>
        <w:tc>
          <w:tcPr>
            <w:tcW w:w="588" w:type="dxa"/>
            <w:shd w:val="clear" w:color="auto" w:fill="F2F2F2" w:themeFill="background1" w:themeFillShade="F2"/>
            <w:tcMar>
              <w:left w:w="45" w:type="dxa"/>
              <w:right w:w="45" w:type="dxa"/>
            </w:tcMar>
          </w:tcPr>
          <w:p w14:paraId="0D6F04B6" w14:textId="11C80D96" w:rsidR="000C43F2" w:rsidRPr="0038798E"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38798E">
              <w:rPr>
                <w:rFonts w:asciiTheme="minorHAnsi" w:hAnsiTheme="minorHAnsi" w:cs="Times New Roman"/>
                <w:b/>
                <w:lang w:eastAsia="en-IE"/>
              </w:rPr>
              <w:t>186</w:t>
            </w:r>
          </w:p>
        </w:tc>
        <w:tc>
          <w:tcPr>
            <w:tcW w:w="929" w:type="dxa"/>
            <w:shd w:val="clear" w:color="auto" w:fill="F2F2F2" w:themeFill="background1" w:themeFillShade="F2"/>
            <w:tcMar>
              <w:left w:w="45" w:type="dxa"/>
              <w:right w:w="45" w:type="dxa"/>
            </w:tcMar>
          </w:tcPr>
          <w:p w14:paraId="77147C0D" w14:textId="60158875" w:rsidR="000C43F2" w:rsidRPr="00FF2E6C"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FF2E6C">
              <w:rPr>
                <w:rFonts w:asciiTheme="minorHAnsi" w:hAnsiTheme="minorHAnsi" w:cs="Times New Roman"/>
                <w:b/>
                <w:lang w:eastAsia="en-IE"/>
              </w:rPr>
              <w:t>+40%</w:t>
            </w:r>
          </w:p>
        </w:tc>
        <w:tc>
          <w:tcPr>
            <w:tcW w:w="929" w:type="dxa"/>
            <w:tcBorders>
              <w:right w:val="single" w:sz="4" w:space="0" w:color="auto"/>
            </w:tcBorders>
            <w:shd w:val="clear" w:color="auto" w:fill="F2F2F2" w:themeFill="background1" w:themeFillShade="F2"/>
            <w:tcMar>
              <w:left w:w="45" w:type="dxa"/>
              <w:right w:w="45" w:type="dxa"/>
            </w:tcMar>
          </w:tcPr>
          <w:p w14:paraId="67E7F8EE" w14:textId="3520DEB9" w:rsidR="000C43F2" w:rsidRPr="00FF2E6C"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FF2E6C">
              <w:rPr>
                <w:rFonts w:asciiTheme="minorHAnsi" w:hAnsiTheme="minorHAnsi" w:cs="Times New Roman"/>
                <w:b/>
                <w:lang w:eastAsia="en-IE"/>
              </w:rPr>
              <w:t>+35%</w:t>
            </w:r>
          </w:p>
        </w:tc>
      </w:tr>
      <w:tr w:rsidR="000C43F2" w:rsidRPr="00E4257A" w14:paraId="17346CA3" w14:textId="77777777" w:rsidTr="00154BB7">
        <w:trPr>
          <w:trHeight w:val="50"/>
        </w:trPr>
        <w:tc>
          <w:tcPr>
            <w:tcW w:w="2873" w:type="dxa"/>
            <w:tcBorders>
              <w:left w:val="single" w:sz="4" w:space="0" w:color="auto"/>
            </w:tcBorders>
            <w:tcMar>
              <w:left w:w="45" w:type="dxa"/>
              <w:right w:w="45" w:type="dxa"/>
            </w:tcMar>
          </w:tcPr>
          <w:p w14:paraId="64C2E922"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8"/>
                <w:szCs w:val="8"/>
                <w:lang w:eastAsia="en-IE"/>
              </w:rPr>
            </w:pPr>
          </w:p>
        </w:tc>
        <w:tc>
          <w:tcPr>
            <w:tcW w:w="823" w:type="dxa"/>
            <w:tcMar>
              <w:left w:w="45" w:type="dxa"/>
              <w:right w:w="45" w:type="dxa"/>
            </w:tcMar>
          </w:tcPr>
          <w:p w14:paraId="2476B10B"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8"/>
                <w:szCs w:val="8"/>
                <w:lang w:eastAsia="en-IE"/>
              </w:rPr>
            </w:pPr>
          </w:p>
        </w:tc>
        <w:tc>
          <w:tcPr>
            <w:tcW w:w="722" w:type="dxa"/>
            <w:tcMar>
              <w:left w:w="45" w:type="dxa"/>
              <w:right w:w="45" w:type="dxa"/>
            </w:tcMar>
          </w:tcPr>
          <w:p w14:paraId="7872B7DA"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8"/>
                <w:szCs w:val="8"/>
                <w:lang w:eastAsia="en-IE"/>
              </w:rPr>
            </w:pPr>
          </w:p>
        </w:tc>
        <w:tc>
          <w:tcPr>
            <w:tcW w:w="236" w:type="dxa"/>
            <w:tcBorders>
              <w:right w:val="single" w:sz="4" w:space="0" w:color="auto"/>
            </w:tcBorders>
            <w:shd w:val="clear" w:color="auto" w:fill="auto"/>
          </w:tcPr>
          <w:p w14:paraId="640423A0"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8"/>
                <w:szCs w:val="8"/>
                <w:lang w:eastAsia="en-IE"/>
              </w:rPr>
            </w:pPr>
          </w:p>
        </w:tc>
        <w:tc>
          <w:tcPr>
            <w:tcW w:w="649" w:type="dxa"/>
            <w:tcBorders>
              <w:left w:val="single" w:sz="4" w:space="0" w:color="auto"/>
            </w:tcBorders>
            <w:shd w:val="clear" w:color="auto" w:fill="F2F2F2" w:themeFill="background1" w:themeFillShade="F2"/>
            <w:tcMar>
              <w:left w:w="45" w:type="dxa"/>
              <w:right w:w="45" w:type="dxa"/>
            </w:tcMar>
          </w:tcPr>
          <w:p w14:paraId="0DD78DAA"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8"/>
                <w:szCs w:val="8"/>
                <w:lang w:eastAsia="en-IE"/>
              </w:rPr>
            </w:pPr>
          </w:p>
        </w:tc>
        <w:tc>
          <w:tcPr>
            <w:tcW w:w="588" w:type="dxa"/>
            <w:shd w:val="clear" w:color="auto" w:fill="F2F2F2" w:themeFill="background1" w:themeFillShade="F2"/>
            <w:tcMar>
              <w:left w:w="45" w:type="dxa"/>
              <w:right w:w="45" w:type="dxa"/>
            </w:tcMar>
          </w:tcPr>
          <w:p w14:paraId="216272C0"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8"/>
                <w:szCs w:val="8"/>
                <w:lang w:eastAsia="en-IE"/>
              </w:rPr>
            </w:pPr>
          </w:p>
        </w:tc>
        <w:tc>
          <w:tcPr>
            <w:tcW w:w="929" w:type="dxa"/>
            <w:shd w:val="clear" w:color="auto" w:fill="F2F2F2" w:themeFill="background1" w:themeFillShade="F2"/>
            <w:tcMar>
              <w:left w:w="45" w:type="dxa"/>
              <w:right w:w="45" w:type="dxa"/>
            </w:tcMar>
          </w:tcPr>
          <w:p w14:paraId="58D8E7DF"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8"/>
                <w:szCs w:val="8"/>
                <w:lang w:eastAsia="en-IE"/>
              </w:rPr>
            </w:pPr>
          </w:p>
        </w:tc>
        <w:tc>
          <w:tcPr>
            <w:tcW w:w="929" w:type="dxa"/>
            <w:tcBorders>
              <w:right w:val="single" w:sz="4" w:space="0" w:color="auto"/>
            </w:tcBorders>
            <w:shd w:val="clear" w:color="auto" w:fill="F2F2F2" w:themeFill="background1" w:themeFillShade="F2"/>
            <w:tcMar>
              <w:left w:w="45" w:type="dxa"/>
              <w:right w:w="45" w:type="dxa"/>
            </w:tcMar>
          </w:tcPr>
          <w:p w14:paraId="144431BA"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8"/>
                <w:szCs w:val="8"/>
                <w:lang w:eastAsia="en-IE"/>
              </w:rPr>
            </w:pPr>
          </w:p>
        </w:tc>
      </w:tr>
      <w:tr w:rsidR="00E877C8" w:rsidRPr="00E4257A" w14:paraId="7E6DE362" w14:textId="77777777" w:rsidTr="00154BB7">
        <w:trPr>
          <w:trHeight w:val="232"/>
        </w:trPr>
        <w:tc>
          <w:tcPr>
            <w:tcW w:w="2873" w:type="dxa"/>
            <w:tcBorders>
              <w:left w:val="single" w:sz="4" w:space="0" w:color="auto"/>
            </w:tcBorders>
            <w:tcMar>
              <w:left w:w="45" w:type="dxa"/>
              <w:right w:w="45" w:type="dxa"/>
            </w:tcMar>
          </w:tcPr>
          <w:p w14:paraId="6BE03C7F" w14:textId="1F5DBD7D"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rPr>
            </w:pPr>
            <w:r w:rsidRPr="003416FA">
              <w:rPr>
                <w:rFonts w:asciiTheme="minorHAnsi" w:hAnsiTheme="minorHAnsi" w:cs="Times New Roman"/>
                <w:lang w:eastAsia="en-IE"/>
              </w:rPr>
              <w:t>Sales &amp; marketing</w:t>
            </w:r>
          </w:p>
        </w:tc>
        <w:tc>
          <w:tcPr>
            <w:tcW w:w="823" w:type="dxa"/>
            <w:tcBorders>
              <w:bottom w:val="single" w:sz="4" w:space="0" w:color="auto"/>
            </w:tcBorders>
            <w:tcMar>
              <w:left w:w="45" w:type="dxa"/>
              <w:right w:w="45" w:type="dxa"/>
            </w:tcMar>
          </w:tcPr>
          <w:p w14:paraId="147DCF9F" w14:textId="6A3B2658"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rPr>
            </w:pPr>
            <w:r>
              <w:rPr>
                <w:rFonts w:asciiTheme="minorHAnsi" w:hAnsiTheme="minorHAnsi" w:cstheme="minorHAnsi"/>
                <w:lang w:eastAsia="en-IE"/>
              </w:rPr>
              <w:t>(145)</w:t>
            </w:r>
          </w:p>
        </w:tc>
        <w:tc>
          <w:tcPr>
            <w:tcW w:w="722" w:type="dxa"/>
            <w:tcBorders>
              <w:bottom w:val="single" w:sz="4" w:space="0" w:color="auto"/>
            </w:tcBorders>
            <w:tcMar>
              <w:left w:w="45" w:type="dxa"/>
              <w:right w:w="45" w:type="dxa"/>
            </w:tcMar>
          </w:tcPr>
          <w:p w14:paraId="3992C76D" w14:textId="7A3AF82C"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rPr>
            </w:pPr>
            <w:r w:rsidRPr="003416FA">
              <w:rPr>
                <w:rFonts w:asciiTheme="minorHAnsi" w:hAnsiTheme="minorHAnsi" w:cstheme="minorHAnsi"/>
                <w:lang w:eastAsia="en-IE"/>
              </w:rPr>
              <w:t>(7</w:t>
            </w:r>
            <w:r>
              <w:rPr>
                <w:rFonts w:asciiTheme="minorHAnsi" w:hAnsiTheme="minorHAnsi" w:cstheme="minorHAnsi"/>
                <w:lang w:eastAsia="en-IE"/>
              </w:rPr>
              <w:t>5</w:t>
            </w:r>
            <w:r w:rsidRPr="003416FA">
              <w:rPr>
                <w:rFonts w:asciiTheme="minorHAnsi" w:hAnsiTheme="minorHAnsi" w:cstheme="minorHAnsi"/>
                <w:lang w:eastAsia="en-IE"/>
              </w:rPr>
              <w:t>)</w:t>
            </w:r>
          </w:p>
        </w:tc>
        <w:tc>
          <w:tcPr>
            <w:tcW w:w="236" w:type="dxa"/>
            <w:tcBorders>
              <w:bottom w:val="single" w:sz="4" w:space="0" w:color="auto"/>
              <w:right w:val="single" w:sz="4" w:space="0" w:color="auto"/>
            </w:tcBorders>
            <w:shd w:val="clear" w:color="auto" w:fill="auto"/>
          </w:tcPr>
          <w:p w14:paraId="4EF97112" w14:textId="77777777"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rPr>
            </w:pPr>
          </w:p>
        </w:tc>
        <w:tc>
          <w:tcPr>
            <w:tcW w:w="649" w:type="dxa"/>
            <w:tcBorders>
              <w:left w:val="single" w:sz="4" w:space="0" w:color="auto"/>
              <w:bottom w:val="single" w:sz="4" w:space="0" w:color="auto"/>
            </w:tcBorders>
            <w:shd w:val="clear" w:color="auto" w:fill="F2F2F2" w:themeFill="background1" w:themeFillShade="F2"/>
            <w:tcMar>
              <w:left w:w="45" w:type="dxa"/>
              <w:right w:w="45" w:type="dxa"/>
            </w:tcMar>
          </w:tcPr>
          <w:p w14:paraId="52739C86" w14:textId="434FBA01"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rPr>
            </w:pPr>
            <w:r>
              <w:rPr>
                <w:rFonts w:asciiTheme="minorHAnsi" w:hAnsiTheme="minorHAnsi" w:cstheme="minorHAnsi"/>
                <w:lang w:eastAsia="en-IE"/>
              </w:rPr>
              <w:t>(145)</w:t>
            </w:r>
          </w:p>
        </w:tc>
        <w:tc>
          <w:tcPr>
            <w:tcW w:w="588" w:type="dxa"/>
            <w:tcBorders>
              <w:bottom w:val="single" w:sz="4" w:space="0" w:color="auto"/>
            </w:tcBorders>
            <w:shd w:val="clear" w:color="auto" w:fill="F2F2F2" w:themeFill="background1" w:themeFillShade="F2"/>
            <w:tcMar>
              <w:left w:w="45" w:type="dxa"/>
              <w:right w:w="45" w:type="dxa"/>
            </w:tcMar>
          </w:tcPr>
          <w:p w14:paraId="3848AA7B" w14:textId="649F8251"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rPr>
            </w:pPr>
            <w:r w:rsidRPr="003416FA">
              <w:rPr>
                <w:rFonts w:asciiTheme="minorHAnsi" w:hAnsiTheme="minorHAnsi" w:cstheme="minorHAnsi"/>
                <w:lang w:eastAsia="en-IE"/>
              </w:rPr>
              <w:t>(9</w:t>
            </w:r>
            <w:r>
              <w:rPr>
                <w:rFonts w:asciiTheme="minorHAnsi" w:hAnsiTheme="minorHAnsi" w:cstheme="minorHAnsi"/>
                <w:lang w:eastAsia="en-IE"/>
              </w:rPr>
              <w:t>5</w:t>
            </w:r>
            <w:r w:rsidRPr="003416FA">
              <w:rPr>
                <w:rFonts w:asciiTheme="minorHAnsi" w:hAnsiTheme="minorHAnsi" w:cstheme="minorHAnsi"/>
                <w:lang w:eastAsia="en-IE"/>
              </w:rPr>
              <w:t>)</w:t>
            </w:r>
          </w:p>
        </w:tc>
        <w:tc>
          <w:tcPr>
            <w:tcW w:w="929" w:type="dxa"/>
            <w:tcBorders>
              <w:bottom w:val="single" w:sz="4" w:space="0" w:color="auto"/>
            </w:tcBorders>
            <w:shd w:val="clear" w:color="auto" w:fill="F2F2F2" w:themeFill="background1" w:themeFillShade="F2"/>
            <w:tcMar>
              <w:left w:w="45" w:type="dxa"/>
              <w:right w:w="45" w:type="dxa"/>
            </w:tcMar>
          </w:tcPr>
          <w:p w14:paraId="56C0F671" w14:textId="565741FA"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rPr>
            </w:pPr>
            <w:r>
              <w:rPr>
                <w:rFonts w:asciiTheme="minorHAnsi" w:hAnsiTheme="minorHAnsi" w:cstheme="minorHAnsi"/>
                <w:lang w:eastAsia="en-IE"/>
              </w:rPr>
              <w:t>+53%</w:t>
            </w:r>
          </w:p>
        </w:tc>
        <w:tc>
          <w:tcPr>
            <w:tcW w:w="929" w:type="dxa"/>
            <w:tcBorders>
              <w:bottom w:val="single" w:sz="4" w:space="0" w:color="auto"/>
              <w:right w:val="single" w:sz="4" w:space="0" w:color="auto"/>
            </w:tcBorders>
            <w:shd w:val="clear" w:color="auto" w:fill="F2F2F2" w:themeFill="background1" w:themeFillShade="F2"/>
            <w:tcMar>
              <w:left w:w="45" w:type="dxa"/>
              <w:right w:w="45" w:type="dxa"/>
            </w:tcMar>
          </w:tcPr>
          <w:p w14:paraId="43BB2B03" w14:textId="6C8B0AE1"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rPr>
            </w:pPr>
            <w:r>
              <w:rPr>
                <w:rFonts w:asciiTheme="minorHAnsi" w:hAnsiTheme="minorHAnsi" w:cstheme="minorHAnsi"/>
                <w:lang w:eastAsia="en-IE"/>
              </w:rPr>
              <w:t>+47%</w:t>
            </w:r>
          </w:p>
        </w:tc>
      </w:tr>
      <w:tr w:rsidR="000C43F2" w:rsidRPr="00E4257A" w14:paraId="6CE2E41F" w14:textId="77777777" w:rsidTr="00154BB7">
        <w:trPr>
          <w:trHeight w:val="232"/>
        </w:trPr>
        <w:tc>
          <w:tcPr>
            <w:tcW w:w="2873" w:type="dxa"/>
            <w:tcBorders>
              <w:left w:val="single" w:sz="4" w:space="0" w:color="auto"/>
            </w:tcBorders>
            <w:tcMar>
              <w:left w:w="45" w:type="dxa"/>
              <w:right w:w="45" w:type="dxa"/>
            </w:tcMar>
          </w:tcPr>
          <w:p w14:paraId="49B8C9B1" w14:textId="26BA06D0"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lang w:eastAsia="en-IE"/>
              </w:rPr>
            </w:pPr>
            <w:r>
              <w:rPr>
                <w:rFonts w:asciiTheme="minorHAnsi" w:hAnsiTheme="minorHAnsi" w:cs="Times New Roman"/>
                <w:b/>
                <w:lang w:eastAsia="en-IE"/>
              </w:rPr>
              <w:t>Contribution</w:t>
            </w:r>
          </w:p>
        </w:tc>
        <w:tc>
          <w:tcPr>
            <w:tcW w:w="823" w:type="dxa"/>
            <w:tcBorders>
              <w:top w:val="single" w:sz="4" w:space="0" w:color="auto"/>
            </w:tcBorders>
            <w:tcMar>
              <w:left w:w="45" w:type="dxa"/>
              <w:right w:w="45" w:type="dxa"/>
            </w:tcMar>
          </w:tcPr>
          <w:p w14:paraId="511E56C1" w14:textId="563CAEBD" w:rsidR="000C43F2"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115</w:t>
            </w:r>
          </w:p>
        </w:tc>
        <w:tc>
          <w:tcPr>
            <w:tcW w:w="722" w:type="dxa"/>
            <w:tcBorders>
              <w:top w:val="single" w:sz="4" w:space="0" w:color="auto"/>
            </w:tcBorders>
            <w:tcMar>
              <w:left w:w="45" w:type="dxa"/>
              <w:right w:w="45" w:type="dxa"/>
            </w:tcMar>
          </w:tcPr>
          <w:p w14:paraId="13F30095" w14:textId="1047D814"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72</w:t>
            </w:r>
          </w:p>
        </w:tc>
        <w:tc>
          <w:tcPr>
            <w:tcW w:w="236" w:type="dxa"/>
            <w:tcBorders>
              <w:top w:val="single" w:sz="4" w:space="0" w:color="auto"/>
              <w:right w:val="single" w:sz="4" w:space="0" w:color="auto"/>
            </w:tcBorders>
            <w:shd w:val="clear" w:color="auto" w:fill="auto"/>
          </w:tcPr>
          <w:p w14:paraId="6C6A1F21" w14:textId="77777777"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p>
        </w:tc>
        <w:tc>
          <w:tcPr>
            <w:tcW w:w="649" w:type="dxa"/>
            <w:tcBorders>
              <w:top w:val="single" w:sz="4" w:space="0" w:color="auto"/>
              <w:left w:val="single" w:sz="4" w:space="0" w:color="auto"/>
            </w:tcBorders>
            <w:shd w:val="clear" w:color="auto" w:fill="F2F2F2" w:themeFill="background1" w:themeFillShade="F2"/>
            <w:tcMar>
              <w:left w:w="45" w:type="dxa"/>
              <w:right w:w="45" w:type="dxa"/>
            </w:tcMar>
          </w:tcPr>
          <w:p w14:paraId="3E392E5F" w14:textId="0627EA3E" w:rsidR="000C43F2"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115</w:t>
            </w:r>
          </w:p>
        </w:tc>
        <w:tc>
          <w:tcPr>
            <w:tcW w:w="588" w:type="dxa"/>
            <w:tcBorders>
              <w:top w:val="single" w:sz="4" w:space="0" w:color="auto"/>
            </w:tcBorders>
            <w:shd w:val="clear" w:color="auto" w:fill="F2F2F2" w:themeFill="background1" w:themeFillShade="F2"/>
            <w:tcMar>
              <w:left w:w="45" w:type="dxa"/>
              <w:right w:w="45" w:type="dxa"/>
            </w:tcMar>
          </w:tcPr>
          <w:p w14:paraId="32B4D63E" w14:textId="1641AF6B"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91</w:t>
            </w:r>
          </w:p>
        </w:tc>
        <w:tc>
          <w:tcPr>
            <w:tcW w:w="929" w:type="dxa"/>
            <w:tcBorders>
              <w:top w:val="single" w:sz="4" w:space="0" w:color="auto"/>
            </w:tcBorders>
            <w:shd w:val="clear" w:color="auto" w:fill="F2F2F2" w:themeFill="background1" w:themeFillShade="F2"/>
            <w:tcMar>
              <w:left w:w="45" w:type="dxa"/>
              <w:right w:w="45" w:type="dxa"/>
            </w:tcMar>
          </w:tcPr>
          <w:p w14:paraId="5E8BD94B" w14:textId="1848715D" w:rsidR="000C43F2" w:rsidRDefault="0040554E"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w:t>
            </w:r>
            <w:r w:rsidR="00695E69">
              <w:rPr>
                <w:rFonts w:asciiTheme="minorHAnsi" w:hAnsiTheme="minorHAnsi" w:cstheme="minorHAnsi"/>
                <w:b/>
                <w:lang w:eastAsia="en-IE"/>
              </w:rPr>
              <w:t>27</w:t>
            </w:r>
            <w:r w:rsidR="000C43F2">
              <w:rPr>
                <w:rFonts w:asciiTheme="minorHAnsi" w:hAnsiTheme="minorHAnsi" w:cstheme="minorHAnsi"/>
                <w:b/>
                <w:lang w:eastAsia="en-IE"/>
              </w:rPr>
              <w:t>%</w:t>
            </w:r>
          </w:p>
        </w:tc>
        <w:tc>
          <w:tcPr>
            <w:tcW w:w="929" w:type="dxa"/>
            <w:tcBorders>
              <w:top w:val="single" w:sz="4" w:space="0" w:color="auto"/>
              <w:right w:val="single" w:sz="4" w:space="0" w:color="auto"/>
            </w:tcBorders>
            <w:shd w:val="clear" w:color="auto" w:fill="F2F2F2" w:themeFill="background1" w:themeFillShade="F2"/>
            <w:tcMar>
              <w:left w:w="45" w:type="dxa"/>
              <w:right w:w="45" w:type="dxa"/>
            </w:tcMar>
          </w:tcPr>
          <w:p w14:paraId="361C0B1B" w14:textId="2E31AA45" w:rsidR="000C43F2" w:rsidRDefault="0040554E"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w:t>
            </w:r>
            <w:r w:rsidR="00695E69">
              <w:rPr>
                <w:rFonts w:asciiTheme="minorHAnsi" w:hAnsiTheme="minorHAnsi" w:cstheme="minorHAnsi"/>
                <w:b/>
                <w:lang w:eastAsia="en-IE"/>
              </w:rPr>
              <w:t>22</w:t>
            </w:r>
            <w:r w:rsidR="000C43F2">
              <w:rPr>
                <w:rFonts w:asciiTheme="minorHAnsi" w:hAnsiTheme="minorHAnsi" w:cstheme="minorHAnsi"/>
                <w:b/>
                <w:lang w:eastAsia="en-IE"/>
              </w:rPr>
              <w:t>%</w:t>
            </w:r>
          </w:p>
        </w:tc>
      </w:tr>
      <w:tr w:rsidR="000C43F2" w:rsidRPr="00E4257A" w14:paraId="4B9436EB" w14:textId="77777777" w:rsidTr="00154BB7">
        <w:trPr>
          <w:trHeight w:val="50"/>
        </w:trPr>
        <w:tc>
          <w:tcPr>
            <w:tcW w:w="2873" w:type="dxa"/>
            <w:tcBorders>
              <w:left w:val="single" w:sz="4" w:space="0" w:color="auto"/>
            </w:tcBorders>
            <w:tcMar>
              <w:left w:w="45" w:type="dxa"/>
              <w:right w:w="45" w:type="dxa"/>
            </w:tcMar>
          </w:tcPr>
          <w:p w14:paraId="10057694" w14:textId="3CA5B94E"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8"/>
                <w:szCs w:val="8"/>
                <w:lang w:eastAsia="en-IE"/>
              </w:rPr>
            </w:pPr>
          </w:p>
        </w:tc>
        <w:tc>
          <w:tcPr>
            <w:tcW w:w="823" w:type="dxa"/>
            <w:tcMar>
              <w:left w:w="45" w:type="dxa"/>
              <w:right w:w="45" w:type="dxa"/>
            </w:tcMar>
          </w:tcPr>
          <w:p w14:paraId="3CA2B7E6" w14:textId="3CC2C52B"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sz w:val="8"/>
                <w:szCs w:val="8"/>
                <w:lang w:eastAsia="en-IE"/>
              </w:rPr>
            </w:pPr>
          </w:p>
        </w:tc>
        <w:tc>
          <w:tcPr>
            <w:tcW w:w="722" w:type="dxa"/>
            <w:tcMar>
              <w:left w:w="45" w:type="dxa"/>
              <w:right w:w="45" w:type="dxa"/>
            </w:tcMar>
          </w:tcPr>
          <w:p w14:paraId="4975CBDE" w14:textId="1712E8AD"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sz w:val="8"/>
                <w:szCs w:val="8"/>
                <w:lang w:eastAsia="en-IE"/>
              </w:rPr>
            </w:pPr>
          </w:p>
        </w:tc>
        <w:tc>
          <w:tcPr>
            <w:tcW w:w="236" w:type="dxa"/>
            <w:tcBorders>
              <w:right w:val="single" w:sz="4" w:space="0" w:color="auto"/>
            </w:tcBorders>
            <w:shd w:val="clear" w:color="auto" w:fill="auto"/>
          </w:tcPr>
          <w:p w14:paraId="471AF145" w14:textId="77777777"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sz w:val="8"/>
                <w:szCs w:val="8"/>
                <w:lang w:eastAsia="en-IE"/>
              </w:rPr>
            </w:pPr>
          </w:p>
        </w:tc>
        <w:tc>
          <w:tcPr>
            <w:tcW w:w="649" w:type="dxa"/>
            <w:tcBorders>
              <w:left w:val="single" w:sz="4" w:space="0" w:color="auto"/>
            </w:tcBorders>
            <w:shd w:val="clear" w:color="auto" w:fill="F2F2F2" w:themeFill="background1" w:themeFillShade="F2"/>
            <w:tcMar>
              <w:left w:w="45" w:type="dxa"/>
              <w:right w:w="45" w:type="dxa"/>
            </w:tcMar>
          </w:tcPr>
          <w:p w14:paraId="6FA6B3F0" w14:textId="4B74F775"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sz w:val="8"/>
                <w:szCs w:val="8"/>
                <w:lang w:eastAsia="en-IE"/>
              </w:rPr>
            </w:pPr>
          </w:p>
        </w:tc>
        <w:tc>
          <w:tcPr>
            <w:tcW w:w="588" w:type="dxa"/>
            <w:shd w:val="clear" w:color="auto" w:fill="F2F2F2" w:themeFill="background1" w:themeFillShade="F2"/>
            <w:tcMar>
              <w:left w:w="45" w:type="dxa"/>
              <w:right w:w="45" w:type="dxa"/>
            </w:tcMar>
          </w:tcPr>
          <w:p w14:paraId="6951F027" w14:textId="61462FB3"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sz w:val="8"/>
                <w:szCs w:val="8"/>
                <w:lang w:eastAsia="en-IE"/>
              </w:rPr>
            </w:pPr>
          </w:p>
        </w:tc>
        <w:tc>
          <w:tcPr>
            <w:tcW w:w="929" w:type="dxa"/>
            <w:shd w:val="clear" w:color="auto" w:fill="F2F2F2" w:themeFill="background1" w:themeFillShade="F2"/>
            <w:tcMar>
              <w:left w:w="45" w:type="dxa"/>
              <w:right w:w="45" w:type="dxa"/>
            </w:tcMar>
          </w:tcPr>
          <w:p w14:paraId="0776ECA7" w14:textId="5CA0CAF4"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sz w:val="8"/>
                <w:szCs w:val="8"/>
                <w:lang w:eastAsia="en-IE"/>
              </w:rPr>
            </w:pPr>
          </w:p>
        </w:tc>
        <w:tc>
          <w:tcPr>
            <w:tcW w:w="929" w:type="dxa"/>
            <w:tcBorders>
              <w:right w:val="single" w:sz="4" w:space="0" w:color="auto"/>
            </w:tcBorders>
            <w:shd w:val="clear" w:color="auto" w:fill="F2F2F2" w:themeFill="background1" w:themeFillShade="F2"/>
            <w:tcMar>
              <w:left w:w="45" w:type="dxa"/>
              <w:right w:w="45" w:type="dxa"/>
            </w:tcMar>
          </w:tcPr>
          <w:p w14:paraId="78616608" w14:textId="1F96E62F" w:rsidR="000C43F2" w:rsidRPr="002744B0"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sz w:val="8"/>
                <w:szCs w:val="8"/>
                <w:lang w:eastAsia="en-IE"/>
              </w:rPr>
            </w:pPr>
          </w:p>
        </w:tc>
      </w:tr>
      <w:tr w:rsidR="00E877C8" w:rsidRPr="00E4257A" w14:paraId="04F7047E" w14:textId="77777777" w:rsidTr="00154BB7">
        <w:trPr>
          <w:trHeight w:val="232"/>
        </w:trPr>
        <w:tc>
          <w:tcPr>
            <w:tcW w:w="2873" w:type="dxa"/>
            <w:tcBorders>
              <w:left w:val="single" w:sz="4" w:space="0" w:color="auto"/>
            </w:tcBorders>
            <w:tcMar>
              <w:left w:w="45" w:type="dxa"/>
              <w:right w:w="45" w:type="dxa"/>
            </w:tcMar>
          </w:tcPr>
          <w:p w14:paraId="100BB283" w14:textId="77777777"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sidRPr="003416FA">
              <w:rPr>
                <w:rFonts w:asciiTheme="minorHAnsi" w:hAnsiTheme="minorHAnsi" w:cs="Times New Roman"/>
                <w:lang w:eastAsia="en-IE"/>
              </w:rPr>
              <w:t>Product &amp; technology</w:t>
            </w:r>
          </w:p>
        </w:tc>
        <w:tc>
          <w:tcPr>
            <w:tcW w:w="823" w:type="dxa"/>
            <w:tcMar>
              <w:left w:w="45" w:type="dxa"/>
              <w:right w:w="45" w:type="dxa"/>
            </w:tcMar>
          </w:tcPr>
          <w:p w14:paraId="2BCBF69A" w14:textId="1AE4FC53"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(44)</w:t>
            </w:r>
          </w:p>
        </w:tc>
        <w:tc>
          <w:tcPr>
            <w:tcW w:w="722" w:type="dxa"/>
            <w:tcMar>
              <w:left w:w="45" w:type="dxa"/>
              <w:right w:w="45" w:type="dxa"/>
            </w:tcMar>
          </w:tcPr>
          <w:p w14:paraId="4AC02F76" w14:textId="6F8A30EF"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sidRPr="003416FA">
              <w:rPr>
                <w:rFonts w:asciiTheme="minorHAnsi" w:hAnsiTheme="minorHAnsi" w:cstheme="minorHAnsi"/>
                <w:lang w:eastAsia="en-IE"/>
              </w:rPr>
              <w:t>(23)</w:t>
            </w:r>
          </w:p>
        </w:tc>
        <w:tc>
          <w:tcPr>
            <w:tcW w:w="236" w:type="dxa"/>
            <w:tcBorders>
              <w:right w:val="single" w:sz="4" w:space="0" w:color="auto"/>
            </w:tcBorders>
            <w:shd w:val="clear" w:color="auto" w:fill="auto"/>
          </w:tcPr>
          <w:p w14:paraId="49E9A094" w14:textId="77777777"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p>
        </w:tc>
        <w:tc>
          <w:tcPr>
            <w:tcW w:w="649" w:type="dxa"/>
            <w:tcBorders>
              <w:left w:val="single" w:sz="4" w:space="0" w:color="auto"/>
            </w:tcBorders>
            <w:shd w:val="clear" w:color="auto" w:fill="F2F2F2" w:themeFill="background1" w:themeFillShade="F2"/>
            <w:tcMar>
              <w:left w:w="45" w:type="dxa"/>
              <w:right w:w="45" w:type="dxa"/>
            </w:tcMar>
          </w:tcPr>
          <w:p w14:paraId="22C21806" w14:textId="00C3A7BC"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(44)</w:t>
            </w:r>
          </w:p>
        </w:tc>
        <w:tc>
          <w:tcPr>
            <w:tcW w:w="588" w:type="dxa"/>
            <w:shd w:val="clear" w:color="auto" w:fill="F2F2F2" w:themeFill="background1" w:themeFillShade="F2"/>
            <w:tcMar>
              <w:left w:w="45" w:type="dxa"/>
              <w:right w:w="45" w:type="dxa"/>
            </w:tcMar>
          </w:tcPr>
          <w:p w14:paraId="0B2051E2" w14:textId="7D7C0EA0"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sidRPr="003416FA">
              <w:rPr>
                <w:rFonts w:asciiTheme="minorHAnsi" w:hAnsiTheme="minorHAnsi" w:cstheme="minorHAnsi"/>
                <w:lang w:eastAsia="en-IE"/>
              </w:rPr>
              <w:t>(3</w:t>
            </w:r>
            <w:r>
              <w:rPr>
                <w:rFonts w:asciiTheme="minorHAnsi" w:hAnsiTheme="minorHAnsi" w:cstheme="minorHAnsi"/>
                <w:lang w:eastAsia="en-IE"/>
              </w:rPr>
              <w:t>2</w:t>
            </w:r>
            <w:r w:rsidRPr="003416FA">
              <w:rPr>
                <w:rFonts w:asciiTheme="minorHAnsi" w:hAnsiTheme="minorHAnsi" w:cstheme="minorHAnsi"/>
                <w:lang w:eastAsia="en-IE"/>
              </w:rPr>
              <w:t>)</w:t>
            </w:r>
          </w:p>
        </w:tc>
        <w:tc>
          <w:tcPr>
            <w:tcW w:w="929" w:type="dxa"/>
            <w:shd w:val="clear" w:color="auto" w:fill="F2F2F2" w:themeFill="background1" w:themeFillShade="F2"/>
            <w:tcMar>
              <w:left w:w="45" w:type="dxa"/>
              <w:right w:w="45" w:type="dxa"/>
            </w:tcMar>
          </w:tcPr>
          <w:p w14:paraId="71F20B50" w14:textId="41A82A8D"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+36%</w:t>
            </w:r>
          </w:p>
        </w:tc>
        <w:tc>
          <w:tcPr>
            <w:tcW w:w="929" w:type="dxa"/>
            <w:tcBorders>
              <w:right w:val="single" w:sz="4" w:space="0" w:color="auto"/>
            </w:tcBorders>
            <w:shd w:val="clear" w:color="auto" w:fill="F2F2F2" w:themeFill="background1" w:themeFillShade="F2"/>
            <w:tcMar>
              <w:left w:w="45" w:type="dxa"/>
              <w:right w:w="45" w:type="dxa"/>
            </w:tcMar>
          </w:tcPr>
          <w:p w14:paraId="6DA8EF73" w14:textId="6B7542E7"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+30%</w:t>
            </w:r>
          </w:p>
        </w:tc>
      </w:tr>
      <w:tr w:rsidR="00E877C8" w:rsidRPr="00E4257A" w14:paraId="0BD7C07A" w14:textId="77777777" w:rsidTr="00154BB7">
        <w:trPr>
          <w:trHeight w:val="232"/>
        </w:trPr>
        <w:tc>
          <w:tcPr>
            <w:tcW w:w="2873" w:type="dxa"/>
            <w:tcBorders>
              <w:left w:val="single" w:sz="4" w:space="0" w:color="auto"/>
            </w:tcBorders>
            <w:tcMar>
              <w:left w:w="45" w:type="dxa"/>
              <w:right w:w="45" w:type="dxa"/>
            </w:tcMar>
          </w:tcPr>
          <w:p w14:paraId="1374170A" w14:textId="77777777"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sidRPr="003416FA">
              <w:rPr>
                <w:rFonts w:asciiTheme="minorHAnsi" w:hAnsiTheme="minorHAnsi" w:cs="Times New Roman"/>
                <w:lang w:eastAsia="en-IE"/>
              </w:rPr>
              <w:t>Operations</w:t>
            </w:r>
          </w:p>
        </w:tc>
        <w:tc>
          <w:tcPr>
            <w:tcW w:w="823" w:type="dxa"/>
            <w:tcBorders>
              <w:bottom w:val="single" w:sz="4" w:space="0" w:color="auto"/>
            </w:tcBorders>
            <w:tcMar>
              <w:left w:w="45" w:type="dxa"/>
              <w:right w:w="45" w:type="dxa"/>
            </w:tcMar>
          </w:tcPr>
          <w:p w14:paraId="67A49620" w14:textId="11D85C96"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(112)</w:t>
            </w:r>
          </w:p>
        </w:tc>
        <w:tc>
          <w:tcPr>
            <w:tcW w:w="722" w:type="dxa"/>
            <w:tcBorders>
              <w:bottom w:val="single" w:sz="4" w:space="0" w:color="auto"/>
            </w:tcBorders>
            <w:tcMar>
              <w:left w:w="45" w:type="dxa"/>
              <w:right w:w="45" w:type="dxa"/>
            </w:tcMar>
          </w:tcPr>
          <w:p w14:paraId="30202C02" w14:textId="214CD77C"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sidRPr="003416FA">
              <w:rPr>
                <w:rFonts w:asciiTheme="minorHAnsi" w:hAnsiTheme="minorHAnsi" w:cstheme="minorHAnsi"/>
                <w:lang w:eastAsia="en-IE"/>
              </w:rPr>
              <w:t>(6</w:t>
            </w:r>
            <w:r>
              <w:rPr>
                <w:rFonts w:asciiTheme="minorHAnsi" w:hAnsiTheme="minorHAnsi" w:cstheme="minorHAnsi"/>
                <w:lang w:eastAsia="en-IE"/>
              </w:rPr>
              <w:t>3</w:t>
            </w:r>
            <w:r w:rsidRPr="003416FA">
              <w:rPr>
                <w:rFonts w:asciiTheme="minorHAnsi" w:hAnsiTheme="minorHAnsi" w:cstheme="minorHAnsi"/>
                <w:lang w:eastAsia="en-IE"/>
              </w:rPr>
              <w:t>)</w:t>
            </w:r>
          </w:p>
        </w:tc>
        <w:tc>
          <w:tcPr>
            <w:tcW w:w="236" w:type="dxa"/>
            <w:tcBorders>
              <w:bottom w:val="single" w:sz="4" w:space="0" w:color="auto"/>
              <w:right w:val="single" w:sz="4" w:space="0" w:color="auto"/>
            </w:tcBorders>
            <w:shd w:val="clear" w:color="auto" w:fill="auto"/>
          </w:tcPr>
          <w:p w14:paraId="5D450F28" w14:textId="77777777"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p>
        </w:tc>
        <w:tc>
          <w:tcPr>
            <w:tcW w:w="649" w:type="dxa"/>
            <w:tcBorders>
              <w:left w:val="single" w:sz="4" w:space="0" w:color="auto"/>
              <w:bottom w:val="single" w:sz="4" w:space="0" w:color="auto"/>
            </w:tcBorders>
            <w:shd w:val="clear" w:color="auto" w:fill="F2F2F2" w:themeFill="background1" w:themeFillShade="F2"/>
            <w:tcMar>
              <w:left w:w="45" w:type="dxa"/>
              <w:right w:w="45" w:type="dxa"/>
            </w:tcMar>
          </w:tcPr>
          <w:p w14:paraId="3D6367D8" w14:textId="1C6EE63B"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(112)</w:t>
            </w:r>
          </w:p>
        </w:tc>
        <w:tc>
          <w:tcPr>
            <w:tcW w:w="588" w:type="dxa"/>
            <w:tcBorders>
              <w:bottom w:val="single" w:sz="4" w:space="0" w:color="auto"/>
            </w:tcBorders>
            <w:shd w:val="clear" w:color="auto" w:fill="F2F2F2" w:themeFill="background1" w:themeFillShade="F2"/>
            <w:tcMar>
              <w:left w:w="45" w:type="dxa"/>
              <w:right w:w="45" w:type="dxa"/>
            </w:tcMar>
          </w:tcPr>
          <w:p w14:paraId="29939C0B" w14:textId="02309CE7"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sidRPr="003416FA">
              <w:rPr>
                <w:rFonts w:asciiTheme="minorHAnsi" w:hAnsiTheme="minorHAnsi" w:cstheme="minorHAnsi"/>
                <w:lang w:eastAsia="en-IE"/>
              </w:rPr>
              <w:t>(7</w:t>
            </w:r>
            <w:r>
              <w:rPr>
                <w:rFonts w:asciiTheme="minorHAnsi" w:hAnsiTheme="minorHAnsi" w:cstheme="minorHAnsi"/>
                <w:lang w:eastAsia="en-IE"/>
              </w:rPr>
              <w:t>3</w:t>
            </w:r>
            <w:r w:rsidRPr="003416FA">
              <w:rPr>
                <w:rFonts w:asciiTheme="minorHAnsi" w:hAnsiTheme="minorHAnsi" w:cstheme="minorHAnsi"/>
                <w:lang w:eastAsia="en-IE"/>
              </w:rPr>
              <w:t>)</w:t>
            </w:r>
          </w:p>
        </w:tc>
        <w:tc>
          <w:tcPr>
            <w:tcW w:w="929" w:type="dxa"/>
            <w:tcBorders>
              <w:bottom w:val="single" w:sz="4" w:space="0" w:color="auto"/>
            </w:tcBorders>
            <w:shd w:val="clear" w:color="auto" w:fill="F2F2F2" w:themeFill="background1" w:themeFillShade="F2"/>
            <w:tcMar>
              <w:left w:w="45" w:type="dxa"/>
              <w:right w:w="45" w:type="dxa"/>
            </w:tcMar>
          </w:tcPr>
          <w:p w14:paraId="1ED60BEB" w14:textId="65832678"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+52%</w:t>
            </w:r>
          </w:p>
        </w:tc>
        <w:tc>
          <w:tcPr>
            <w:tcW w:w="929" w:type="dxa"/>
            <w:tcBorders>
              <w:bottom w:val="single" w:sz="4" w:space="0" w:color="auto"/>
              <w:right w:val="single" w:sz="4" w:space="0" w:color="auto"/>
            </w:tcBorders>
            <w:shd w:val="clear" w:color="auto" w:fill="F2F2F2" w:themeFill="background1" w:themeFillShade="F2"/>
            <w:tcMar>
              <w:left w:w="45" w:type="dxa"/>
              <w:right w:w="45" w:type="dxa"/>
            </w:tcMar>
          </w:tcPr>
          <w:p w14:paraId="1493F983" w14:textId="7367BCE8"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+47%</w:t>
            </w:r>
          </w:p>
        </w:tc>
      </w:tr>
      <w:tr w:rsidR="00E877C8" w:rsidRPr="00E4257A" w14:paraId="281F9A48" w14:textId="77777777" w:rsidTr="00154BB7">
        <w:trPr>
          <w:trHeight w:val="232"/>
        </w:trPr>
        <w:tc>
          <w:tcPr>
            <w:tcW w:w="2873" w:type="dxa"/>
            <w:tcBorders>
              <w:left w:val="single" w:sz="4" w:space="0" w:color="auto"/>
            </w:tcBorders>
            <w:tcMar>
              <w:left w:w="45" w:type="dxa"/>
              <w:right w:w="45" w:type="dxa"/>
            </w:tcMar>
          </w:tcPr>
          <w:p w14:paraId="6EFFD066" w14:textId="4A2CFB73" w:rsidR="000C43F2" w:rsidRPr="000C7A56" w:rsidRDefault="0038798E"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rPr>
            </w:pPr>
            <w:r w:rsidRPr="00154BB7">
              <w:rPr>
                <w:rFonts w:asciiTheme="minorHAnsi" w:hAnsiTheme="minorHAnsi" w:cs="Times New Roman"/>
                <w:lang w:eastAsia="en-IE"/>
              </w:rPr>
              <w:t>Other</w:t>
            </w:r>
            <w:r w:rsidRPr="000C7A56">
              <w:rPr>
                <w:rFonts w:asciiTheme="minorHAnsi" w:hAnsiTheme="minorHAnsi"/>
              </w:rPr>
              <w:t xml:space="preserve"> </w:t>
            </w:r>
            <w:r w:rsidR="000C43F2" w:rsidRPr="000C7A56">
              <w:rPr>
                <w:rFonts w:asciiTheme="minorHAnsi" w:hAnsiTheme="minorHAnsi"/>
              </w:rPr>
              <w:t>operating costs</w:t>
            </w:r>
          </w:p>
        </w:tc>
        <w:tc>
          <w:tcPr>
            <w:tcW w:w="823" w:type="dxa"/>
            <w:tcBorders>
              <w:top w:val="single" w:sz="4" w:space="0" w:color="auto"/>
              <w:bottom w:val="single" w:sz="4" w:space="0" w:color="auto"/>
            </w:tcBorders>
            <w:tcMar>
              <w:left w:w="45" w:type="dxa"/>
              <w:right w:w="45" w:type="dxa"/>
            </w:tcMar>
          </w:tcPr>
          <w:p w14:paraId="66EACF37" w14:textId="3AB74AC3"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rPr>
            </w:pPr>
            <w:r w:rsidRPr="000C7A56">
              <w:rPr>
                <w:rFonts w:asciiTheme="minorHAnsi" w:hAnsiTheme="minorHAnsi"/>
              </w:rPr>
              <w:t>(</w:t>
            </w:r>
            <w:r w:rsidRPr="00154BB7">
              <w:rPr>
                <w:rFonts w:asciiTheme="minorHAnsi" w:hAnsiTheme="minorHAnsi" w:cstheme="minorHAnsi"/>
                <w:lang w:eastAsia="en-IE"/>
              </w:rPr>
              <w:t>156</w:t>
            </w:r>
            <w:r w:rsidRPr="000C7A56">
              <w:rPr>
                <w:rFonts w:asciiTheme="minorHAnsi" w:hAnsiTheme="minorHAnsi"/>
              </w:rPr>
              <w:t>)</w:t>
            </w:r>
          </w:p>
        </w:tc>
        <w:tc>
          <w:tcPr>
            <w:tcW w:w="722" w:type="dxa"/>
            <w:tcBorders>
              <w:top w:val="single" w:sz="4" w:space="0" w:color="auto"/>
              <w:bottom w:val="single" w:sz="4" w:space="0" w:color="auto"/>
            </w:tcBorders>
            <w:tcMar>
              <w:left w:w="45" w:type="dxa"/>
              <w:right w:w="45" w:type="dxa"/>
            </w:tcMar>
          </w:tcPr>
          <w:p w14:paraId="591C5C0D" w14:textId="24BBE878"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rPr>
            </w:pPr>
            <w:r w:rsidRPr="000C7A56">
              <w:rPr>
                <w:rFonts w:asciiTheme="minorHAnsi" w:hAnsiTheme="minorHAnsi"/>
              </w:rPr>
              <w:t>(</w:t>
            </w:r>
            <w:r w:rsidRPr="00154BB7">
              <w:rPr>
                <w:rFonts w:asciiTheme="minorHAnsi" w:hAnsiTheme="minorHAnsi" w:cstheme="minorHAnsi"/>
                <w:lang w:eastAsia="en-IE"/>
              </w:rPr>
              <w:t>86</w:t>
            </w:r>
            <w:r w:rsidRPr="000C7A56">
              <w:rPr>
                <w:rFonts w:asciiTheme="minorHAnsi" w:hAnsiTheme="minorHAnsi"/>
              </w:rPr>
              <w:t>)</w:t>
            </w:r>
          </w:p>
        </w:tc>
        <w:tc>
          <w:tcPr>
            <w:tcW w:w="236" w:type="dxa"/>
            <w:tcBorders>
              <w:top w:val="single" w:sz="4" w:space="0" w:color="auto"/>
              <w:bottom w:val="single" w:sz="4" w:space="0" w:color="auto"/>
              <w:right w:val="single" w:sz="4" w:space="0" w:color="auto"/>
            </w:tcBorders>
            <w:shd w:val="clear" w:color="auto" w:fill="auto"/>
          </w:tcPr>
          <w:p w14:paraId="30044E38" w14:textId="77777777"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rPr>
            </w:pPr>
          </w:p>
        </w:tc>
        <w:tc>
          <w:tcPr>
            <w:tcW w:w="649" w:type="dxa"/>
            <w:tcBorders>
              <w:top w:val="single" w:sz="4" w:space="0" w:color="auto"/>
              <w:left w:val="single" w:sz="4" w:space="0" w:color="auto"/>
              <w:bottom w:val="single" w:sz="4" w:space="0" w:color="auto"/>
            </w:tcBorders>
            <w:shd w:val="clear" w:color="auto" w:fill="F2F2F2" w:themeFill="background1" w:themeFillShade="F2"/>
            <w:tcMar>
              <w:left w:w="45" w:type="dxa"/>
              <w:right w:w="45" w:type="dxa"/>
            </w:tcMar>
          </w:tcPr>
          <w:p w14:paraId="3039789C" w14:textId="57D1FDF6"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rPr>
            </w:pPr>
            <w:r w:rsidRPr="000C7A56">
              <w:rPr>
                <w:rFonts w:asciiTheme="minorHAnsi" w:hAnsiTheme="minorHAnsi"/>
              </w:rPr>
              <w:t>(</w:t>
            </w:r>
            <w:r w:rsidR="0038798E" w:rsidRPr="00154BB7">
              <w:rPr>
                <w:rFonts w:asciiTheme="minorHAnsi" w:hAnsiTheme="minorHAnsi" w:cstheme="minorHAnsi"/>
                <w:lang w:eastAsia="en-IE"/>
              </w:rPr>
              <w:t>156</w:t>
            </w:r>
            <w:r w:rsidRPr="000C7A56">
              <w:rPr>
                <w:rFonts w:asciiTheme="minorHAnsi" w:hAnsiTheme="minorHAnsi"/>
              </w:rPr>
              <w:t>)</w:t>
            </w:r>
          </w:p>
        </w:tc>
        <w:tc>
          <w:tcPr>
            <w:tcW w:w="588" w:type="dxa"/>
            <w:tcBorders>
              <w:top w:val="single" w:sz="4" w:space="0" w:color="auto"/>
              <w:bottom w:val="single" w:sz="4" w:space="0" w:color="auto"/>
            </w:tcBorders>
            <w:shd w:val="clear" w:color="auto" w:fill="F2F2F2" w:themeFill="background1" w:themeFillShade="F2"/>
            <w:tcMar>
              <w:left w:w="45" w:type="dxa"/>
              <w:right w:w="45" w:type="dxa"/>
            </w:tcMar>
          </w:tcPr>
          <w:p w14:paraId="27D4D057" w14:textId="2E08B350"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rPr>
            </w:pPr>
            <w:r w:rsidRPr="000C7A56">
              <w:rPr>
                <w:rFonts w:asciiTheme="minorHAnsi" w:hAnsiTheme="minorHAnsi"/>
              </w:rPr>
              <w:t>(</w:t>
            </w:r>
            <w:r w:rsidR="0038798E" w:rsidRPr="00154BB7">
              <w:rPr>
                <w:rFonts w:asciiTheme="minorHAnsi" w:hAnsiTheme="minorHAnsi" w:cstheme="minorHAnsi"/>
                <w:lang w:eastAsia="en-IE"/>
              </w:rPr>
              <w:t>106</w:t>
            </w:r>
            <w:r w:rsidRPr="000C7A56">
              <w:rPr>
                <w:rFonts w:asciiTheme="minorHAnsi" w:hAnsiTheme="minorHAnsi"/>
              </w:rPr>
              <w:t>)</w:t>
            </w:r>
          </w:p>
        </w:tc>
        <w:tc>
          <w:tcPr>
            <w:tcW w:w="929" w:type="dxa"/>
            <w:tcBorders>
              <w:top w:val="single" w:sz="4" w:space="0" w:color="auto"/>
              <w:bottom w:val="single" w:sz="4" w:space="0" w:color="auto"/>
            </w:tcBorders>
            <w:shd w:val="clear" w:color="auto" w:fill="F2F2F2" w:themeFill="background1" w:themeFillShade="F2"/>
            <w:tcMar>
              <w:left w:w="45" w:type="dxa"/>
              <w:right w:w="45" w:type="dxa"/>
            </w:tcMar>
          </w:tcPr>
          <w:p w14:paraId="2A496104" w14:textId="1ED3E1F3"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rPr>
            </w:pPr>
            <w:r w:rsidRPr="000C7A56">
              <w:rPr>
                <w:rFonts w:asciiTheme="minorHAnsi" w:hAnsiTheme="minorHAnsi"/>
              </w:rPr>
              <w:t>+</w:t>
            </w:r>
            <w:r w:rsidR="0038798E" w:rsidRPr="00154BB7">
              <w:rPr>
                <w:rFonts w:asciiTheme="minorHAnsi" w:hAnsiTheme="minorHAnsi" w:cstheme="minorHAnsi"/>
                <w:lang w:eastAsia="en-IE"/>
              </w:rPr>
              <w:t>47</w:t>
            </w:r>
            <w:r w:rsidRPr="000C7A56">
              <w:rPr>
                <w:rFonts w:asciiTheme="minorHAnsi" w:hAnsiTheme="minorHAnsi"/>
              </w:rPr>
              <w:t>%</w:t>
            </w:r>
          </w:p>
        </w:tc>
        <w:tc>
          <w:tcPr>
            <w:tcW w:w="929" w:type="dxa"/>
            <w:tcBorders>
              <w:top w:val="single" w:sz="4" w:space="0" w:color="auto"/>
              <w:bottom w:val="single" w:sz="4" w:space="0" w:color="auto"/>
              <w:right w:val="single" w:sz="4" w:space="0" w:color="auto"/>
            </w:tcBorders>
            <w:shd w:val="clear" w:color="auto" w:fill="F2F2F2" w:themeFill="background1" w:themeFillShade="F2"/>
            <w:tcMar>
              <w:left w:w="45" w:type="dxa"/>
              <w:right w:w="45" w:type="dxa"/>
            </w:tcMar>
          </w:tcPr>
          <w:p w14:paraId="5C1B8DE6" w14:textId="4A34A857"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rPr>
            </w:pPr>
            <w:r w:rsidRPr="000C7A56">
              <w:rPr>
                <w:rFonts w:asciiTheme="minorHAnsi" w:hAnsiTheme="minorHAnsi"/>
              </w:rPr>
              <w:t>+</w:t>
            </w:r>
            <w:r w:rsidR="0038798E" w:rsidRPr="00154BB7">
              <w:rPr>
                <w:rFonts w:asciiTheme="minorHAnsi" w:hAnsiTheme="minorHAnsi" w:cstheme="minorHAnsi"/>
                <w:lang w:eastAsia="en-IE"/>
              </w:rPr>
              <w:t>42</w:t>
            </w:r>
            <w:r w:rsidRPr="000C7A56">
              <w:rPr>
                <w:rFonts w:asciiTheme="minorHAnsi" w:hAnsiTheme="minorHAnsi"/>
              </w:rPr>
              <w:t>%</w:t>
            </w:r>
          </w:p>
        </w:tc>
      </w:tr>
      <w:tr w:rsidR="00E877C8" w:rsidRPr="00E27643" w14:paraId="6CCD34C7" w14:textId="77777777" w:rsidTr="00154BB7">
        <w:trPr>
          <w:trHeight w:val="50"/>
        </w:trPr>
        <w:tc>
          <w:tcPr>
            <w:tcW w:w="2873" w:type="dxa"/>
            <w:tcBorders>
              <w:left w:val="single" w:sz="4" w:space="0" w:color="auto"/>
            </w:tcBorders>
            <w:tcMar>
              <w:left w:w="45" w:type="dxa"/>
              <w:right w:w="45" w:type="dxa"/>
            </w:tcMar>
          </w:tcPr>
          <w:p w14:paraId="5F6E7AF2" w14:textId="77777777"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sz w:val="8"/>
              </w:rPr>
            </w:pPr>
          </w:p>
        </w:tc>
        <w:tc>
          <w:tcPr>
            <w:tcW w:w="823" w:type="dxa"/>
            <w:tcBorders>
              <w:top w:val="single" w:sz="4" w:space="0" w:color="auto"/>
            </w:tcBorders>
            <w:tcMar>
              <w:left w:w="45" w:type="dxa"/>
              <w:right w:w="45" w:type="dxa"/>
            </w:tcMar>
          </w:tcPr>
          <w:p w14:paraId="2C6F77FF" w14:textId="77777777"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8"/>
              </w:rPr>
            </w:pPr>
          </w:p>
        </w:tc>
        <w:tc>
          <w:tcPr>
            <w:tcW w:w="722" w:type="dxa"/>
            <w:tcBorders>
              <w:top w:val="single" w:sz="4" w:space="0" w:color="auto"/>
            </w:tcBorders>
            <w:tcMar>
              <w:left w:w="45" w:type="dxa"/>
              <w:right w:w="45" w:type="dxa"/>
            </w:tcMar>
          </w:tcPr>
          <w:p w14:paraId="4B5B428F" w14:textId="77777777"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8"/>
              </w:rPr>
            </w:pPr>
          </w:p>
        </w:tc>
        <w:tc>
          <w:tcPr>
            <w:tcW w:w="236" w:type="dxa"/>
            <w:tcBorders>
              <w:top w:val="single" w:sz="4" w:space="0" w:color="auto"/>
              <w:right w:val="single" w:sz="4" w:space="0" w:color="auto"/>
            </w:tcBorders>
            <w:shd w:val="clear" w:color="auto" w:fill="auto"/>
          </w:tcPr>
          <w:p w14:paraId="07154863" w14:textId="77777777"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8"/>
              </w:rPr>
            </w:pPr>
          </w:p>
        </w:tc>
        <w:tc>
          <w:tcPr>
            <w:tcW w:w="649" w:type="dxa"/>
            <w:tcBorders>
              <w:top w:val="single" w:sz="4" w:space="0" w:color="auto"/>
              <w:left w:val="single" w:sz="4" w:space="0" w:color="auto"/>
            </w:tcBorders>
            <w:shd w:val="clear" w:color="auto" w:fill="F2F2F2" w:themeFill="background1" w:themeFillShade="F2"/>
            <w:tcMar>
              <w:left w:w="45" w:type="dxa"/>
              <w:right w:w="45" w:type="dxa"/>
            </w:tcMar>
          </w:tcPr>
          <w:p w14:paraId="5686A8AC" w14:textId="77777777"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8"/>
              </w:rPr>
            </w:pPr>
          </w:p>
        </w:tc>
        <w:tc>
          <w:tcPr>
            <w:tcW w:w="588" w:type="dxa"/>
            <w:tcBorders>
              <w:top w:val="single" w:sz="4" w:space="0" w:color="auto"/>
            </w:tcBorders>
            <w:shd w:val="clear" w:color="auto" w:fill="F2F2F2" w:themeFill="background1" w:themeFillShade="F2"/>
            <w:tcMar>
              <w:left w:w="45" w:type="dxa"/>
              <w:right w:w="45" w:type="dxa"/>
            </w:tcMar>
          </w:tcPr>
          <w:p w14:paraId="0701BCDC" w14:textId="77777777"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8"/>
              </w:rPr>
            </w:pPr>
          </w:p>
        </w:tc>
        <w:tc>
          <w:tcPr>
            <w:tcW w:w="929" w:type="dxa"/>
            <w:tcBorders>
              <w:top w:val="single" w:sz="4" w:space="0" w:color="auto"/>
            </w:tcBorders>
            <w:shd w:val="clear" w:color="auto" w:fill="F2F2F2" w:themeFill="background1" w:themeFillShade="F2"/>
            <w:tcMar>
              <w:left w:w="45" w:type="dxa"/>
              <w:right w:w="45" w:type="dxa"/>
            </w:tcMar>
          </w:tcPr>
          <w:p w14:paraId="68B6E663" w14:textId="77777777"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8"/>
              </w:rPr>
            </w:pPr>
          </w:p>
        </w:tc>
        <w:tc>
          <w:tcPr>
            <w:tcW w:w="929" w:type="dxa"/>
            <w:tcBorders>
              <w:top w:val="single" w:sz="4" w:space="0" w:color="auto"/>
              <w:right w:val="single" w:sz="4" w:space="0" w:color="auto"/>
            </w:tcBorders>
            <w:shd w:val="clear" w:color="auto" w:fill="F2F2F2" w:themeFill="background1" w:themeFillShade="F2"/>
            <w:tcMar>
              <w:left w:w="45" w:type="dxa"/>
              <w:right w:w="45" w:type="dxa"/>
            </w:tcMar>
          </w:tcPr>
          <w:p w14:paraId="4BB15315" w14:textId="77777777" w:rsidR="000C43F2" w:rsidRPr="000C7A56"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8"/>
              </w:rPr>
            </w:pPr>
          </w:p>
        </w:tc>
      </w:tr>
      <w:tr w:rsidR="00E877C8" w:rsidRPr="00E4257A" w14:paraId="625698FF" w14:textId="77777777" w:rsidTr="00154BB7">
        <w:trPr>
          <w:trHeight w:val="232"/>
        </w:trPr>
        <w:tc>
          <w:tcPr>
            <w:tcW w:w="2873" w:type="dxa"/>
            <w:tcBorders>
              <w:left w:val="single" w:sz="4" w:space="0" w:color="auto"/>
            </w:tcBorders>
            <w:tcMar>
              <w:left w:w="45" w:type="dxa"/>
              <w:right w:w="45" w:type="dxa"/>
            </w:tcMar>
          </w:tcPr>
          <w:p w14:paraId="176EA291" w14:textId="77777777"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lang w:eastAsia="en-IE"/>
              </w:rPr>
            </w:pPr>
            <w:r w:rsidRPr="003416FA">
              <w:rPr>
                <w:rFonts w:asciiTheme="minorHAnsi" w:hAnsiTheme="minorHAnsi" w:cs="Times New Roman"/>
                <w:b/>
                <w:lang w:eastAsia="en-IE"/>
              </w:rPr>
              <w:t>Underlying EBITDA</w:t>
            </w:r>
            <w:r w:rsidRPr="00236BD2">
              <w:rPr>
                <w:rFonts w:asciiTheme="minorHAnsi" w:hAnsiTheme="minorHAnsi" w:cs="Times New Roman"/>
                <w:vertAlign w:val="superscript"/>
                <w:lang w:eastAsia="en-IE"/>
              </w:rPr>
              <w:t>1,2</w:t>
            </w:r>
          </w:p>
        </w:tc>
        <w:tc>
          <w:tcPr>
            <w:tcW w:w="823" w:type="dxa"/>
            <w:tcMar>
              <w:left w:w="45" w:type="dxa"/>
              <w:right w:w="45" w:type="dxa"/>
            </w:tcMar>
          </w:tcPr>
          <w:p w14:paraId="0A5F5A4A" w14:textId="28E9989C"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(40)</w:t>
            </w:r>
          </w:p>
        </w:tc>
        <w:tc>
          <w:tcPr>
            <w:tcW w:w="722" w:type="dxa"/>
            <w:tcMar>
              <w:left w:w="45" w:type="dxa"/>
              <w:right w:w="45" w:type="dxa"/>
            </w:tcMar>
          </w:tcPr>
          <w:p w14:paraId="0717728C" w14:textId="37DB2A40"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sidRPr="003416FA">
              <w:rPr>
                <w:rFonts w:asciiTheme="minorHAnsi" w:hAnsiTheme="minorHAnsi" w:cstheme="minorHAnsi"/>
                <w:b/>
                <w:lang w:eastAsia="en-IE"/>
              </w:rPr>
              <w:t>(14)</w:t>
            </w:r>
          </w:p>
        </w:tc>
        <w:tc>
          <w:tcPr>
            <w:tcW w:w="236" w:type="dxa"/>
            <w:tcBorders>
              <w:right w:val="single" w:sz="4" w:space="0" w:color="auto"/>
            </w:tcBorders>
            <w:shd w:val="clear" w:color="auto" w:fill="auto"/>
          </w:tcPr>
          <w:p w14:paraId="29921809" w14:textId="77777777"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p>
        </w:tc>
        <w:tc>
          <w:tcPr>
            <w:tcW w:w="649" w:type="dxa"/>
            <w:tcBorders>
              <w:left w:val="single" w:sz="4" w:space="0" w:color="auto"/>
            </w:tcBorders>
            <w:shd w:val="clear" w:color="auto" w:fill="F2F2F2" w:themeFill="background1" w:themeFillShade="F2"/>
            <w:tcMar>
              <w:left w:w="45" w:type="dxa"/>
              <w:right w:w="45" w:type="dxa"/>
            </w:tcMar>
          </w:tcPr>
          <w:p w14:paraId="64B0ED6E" w14:textId="55CA08B6"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(40)</w:t>
            </w:r>
          </w:p>
        </w:tc>
        <w:tc>
          <w:tcPr>
            <w:tcW w:w="588" w:type="dxa"/>
            <w:shd w:val="clear" w:color="auto" w:fill="F2F2F2" w:themeFill="background1" w:themeFillShade="F2"/>
            <w:tcMar>
              <w:left w:w="45" w:type="dxa"/>
              <w:right w:w="45" w:type="dxa"/>
            </w:tcMar>
          </w:tcPr>
          <w:p w14:paraId="72917ED5" w14:textId="6DFFCD44"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sidRPr="003416FA">
              <w:rPr>
                <w:rFonts w:asciiTheme="minorHAnsi" w:hAnsiTheme="minorHAnsi" w:cstheme="minorHAnsi"/>
                <w:b/>
                <w:lang w:eastAsia="en-IE"/>
              </w:rPr>
              <w:t>(15)</w:t>
            </w:r>
          </w:p>
        </w:tc>
        <w:tc>
          <w:tcPr>
            <w:tcW w:w="929" w:type="dxa"/>
            <w:shd w:val="clear" w:color="auto" w:fill="F2F2F2" w:themeFill="background1" w:themeFillShade="F2"/>
            <w:tcMar>
              <w:left w:w="45" w:type="dxa"/>
              <w:right w:w="45" w:type="dxa"/>
            </w:tcMar>
          </w:tcPr>
          <w:p w14:paraId="52BBA478" w14:textId="11C59F86"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n/a</w:t>
            </w:r>
          </w:p>
        </w:tc>
        <w:tc>
          <w:tcPr>
            <w:tcW w:w="929" w:type="dxa"/>
            <w:tcBorders>
              <w:right w:val="single" w:sz="4" w:space="0" w:color="auto"/>
            </w:tcBorders>
            <w:shd w:val="clear" w:color="auto" w:fill="F2F2F2" w:themeFill="background1" w:themeFillShade="F2"/>
            <w:tcMar>
              <w:left w:w="45" w:type="dxa"/>
              <w:right w:w="45" w:type="dxa"/>
            </w:tcMar>
          </w:tcPr>
          <w:p w14:paraId="03A16970" w14:textId="65858ADB" w:rsidR="000C43F2" w:rsidRPr="003416FA" w:rsidRDefault="000C43F2" w:rsidP="000C43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n/a</w:t>
            </w:r>
          </w:p>
        </w:tc>
      </w:tr>
      <w:tr w:rsidR="004B7E5E" w:rsidRPr="00E4257A" w14:paraId="3A6A6D81" w14:textId="77777777" w:rsidTr="00154BB7">
        <w:trPr>
          <w:trHeight w:val="232"/>
        </w:trPr>
        <w:tc>
          <w:tcPr>
            <w:tcW w:w="2873" w:type="dxa"/>
            <w:tcBorders>
              <w:left w:val="single" w:sz="4" w:space="0" w:color="auto"/>
            </w:tcBorders>
            <w:tcMar>
              <w:left w:w="45" w:type="dxa"/>
              <w:right w:w="45" w:type="dxa"/>
            </w:tcMar>
          </w:tcPr>
          <w:p w14:paraId="16A98BA5" w14:textId="26F20141" w:rsidR="004B7E5E" w:rsidRPr="00B32CCA" w:rsidRDefault="003D5E9F"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Underlying</w:t>
            </w:r>
            <w:r>
              <w:rPr>
                <w:rFonts w:asciiTheme="minorHAnsi" w:hAnsiTheme="minorHAnsi" w:cs="Times New Roman"/>
                <w:i/>
                <w:sz w:val="18"/>
                <w:szCs w:val="18"/>
                <w:lang w:eastAsia="en-IE"/>
              </w:rPr>
              <w:t xml:space="preserve"> </w:t>
            </w:r>
            <w:r w:rsidRPr="00B32CCA">
              <w:rPr>
                <w:rFonts w:asciiTheme="minorHAnsi" w:hAnsiTheme="minorHAnsi" w:cs="Times New Roman"/>
                <w:i/>
                <w:sz w:val="18"/>
                <w:szCs w:val="18"/>
                <w:lang w:eastAsia="en-IE"/>
              </w:rPr>
              <w:t>EBITDA</w:t>
            </w:r>
            <w:r>
              <w:rPr>
                <w:rFonts w:asciiTheme="minorHAnsi" w:hAnsiTheme="minorHAnsi"/>
                <w:i/>
                <w:sz w:val="18"/>
                <w:szCs w:val="18"/>
                <w:vertAlign w:val="superscript"/>
              </w:rPr>
              <w:t>1,2</w:t>
            </w:r>
            <w:r w:rsidRPr="00B32CCA">
              <w:rPr>
                <w:rFonts w:asciiTheme="minorHAnsi" w:hAnsiTheme="minorHAnsi" w:cs="Times New Roman"/>
                <w:i/>
                <w:sz w:val="18"/>
                <w:szCs w:val="18"/>
                <w:lang w:eastAsia="en-IE"/>
              </w:rPr>
              <w:t xml:space="preserve"> margin</w:t>
            </w:r>
          </w:p>
        </w:tc>
        <w:tc>
          <w:tcPr>
            <w:tcW w:w="823" w:type="dxa"/>
            <w:tcMar>
              <w:left w:w="45" w:type="dxa"/>
              <w:right w:w="45" w:type="dxa"/>
            </w:tcMar>
          </w:tcPr>
          <w:p w14:paraId="015EEB5F" w14:textId="09764B35" w:rsidR="004B7E5E" w:rsidRPr="00B32CC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18"/>
                <w:szCs w:val="18"/>
                <w:lang w:eastAsia="en-IE"/>
              </w:rPr>
            </w:pPr>
            <w:r w:rsidRPr="00B32CCA">
              <w:rPr>
                <w:rFonts w:asciiTheme="minorHAnsi" w:hAnsiTheme="minorHAnsi" w:cstheme="minorHAnsi"/>
                <w:i/>
                <w:sz w:val="18"/>
                <w:szCs w:val="18"/>
                <w:lang w:eastAsia="en-IE"/>
              </w:rPr>
              <w:t>-10.7%</w:t>
            </w:r>
          </w:p>
        </w:tc>
        <w:tc>
          <w:tcPr>
            <w:tcW w:w="722" w:type="dxa"/>
            <w:tcMar>
              <w:left w:w="45" w:type="dxa"/>
              <w:right w:w="45" w:type="dxa"/>
            </w:tcMar>
          </w:tcPr>
          <w:p w14:paraId="3178585B" w14:textId="0C440250" w:rsidR="004B7E5E" w:rsidRPr="00B32CC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18"/>
                <w:szCs w:val="18"/>
                <w:lang w:eastAsia="en-IE"/>
              </w:rPr>
            </w:pPr>
            <w:r w:rsidRPr="00B32CCA">
              <w:rPr>
                <w:rFonts w:asciiTheme="minorHAnsi" w:hAnsiTheme="minorHAnsi" w:cstheme="minorHAnsi"/>
                <w:i/>
                <w:sz w:val="18"/>
                <w:szCs w:val="18"/>
                <w:lang w:eastAsia="en-IE"/>
              </w:rPr>
              <w:t>-7.6%</w:t>
            </w:r>
          </w:p>
        </w:tc>
        <w:tc>
          <w:tcPr>
            <w:tcW w:w="236" w:type="dxa"/>
            <w:tcBorders>
              <w:right w:val="single" w:sz="4" w:space="0" w:color="auto"/>
            </w:tcBorders>
            <w:shd w:val="clear" w:color="auto" w:fill="auto"/>
          </w:tcPr>
          <w:p w14:paraId="70E2616A" w14:textId="77777777" w:rsidR="004B7E5E" w:rsidRPr="00B32CC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18"/>
                <w:szCs w:val="18"/>
                <w:lang w:eastAsia="en-IE"/>
              </w:rPr>
            </w:pPr>
          </w:p>
        </w:tc>
        <w:tc>
          <w:tcPr>
            <w:tcW w:w="649" w:type="dxa"/>
            <w:tcBorders>
              <w:left w:val="single" w:sz="4" w:space="0" w:color="auto"/>
            </w:tcBorders>
            <w:shd w:val="clear" w:color="auto" w:fill="F2F2F2" w:themeFill="background1" w:themeFillShade="F2"/>
            <w:tcMar>
              <w:left w:w="45" w:type="dxa"/>
              <w:right w:w="45" w:type="dxa"/>
            </w:tcMar>
          </w:tcPr>
          <w:p w14:paraId="37C01A5B" w14:textId="37EE250F" w:rsidR="004B7E5E" w:rsidRPr="00B32CC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18"/>
                <w:szCs w:val="18"/>
                <w:lang w:eastAsia="en-IE"/>
              </w:rPr>
            </w:pPr>
            <w:r w:rsidRPr="00B32CCA">
              <w:rPr>
                <w:rFonts w:asciiTheme="minorHAnsi" w:hAnsiTheme="minorHAnsi" w:cstheme="minorHAnsi"/>
                <w:i/>
                <w:sz w:val="18"/>
                <w:szCs w:val="18"/>
                <w:lang w:eastAsia="en-IE"/>
              </w:rPr>
              <w:t>-10.7%</w:t>
            </w:r>
          </w:p>
        </w:tc>
        <w:tc>
          <w:tcPr>
            <w:tcW w:w="588" w:type="dxa"/>
            <w:shd w:val="clear" w:color="auto" w:fill="F2F2F2" w:themeFill="background1" w:themeFillShade="F2"/>
            <w:tcMar>
              <w:left w:w="45" w:type="dxa"/>
              <w:right w:w="45" w:type="dxa"/>
            </w:tcMar>
          </w:tcPr>
          <w:p w14:paraId="5FBFD412" w14:textId="04837384" w:rsidR="004B7E5E" w:rsidRPr="00B32CC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18"/>
                <w:szCs w:val="18"/>
                <w:lang w:eastAsia="en-IE"/>
              </w:rPr>
            </w:pPr>
            <w:r w:rsidRPr="00B32CCA">
              <w:rPr>
                <w:rFonts w:asciiTheme="minorHAnsi" w:hAnsiTheme="minorHAnsi" w:cstheme="minorHAnsi"/>
                <w:i/>
                <w:sz w:val="18"/>
                <w:szCs w:val="18"/>
                <w:lang w:eastAsia="en-IE"/>
              </w:rPr>
              <w:t>-6.3%</w:t>
            </w:r>
          </w:p>
        </w:tc>
        <w:tc>
          <w:tcPr>
            <w:tcW w:w="929" w:type="dxa"/>
            <w:shd w:val="clear" w:color="auto" w:fill="F2F2F2" w:themeFill="background1" w:themeFillShade="F2"/>
            <w:tcMar>
              <w:left w:w="45" w:type="dxa"/>
              <w:right w:w="45" w:type="dxa"/>
            </w:tcMar>
          </w:tcPr>
          <w:p w14:paraId="5D37AD86" w14:textId="6DA8D640" w:rsidR="004B7E5E" w:rsidRPr="00B32CCA" w:rsidRDefault="00695E69"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18"/>
                <w:szCs w:val="18"/>
                <w:lang w:eastAsia="en-IE"/>
              </w:rPr>
            </w:pPr>
            <w:r>
              <w:rPr>
                <w:rFonts w:asciiTheme="minorHAnsi" w:hAnsiTheme="minorHAnsi" w:cstheme="minorHAnsi"/>
                <w:i/>
                <w:sz w:val="18"/>
                <w:szCs w:val="18"/>
                <w:lang w:eastAsia="en-IE"/>
              </w:rPr>
              <w:t>-</w:t>
            </w:r>
            <w:r w:rsidR="004B7E5E" w:rsidRPr="00B32CCA">
              <w:rPr>
                <w:rFonts w:asciiTheme="minorHAnsi" w:hAnsiTheme="minorHAnsi" w:cstheme="minorHAnsi"/>
                <w:i/>
                <w:sz w:val="18"/>
                <w:szCs w:val="18"/>
                <w:lang w:eastAsia="en-IE"/>
              </w:rPr>
              <w:t>4</w:t>
            </w:r>
            <w:r w:rsidR="00B32CCA">
              <w:rPr>
                <w:rFonts w:asciiTheme="minorHAnsi" w:hAnsiTheme="minorHAnsi" w:cstheme="minorHAnsi"/>
                <w:i/>
                <w:sz w:val="18"/>
                <w:szCs w:val="18"/>
                <w:lang w:eastAsia="en-IE"/>
              </w:rPr>
              <w:t>5</w:t>
            </w:r>
            <w:r w:rsidR="004B7E5E" w:rsidRPr="00B32CCA">
              <w:rPr>
                <w:rFonts w:asciiTheme="minorHAnsi" w:hAnsiTheme="minorHAnsi" w:cstheme="minorHAnsi"/>
                <w:i/>
                <w:sz w:val="18"/>
                <w:szCs w:val="18"/>
                <w:lang w:eastAsia="en-IE"/>
              </w:rPr>
              <w:t>0bps</w:t>
            </w:r>
          </w:p>
        </w:tc>
        <w:tc>
          <w:tcPr>
            <w:tcW w:w="929" w:type="dxa"/>
            <w:tcBorders>
              <w:right w:val="single" w:sz="4" w:space="0" w:color="auto"/>
            </w:tcBorders>
            <w:shd w:val="clear" w:color="auto" w:fill="F2F2F2" w:themeFill="background1" w:themeFillShade="F2"/>
            <w:tcMar>
              <w:left w:w="45" w:type="dxa"/>
              <w:right w:w="45" w:type="dxa"/>
            </w:tcMar>
          </w:tcPr>
          <w:p w14:paraId="3C08D89A" w14:textId="3459CB56" w:rsidR="004B7E5E" w:rsidRPr="00B32CCA" w:rsidRDefault="00695E69"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i/>
                <w:sz w:val="18"/>
                <w:szCs w:val="18"/>
                <w:lang w:eastAsia="en-IE"/>
              </w:rPr>
            </w:pPr>
            <w:r>
              <w:rPr>
                <w:rFonts w:asciiTheme="minorHAnsi" w:hAnsiTheme="minorHAnsi" w:cstheme="minorHAnsi"/>
                <w:i/>
                <w:sz w:val="18"/>
                <w:szCs w:val="18"/>
                <w:lang w:eastAsia="en-IE"/>
              </w:rPr>
              <w:t>-</w:t>
            </w:r>
            <w:r w:rsidR="004B7E5E" w:rsidRPr="00B32CCA">
              <w:rPr>
                <w:rFonts w:asciiTheme="minorHAnsi" w:hAnsiTheme="minorHAnsi" w:cstheme="minorHAnsi"/>
                <w:i/>
                <w:sz w:val="18"/>
                <w:szCs w:val="18"/>
                <w:lang w:eastAsia="en-IE"/>
              </w:rPr>
              <w:t>450bps</w:t>
            </w:r>
          </w:p>
        </w:tc>
      </w:tr>
      <w:tr w:rsidR="004B7E5E" w:rsidRPr="004B7E5E" w14:paraId="556D0ACE" w14:textId="77777777" w:rsidTr="00154BB7">
        <w:trPr>
          <w:trHeight w:val="50"/>
        </w:trPr>
        <w:tc>
          <w:tcPr>
            <w:tcW w:w="2873" w:type="dxa"/>
            <w:tcBorders>
              <w:left w:val="single" w:sz="4" w:space="0" w:color="auto"/>
            </w:tcBorders>
            <w:tcMar>
              <w:left w:w="45" w:type="dxa"/>
              <w:right w:w="45" w:type="dxa"/>
            </w:tcMar>
          </w:tcPr>
          <w:p w14:paraId="72B0066B" w14:textId="77777777" w:rsidR="004B7E5E" w:rsidRPr="002744B0"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i/>
                <w:sz w:val="8"/>
                <w:szCs w:val="8"/>
                <w:lang w:eastAsia="en-IE"/>
              </w:rPr>
            </w:pPr>
          </w:p>
        </w:tc>
        <w:tc>
          <w:tcPr>
            <w:tcW w:w="823" w:type="dxa"/>
            <w:tcMar>
              <w:left w:w="45" w:type="dxa"/>
              <w:right w:w="45" w:type="dxa"/>
            </w:tcMar>
          </w:tcPr>
          <w:p w14:paraId="65F33858" w14:textId="77777777" w:rsidR="004B7E5E" w:rsidRPr="002744B0"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722" w:type="dxa"/>
            <w:tcMar>
              <w:left w:w="45" w:type="dxa"/>
              <w:right w:w="45" w:type="dxa"/>
            </w:tcMar>
          </w:tcPr>
          <w:p w14:paraId="3EC58360" w14:textId="77777777" w:rsidR="004B7E5E" w:rsidRPr="002744B0"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236" w:type="dxa"/>
            <w:tcBorders>
              <w:right w:val="single" w:sz="4" w:space="0" w:color="auto"/>
            </w:tcBorders>
            <w:shd w:val="clear" w:color="auto" w:fill="auto"/>
          </w:tcPr>
          <w:p w14:paraId="3A4DD9EF" w14:textId="77777777" w:rsidR="004B7E5E" w:rsidRPr="002744B0"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649" w:type="dxa"/>
            <w:tcBorders>
              <w:left w:val="single" w:sz="4" w:space="0" w:color="auto"/>
            </w:tcBorders>
            <w:shd w:val="clear" w:color="auto" w:fill="F2F2F2" w:themeFill="background1" w:themeFillShade="F2"/>
            <w:tcMar>
              <w:left w:w="45" w:type="dxa"/>
              <w:right w:w="45" w:type="dxa"/>
            </w:tcMar>
          </w:tcPr>
          <w:p w14:paraId="57AE7A6B" w14:textId="77777777" w:rsidR="004B7E5E" w:rsidRPr="002744B0"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588" w:type="dxa"/>
            <w:shd w:val="clear" w:color="auto" w:fill="F2F2F2" w:themeFill="background1" w:themeFillShade="F2"/>
            <w:tcMar>
              <w:left w:w="45" w:type="dxa"/>
              <w:right w:w="45" w:type="dxa"/>
            </w:tcMar>
          </w:tcPr>
          <w:p w14:paraId="5B9B377B" w14:textId="77777777" w:rsidR="004B7E5E" w:rsidRPr="002744B0"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929" w:type="dxa"/>
            <w:shd w:val="clear" w:color="auto" w:fill="F2F2F2" w:themeFill="background1" w:themeFillShade="F2"/>
            <w:tcMar>
              <w:left w:w="45" w:type="dxa"/>
              <w:right w:w="45" w:type="dxa"/>
            </w:tcMar>
          </w:tcPr>
          <w:p w14:paraId="6CAC5700" w14:textId="77777777" w:rsidR="004B7E5E" w:rsidRPr="002744B0"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929" w:type="dxa"/>
            <w:tcBorders>
              <w:right w:val="single" w:sz="4" w:space="0" w:color="auto"/>
            </w:tcBorders>
            <w:shd w:val="clear" w:color="auto" w:fill="F2F2F2" w:themeFill="background1" w:themeFillShade="F2"/>
            <w:tcMar>
              <w:left w:w="45" w:type="dxa"/>
              <w:right w:w="45" w:type="dxa"/>
            </w:tcMar>
          </w:tcPr>
          <w:p w14:paraId="2A929BBA" w14:textId="77777777" w:rsidR="004B7E5E" w:rsidRPr="002744B0"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r>
      <w:tr w:rsidR="00E877C8" w:rsidRPr="00E4257A" w14:paraId="03D6C63D" w14:textId="77777777" w:rsidTr="00F91068">
        <w:trPr>
          <w:trHeight w:val="232"/>
        </w:trPr>
        <w:tc>
          <w:tcPr>
            <w:tcW w:w="2873" w:type="dxa"/>
            <w:tcBorders>
              <w:left w:val="single" w:sz="4" w:space="0" w:color="auto"/>
            </w:tcBorders>
            <w:tcMar>
              <w:left w:w="45" w:type="dxa"/>
              <w:right w:w="45" w:type="dxa"/>
            </w:tcMar>
          </w:tcPr>
          <w:p w14:paraId="2F384807" w14:textId="77777777"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Pr>
                <w:rFonts w:asciiTheme="minorHAnsi" w:hAnsiTheme="minorHAnsi" w:cs="Times New Roman"/>
                <w:lang w:eastAsia="en-IE"/>
              </w:rPr>
              <w:t>Depreciation and</w:t>
            </w:r>
            <w:r w:rsidRPr="003416FA">
              <w:rPr>
                <w:rFonts w:asciiTheme="minorHAnsi" w:hAnsiTheme="minorHAnsi" w:cs="Times New Roman"/>
                <w:lang w:eastAsia="en-IE"/>
              </w:rPr>
              <w:t xml:space="preserve"> amortisation</w:t>
            </w:r>
          </w:p>
        </w:tc>
        <w:tc>
          <w:tcPr>
            <w:tcW w:w="823" w:type="dxa"/>
            <w:tcBorders>
              <w:bottom w:val="single" w:sz="4" w:space="0" w:color="auto"/>
            </w:tcBorders>
            <w:tcMar>
              <w:left w:w="45" w:type="dxa"/>
              <w:right w:w="45" w:type="dxa"/>
            </w:tcMar>
          </w:tcPr>
          <w:p w14:paraId="1D3002C5" w14:textId="24907429"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(20)</w:t>
            </w:r>
          </w:p>
        </w:tc>
        <w:tc>
          <w:tcPr>
            <w:tcW w:w="722" w:type="dxa"/>
            <w:tcBorders>
              <w:bottom w:val="single" w:sz="4" w:space="0" w:color="auto"/>
            </w:tcBorders>
            <w:tcMar>
              <w:left w:w="45" w:type="dxa"/>
              <w:right w:w="45" w:type="dxa"/>
            </w:tcMar>
          </w:tcPr>
          <w:p w14:paraId="55E70B51" w14:textId="46163949"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sidRPr="003416FA">
              <w:rPr>
                <w:rFonts w:asciiTheme="minorHAnsi" w:hAnsiTheme="minorHAnsi" w:cstheme="minorHAnsi"/>
                <w:lang w:eastAsia="en-IE"/>
              </w:rPr>
              <w:t>(11)</w:t>
            </w:r>
          </w:p>
        </w:tc>
        <w:tc>
          <w:tcPr>
            <w:tcW w:w="236" w:type="dxa"/>
            <w:tcBorders>
              <w:bottom w:val="single" w:sz="4" w:space="0" w:color="auto"/>
              <w:right w:val="single" w:sz="4" w:space="0" w:color="auto"/>
            </w:tcBorders>
            <w:shd w:val="clear" w:color="auto" w:fill="auto"/>
          </w:tcPr>
          <w:p w14:paraId="1BAA14C5" w14:textId="77777777"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p>
        </w:tc>
        <w:tc>
          <w:tcPr>
            <w:tcW w:w="649" w:type="dxa"/>
            <w:tcBorders>
              <w:left w:val="single" w:sz="4" w:space="0" w:color="auto"/>
              <w:bottom w:val="single" w:sz="4" w:space="0" w:color="auto"/>
            </w:tcBorders>
            <w:shd w:val="clear" w:color="auto" w:fill="F2F2F2" w:themeFill="background1" w:themeFillShade="F2"/>
            <w:tcMar>
              <w:left w:w="45" w:type="dxa"/>
              <w:right w:w="45" w:type="dxa"/>
            </w:tcMar>
          </w:tcPr>
          <w:p w14:paraId="66EB8415" w14:textId="42BD0E53"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(20)</w:t>
            </w:r>
          </w:p>
        </w:tc>
        <w:tc>
          <w:tcPr>
            <w:tcW w:w="588" w:type="dxa"/>
            <w:tcBorders>
              <w:bottom w:val="single" w:sz="4" w:space="0" w:color="auto"/>
            </w:tcBorders>
            <w:shd w:val="clear" w:color="auto" w:fill="F2F2F2" w:themeFill="background1" w:themeFillShade="F2"/>
            <w:tcMar>
              <w:left w:w="45" w:type="dxa"/>
              <w:right w:w="45" w:type="dxa"/>
            </w:tcMar>
          </w:tcPr>
          <w:p w14:paraId="74371482" w14:textId="0BB12047"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sidRPr="003416FA">
              <w:rPr>
                <w:rFonts w:asciiTheme="minorHAnsi" w:hAnsiTheme="minorHAnsi" w:cstheme="minorHAnsi"/>
                <w:lang w:eastAsia="en-IE"/>
              </w:rPr>
              <w:t>(13)</w:t>
            </w:r>
          </w:p>
        </w:tc>
        <w:tc>
          <w:tcPr>
            <w:tcW w:w="929" w:type="dxa"/>
            <w:tcBorders>
              <w:bottom w:val="single" w:sz="4" w:space="0" w:color="auto"/>
            </w:tcBorders>
            <w:shd w:val="clear" w:color="auto" w:fill="F2F2F2" w:themeFill="background1" w:themeFillShade="F2"/>
            <w:tcMar>
              <w:left w:w="45" w:type="dxa"/>
              <w:right w:w="45" w:type="dxa"/>
            </w:tcMar>
          </w:tcPr>
          <w:p w14:paraId="001ABB3D" w14:textId="4F2CCFB8"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+61%</w:t>
            </w:r>
          </w:p>
        </w:tc>
        <w:tc>
          <w:tcPr>
            <w:tcW w:w="929" w:type="dxa"/>
            <w:tcBorders>
              <w:bottom w:val="single" w:sz="4" w:space="0" w:color="auto"/>
              <w:right w:val="single" w:sz="4" w:space="0" w:color="auto"/>
            </w:tcBorders>
            <w:shd w:val="clear" w:color="auto" w:fill="F2F2F2" w:themeFill="background1" w:themeFillShade="F2"/>
            <w:tcMar>
              <w:left w:w="45" w:type="dxa"/>
              <w:right w:w="45" w:type="dxa"/>
            </w:tcMar>
          </w:tcPr>
          <w:p w14:paraId="1C8DB7F4" w14:textId="0529AFB9"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lang w:eastAsia="en-IE"/>
              </w:rPr>
            </w:pPr>
            <w:r>
              <w:rPr>
                <w:rFonts w:asciiTheme="minorHAnsi" w:hAnsiTheme="minorHAnsi" w:cstheme="minorHAnsi"/>
                <w:lang w:eastAsia="en-IE"/>
              </w:rPr>
              <w:t>+55%</w:t>
            </w:r>
          </w:p>
        </w:tc>
      </w:tr>
      <w:tr w:rsidR="00F04B50" w:rsidRPr="00E4257A" w14:paraId="7A6343EB" w14:textId="77777777" w:rsidTr="00F91068">
        <w:trPr>
          <w:trHeight w:val="41"/>
        </w:trPr>
        <w:tc>
          <w:tcPr>
            <w:tcW w:w="2873" w:type="dxa"/>
            <w:tcBorders>
              <w:left w:val="single" w:sz="4" w:space="0" w:color="auto"/>
            </w:tcBorders>
            <w:tcMar>
              <w:left w:w="45" w:type="dxa"/>
              <w:right w:w="45" w:type="dxa"/>
            </w:tcMar>
          </w:tcPr>
          <w:p w14:paraId="558874B4" w14:textId="77777777" w:rsidR="00C77810" w:rsidRPr="002744B0" w:rsidRDefault="00C77810"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8"/>
                <w:szCs w:val="8"/>
                <w:lang w:eastAsia="en-IE"/>
              </w:rPr>
            </w:pPr>
          </w:p>
        </w:tc>
        <w:tc>
          <w:tcPr>
            <w:tcW w:w="823" w:type="dxa"/>
            <w:tcBorders>
              <w:top w:val="single" w:sz="4" w:space="0" w:color="auto"/>
            </w:tcBorders>
            <w:tcMar>
              <w:left w:w="45" w:type="dxa"/>
              <w:right w:w="45" w:type="dxa"/>
            </w:tcMar>
          </w:tcPr>
          <w:p w14:paraId="6EF1F19C" w14:textId="77777777" w:rsidR="00C77810" w:rsidRPr="002744B0" w:rsidRDefault="00C77810"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722" w:type="dxa"/>
            <w:tcBorders>
              <w:top w:val="single" w:sz="4" w:space="0" w:color="auto"/>
            </w:tcBorders>
            <w:tcMar>
              <w:left w:w="45" w:type="dxa"/>
              <w:right w:w="45" w:type="dxa"/>
            </w:tcMar>
          </w:tcPr>
          <w:p w14:paraId="52CECDCE" w14:textId="77777777" w:rsidR="00C77810" w:rsidRPr="002744B0" w:rsidRDefault="00C77810"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236" w:type="dxa"/>
            <w:tcBorders>
              <w:top w:val="single" w:sz="4" w:space="0" w:color="auto"/>
              <w:right w:val="single" w:sz="4" w:space="0" w:color="auto"/>
            </w:tcBorders>
            <w:shd w:val="clear" w:color="auto" w:fill="auto"/>
          </w:tcPr>
          <w:p w14:paraId="62BA3379" w14:textId="77777777" w:rsidR="00C77810" w:rsidRPr="002744B0" w:rsidRDefault="00C77810"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649" w:type="dxa"/>
            <w:tcBorders>
              <w:top w:val="single" w:sz="4" w:space="0" w:color="auto"/>
              <w:left w:val="single" w:sz="4" w:space="0" w:color="auto"/>
            </w:tcBorders>
            <w:shd w:val="clear" w:color="auto" w:fill="F2F2F2" w:themeFill="background1" w:themeFillShade="F2"/>
            <w:tcMar>
              <w:left w:w="45" w:type="dxa"/>
              <w:right w:w="45" w:type="dxa"/>
            </w:tcMar>
          </w:tcPr>
          <w:p w14:paraId="1C55886B" w14:textId="77777777" w:rsidR="00C77810" w:rsidRPr="002744B0" w:rsidRDefault="00C77810"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588" w:type="dxa"/>
            <w:tcBorders>
              <w:top w:val="single" w:sz="4" w:space="0" w:color="auto"/>
            </w:tcBorders>
            <w:shd w:val="clear" w:color="auto" w:fill="F2F2F2" w:themeFill="background1" w:themeFillShade="F2"/>
            <w:tcMar>
              <w:left w:w="45" w:type="dxa"/>
              <w:right w:w="45" w:type="dxa"/>
            </w:tcMar>
          </w:tcPr>
          <w:p w14:paraId="185F3416" w14:textId="77777777" w:rsidR="00C77810" w:rsidRPr="002744B0" w:rsidRDefault="00C77810"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929" w:type="dxa"/>
            <w:tcBorders>
              <w:top w:val="single" w:sz="4" w:space="0" w:color="auto"/>
            </w:tcBorders>
            <w:shd w:val="clear" w:color="auto" w:fill="F2F2F2" w:themeFill="background1" w:themeFillShade="F2"/>
            <w:tcMar>
              <w:left w:w="45" w:type="dxa"/>
              <w:right w:w="45" w:type="dxa"/>
            </w:tcMar>
          </w:tcPr>
          <w:p w14:paraId="175DE0D9" w14:textId="77777777" w:rsidR="00C77810" w:rsidRPr="002744B0" w:rsidRDefault="00C77810"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c>
          <w:tcPr>
            <w:tcW w:w="929" w:type="dxa"/>
            <w:tcBorders>
              <w:top w:val="single" w:sz="4" w:space="0" w:color="auto"/>
              <w:right w:val="single" w:sz="4" w:space="0" w:color="auto"/>
            </w:tcBorders>
            <w:shd w:val="clear" w:color="auto" w:fill="F2F2F2" w:themeFill="background1" w:themeFillShade="F2"/>
            <w:tcMar>
              <w:left w:w="45" w:type="dxa"/>
              <w:right w:w="45" w:type="dxa"/>
            </w:tcMar>
          </w:tcPr>
          <w:p w14:paraId="0787A8CC" w14:textId="77777777" w:rsidR="00C77810" w:rsidRPr="002744B0" w:rsidRDefault="00C77810"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sz w:val="8"/>
                <w:szCs w:val="8"/>
                <w:lang w:eastAsia="en-IE"/>
              </w:rPr>
            </w:pPr>
          </w:p>
        </w:tc>
      </w:tr>
      <w:tr w:rsidR="00F04B50" w:rsidRPr="00E4257A" w14:paraId="050B7E86" w14:textId="77777777" w:rsidTr="00F91068">
        <w:trPr>
          <w:trHeight w:val="232"/>
        </w:trPr>
        <w:tc>
          <w:tcPr>
            <w:tcW w:w="2873" w:type="dxa"/>
            <w:tcBorders>
              <w:left w:val="single" w:sz="4" w:space="0" w:color="auto"/>
              <w:bottom w:val="single" w:sz="4" w:space="0" w:color="auto"/>
            </w:tcBorders>
            <w:tcMar>
              <w:left w:w="45" w:type="dxa"/>
              <w:right w:w="45" w:type="dxa"/>
            </w:tcMar>
          </w:tcPr>
          <w:p w14:paraId="617FD5AB" w14:textId="77777777"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lang w:eastAsia="en-IE"/>
              </w:rPr>
            </w:pPr>
            <w:r>
              <w:rPr>
                <w:rFonts w:asciiTheme="minorHAnsi" w:hAnsiTheme="minorHAnsi" w:cs="Times New Roman"/>
                <w:b/>
                <w:lang w:eastAsia="en-IE"/>
              </w:rPr>
              <w:t>Underlying</w:t>
            </w:r>
            <w:r w:rsidRPr="00236BD2">
              <w:rPr>
                <w:rFonts w:asciiTheme="minorHAnsi" w:hAnsiTheme="minorHAnsi" w:cs="Times New Roman"/>
                <w:vertAlign w:val="superscript"/>
                <w:lang w:eastAsia="en-IE"/>
              </w:rPr>
              <w:t>1</w:t>
            </w:r>
            <w:r>
              <w:rPr>
                <w:rFonts w:asciiTheme="minorHAnsi" w:hAnsiTheme="minorHAnsi" w:cs="Times New Roman"/>
                <w:b/>
                <w:lang w:eastAsia="en-IE"/>
              </w:rPr>
              <w:t xml:space="preserve"> operating loss</w:t>
            </w:r>
          </w:p>
        </w:tc>
        <w:tc>
          <w:tcPr>
            <w:tcW w:w="823" w:type="dxa"/>
            <w:tcBorders>
              <w:bottom w:val="single" w:sz="4" w:space="0" w:color="auto"/>
            </w:tcBorders>
            <w:tcMar>
              <w:left w:w="45" w:type="dxa"/>
              <w:right w:w="45" w:type="dxa"/>
            </w:tcMar>
          </w:tcPr>
          <w:p w14:paraId="0034F437" w14:textId="54C51A6A"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(60)</w:t>
            </w:r>
          </w:p>
        </w:tc>
        <w:tc>
          <w:tcPr>
            <w:tcW w:w="722" w:type="dxa"/>
            <w:tcBorders>
              <w:bottom w:val="single" w:sz="4" w:space="0" w:color="auto"/>
            </w:tcBorders>
            <w:tcMar>
              <w:left w:w="45" w:type="dxa"/>
              <w:right w:w="45" w:type="dxa"/>
            </w:tcMar>
          </w:tcPr>
          <w:p w14:paraId="0A899576" w14:textId="6FDE4E21"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sidRPr="003416FA">
              <w:rPr>
                <w:rFonts w:asciiTheme="minorHAnsi" w:hAnsiTheme="minorHAnsi" w:cstheme="minorHAnsi"/>
                <w:b/>
                <w:lang w:eastAsia="en-IE"/>
              </w:rPr>
              <w:t>(25)</w:t>
            </w:r>
          </w:p>
        </w:tc>
        <w:tc>
          <w:tcPr>
            <w:tcW w:w="236" w:type="dxa"/>
            <w:tcBorders>
              <w:bottom w:val="single" w:sz="4" w:space="0" w:color="auto"/>
              <w:right w:val="single" w:sz="4" w:space="0" w:color="auto"/>
            </w:tcBorders>
            <w:shd w:val="clear" w:color="auto" w:fill="auto"/>
          </w:tcPr>
          <w:p w14:paraId="5B377B2D" w14:textId="77777777"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p>
        </w:tc>
        <w:tc>
          <w:tcPr>
            <w:tcW w:w="649" w:type="dxa"/>
            <w:tcBorders>
              <w:left w:val="single" w:sz="4" w:space="0" w:color="auto"/>
              <w:bottom w:val="single" w:sz="4" w:space="0" w:color="auto"/>
            </w:tcBorders>
            <w:shd w:val="clear" w:color="auto" w:fill="F2F2F2" w:themeFill="background1" w:themeFillShade="F2"/>
            <w:tcMar>
              <w:left w:w="45" w:type="dxa"/>
              <w:right w:w="45" w:type="dxa"/>
            </w:tcMar>
          </w:tcPr>
          <w:p w14:paraId="7A7D551C" w14:textId="69DB68AE"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(60)</w:t>
            </w:r>
          </w:p>
        </w:tc>
        <w:tc>
          <w:tcPr>
            <w:tcW w:w="588" w:type="dxa"/>
            <w:tcBorders>
              <w:bottom w:val="single" w:sz="4" w:space="0" w:color="auto"/>
            </w:tcBorders>
            <w:shd w:val="clear" w:color="auto" w:fill="F2F2F2" w:themeFill="background1" w:themeFillShade="F2"/>
            <w:tcMar>
              <w:left w:w="45" w:type="dxa"/>
              <w:right w:w="45" w:type="dxa"/>
            </w:tcMar>
          </w:tcPr>
          <w:p w14:paraId="35371A0B" w14:textId="3CCBFCA0"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sidRPr="003416FA">
              <w:rPr>
                <w:rFonts w:asciiTheme="minorHAnsi" w:hAnsiTheme="minorHAnsi" w:cstheme="minorHAnsi"/>
                <w:b/>
                <w:lang w:eastAsia="en-IE"/>
              </w:rPr>
              <w:t>(27)</w:t>
            </w:r>
          </w:p>
        </w:tc>
        <w:tc>
          <w:tcPr>
            <w:tcW w:w="929" w:type="dxa"/>
            <w:tcBorders>
              <w:bottom w:val="single" w:sz="4" w:space="0" w:color="auto"/>
            </w:tcBorders>
            <w:shd w:val="clear" w:color="auto" w:fill="F2F2F2" w:themeFill="background1" w:themeFillShade="F2"/>
            <w:tcMar>
              <w:left w:w="45" w:type="dxa"/>
              <w:right w:w="45" w:type="dxa"/>
            </w:tcMar>
          </w:tcPr>
          <w:p w14:paraId="1DEEF00A" w14:textId="2B46F292"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n/a</w:t>
            </w:r>
          </w:p>
        </w:tc>
        <w:tc>
          <w:tcPr>
            <w:tcW w:w="929" w:type="dxa"/>
            <w:tcBorders>
              <w:bottom w:val="single" w:sz="4" w:space="0" w:color="auto"/>
              <w:right w:val="single" w:sz="4" w:space="0" w:color="auto"/>
            </w:tcBorders>
            <w:shd w:val="clear" w:color="auto" w:fill="F2F2F2" w:themeFill="background1" w:themeFillShade="F2"/>
            <w:tcMar>
              <w:left w:w="45" w:type="dxa"/>
              <w:right w:w="45" w:type="dxa"/>
            </w:tcMar>
          </w:tcPr>
          <w:p w14:paraId="727B7384" w14:textId="5BD4A4E0" w:rsidR="004B7E5E" w:rsidRPr="003416F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heme="minorHAnsi"/>
                <w:b/>
                <w:lang w:eastAsia="en-IE"/>
              </w:rPr>
            </w:pPr>
            <w:r>
              <w:rPr>
                <w:rFonts w:asciiTheme="minorHAnsi" w:hAnsiTheme="minorHAnsi" w:cstheme="minorHAnsi"/>
                <w:b/>
                <w:lang w:eastAsia="en-IE"/>
              </w:rPr>
              <w:t>n/a</w:t>
            </w:r>
          </w:p>
        </w:tc>
      </w:tr>
    </w:tbl>
    <w:p w14:paraId="31536555" w14:textId="7BC183D0" w:rsidR="004E5067" w:rsidRPr="0026633D" w:rsidRDefault="004E5067" w:rsidP="004E5067">
      <w:pPr>
        <w:spacing w:before="120" w:after="120"/>
        <w:jc w:val="both"/>
        <w:rPr>
          <w:rFonts w:asciiTheme="minorHAnsi" w:hAnsiTheme="minorHAnsi"/>
          <w:i/>
          <w:sz w:val="16"/>
          <w:szCs w:val="16"/>
        </w:rPr>
      </w:pPr>
      <w:r w:rsidRPr="0026633D">
        <w:rPr>
          <w:rFonts w:asciiTheme="minorHAnsi" w:hAnsiTheme="minorHAnsi"/>
          <w:i/>
          <w:sz w:val="16"/>
          <w:szCs w:val="16"/>
        </w:rPr>
        <w:t>Our US division is comprised of FanDuel, our US sportsbook and daily fantasy sports (DFS) businesses; TVG our leading horseracing TV and wagering network and our online casino brand</w:t>
      </w:r>
      <w:r w:rsidR="00F12DD9">
        <w:rPr>
          <w:rFonts w:asciiTheme="minorHAnsi" w:hAnsiTheme="minorHAnsi"/>
          <w:i/>
          <w:sz w:val="16"/>
          <w:szCs w:val="16"/>
        </w:rPr>
        <w:t>s</w:t>
      </w:r>
      <w:r w:rsidRPr="0026633D">
        <w:rPr>
          <w:rFonts w:asciiTheme="minorHAnsi" w:hAnsiTheme="minorHAnsi"/>
          <w:i/>
          <w:sz w:val="16"/>
          <w:szCs w:val="16"/>
        </w:rPr>
        <w:t xml:space="preserve"> in New Jersey.</w:t>
      </w:r>
    </w:p>
    <w:p w14:paraId="676343E5" w14:textId="3E0A24CF" w:rsidR="004E5067" w:rsidRPr="00E56186" w:rsidRDefault="00E469AA" w:rsidP="004E5067">
      <w:pPr>
        <w:spacing w:before="120" w:after="120"/>
        <w:jc w:val="both"/>
        <w:rPr>
          <w:rFonts w:asciiTheme="minorHAnsi" w:hAnsiTheme="minorHAnsi"/>
          <w:sz w:val="22"/>
          <w:szCs w:val="22"/>
        </w:rPr>
      </w:pPr>
      <w:r>
        <w:rPr>
          <w:rFonts w:asciiTheme="minorHAnsi" w:hAnsiTheme="minorHAnsi"/>
          <w:sz w:val="22"/>
          <w:szCs w:val="22"/>
        </w:rPr>
        <w:t xml:space="preserve">Our </w:t>
      </w:r>
      <w:r w:rsidR="004E5067" w:rsidRPr="00E56186">
        <w:rPr>
          <w:rFonts w:asciiTheme="minorHAnsi" w:hAnsiTheme="minorHAnsi"/>
          <w:sz w:val="22"/>
          <w:szCs w:val="22"/>
        </w:rPr>
        <w:t xml:space="preserve">merger with FanDuel </w:t>
      </w:r>
      <w:r w:rsidR="00D074AC">
        <w:rPr>
          <w:rFonts w:asciiTheme="minorHAnsi" w:hAnsiTheme="minorHAnsi"/>
          <w:sz w:val="22"/>
          <w:szCs w:val="22"/>
        </w:rPr>
        <w:t xml:space="preserve">and the </w:t>
      </w:r>
      <w:r w:rsidR="00F0390F">
        <w:rPr>
          <w:rFonts w:asciiTheme="minorHAnsi" w:hAnsiTheme="minorHAnsi"/>
          <w:sz w:val="22"/>
          <w:szCs w:val="22"/>
        </w:rPr>
        <w:t xml:space="preserve">regulation of sports betting has transformed the </w:t>
      </w:r>
      <w:r w:rsidR="00D074AC" w:rsidRPr="00E56186">
        <w:rPr>
          <w:rFonts w:ascii="Calibri" w:hAnsi="Calibri" w:cs="Calibri"/>
          <w:sz w:val="22"/>
          <w:szCs w:val="22"/>
        </w:rPr>
        <w:t>US</w:t>
      </w:r>
      <w:r w:rsidR="00F0390F">
        <w:rPr>
          <w:rFonts w:ascii="Calibri" w:hAnsi="Calibri" w:cs="Calibri"/>
          <w:sz w:val="22"/>
          <w:szCs w:val="22"/>
        </w:rPr>
        <w:t xml:space="preserve"> division</w:t>
      </w:r>
      <w:r w:rsidR="004E5067" w:rsidRPr="00E56186">
        <w:rPr>
          <w:rFonts w:asciiTheme="minorHAnsi" w:hAnsiTheme="minorHAnsi"/>
          <w:sz w:val="22"/>
          <w:szCs w:val="22"/>
        </w:rPr>
        <w:t xml:space="preserve">. </w:t>
      </w:r>
      <w:r w:rsidR="00D074AC">
        <w:rPr>
          <w:rFonts w:asciiTheme="minorHAnsi" w:hAnsiTheme="minorHAnsi"/>
          <w:sz w:val="22"/>
          <w:szCs w:val="22"/>
        </w:rPr>
        <w:t xml:space="preserve">2019 </w:t>
      </w:r>
      <w:r w:rsidR="004E5067" w:rsidRPr="00E56186">
        <w:rPr>
          <w:rFonts w:asciiTheme="minorHAnsi" w:hAnsiTheme="minorHAnsi"/>
          <w:sz w:val="22"/>
          <w:szCs w:val="22"/>
        </w:rPr>
        <w:t xml:space="preserve">saw us expand our online </w:t>
      </w:r>
      <w:r>
        <w:rPr>
          <w:rFonts w:asciiTheme="minorHAnsi" w:hAnsiTheme="minorHAnsi"/>
          <w:sz w:val="22"/>
          <w:szCs w:val="22"/>
        </w:rPr>
        <w:t xml:space="preserve">sportsbook </w:t>
      </w:r>
      <w:r w:rsidR="004E5067" w:rsidRPr="00E56186">
        <w:rPr>
          <w:rFonts w:asciiTheme="minorHAnsi" w:hAnsiTheme="minorHAnsi"/>
          <w:sz w:val="22"/>
          <w:szCs w:val="22"/>
        </w:rPr>
        <w:t xml:space="preserve">offering </w:t>
      </w:r>
      <w:r w:rsidR="00D074AC">
        <w:rPr>
          <w:rFonts w:asciiTheme="minorHAnsi" w:hAnsiTheme="minorHAnsi"/>
          <w:sz w:val="22"/>
          <w:szCs w:val="22"/>
        </w:rPr>
        <w:t>in</w:t>
      </w:r>
      <w:r w:rsidR="004E5067" w:rsidRPr="00E56186">
        <w:rPr>
          <w:rFonts w:asciiTheme="minorHAnsi" w:hAnsiTheme="minorHAnsi"/>
          <w:sz w:val="22"/>
          <w:szCs w:val="22"/>
        </w:rPr>
        <w:t>to 3 new states. The DFS database provided 42% of our sportsbook customers, while cross sell to casino</w:t>
      </w:r>
      <w:r w:rsidR="00291835">
        <w:rPr>
          <w:rFonts w:asciiTheme="minorHAnsi" w:hAnsiTheme="minorHAnsi"/>
          <w:sz w:val="22"/>
          <w:szCs w:val="22"/>
        </w:rPr>
        <w:t xml:space="preserve"> drove a 149% increase in</w:t>
      </w:r>
      <w:r w:rsidR="004E5067" w:rsidRPr="00E56186">
        <w:rPr>
          <w:rFonts w:asciiTheme="minorHAnsi" w:hAnsiTheme="minorHAnsi"/>
          <w:sz w:val="22"/>
          <w:szCs w:val="22"/>
        </w:rPr>
        <w:t xml:space="preserve"> gaming revenue. </w:t>
      </w:r>
      <w:r w:rsidR="00F0390F">
        <w:rPr>
          <w:rFonts w:asciiTheme="minorHAnsi" w:hAnsiTheme="minorHAnsi"/>
          <w:sz w:val="22"/>
          <w:szCs w:val="22"/>
        </w:rPr>
        <w:t>O</w:t>
      </w:r>
      <w:r w:rsidR="00D074AC">
        <w:rPr>
          <w:rFonts w:asciiTheme="minorHAnsi" w:hAnsiTheme="minorHAnsi"/>
          <w:sz w:val="22"/>
          <w:szCs w:val="22"/>
        </w:rPr>
        <w:t xml:space="preserve">ngoing investment </w:t>
      </w:r>
      <w:r w:rsidR="00F0390F">
        <w:rPr>
          <w:rFonts w:asciiTheme="minorHAnsi" w:hAnsiTheme="minorHAnsi"/>
          <w:sz w:val="22"/>
          <w:szCs w:val="22"/>
        </w:rPr>
        <w:t xml:space="preserve">in customer growth </w:t>
      </w:r>
      <w:r w:rsidR="00637E62">
        <w:rPr>
          <w:rFonts w:asciiTheme="minorHAnsi" w:hAnsiTheme="minorHAnsi"/>
          <w:sz w:val="22"/>
          <w:szCs w:val="22"/>
        </w:rPr>
        <w:t xml:space="preserve">(350,000 sportsbook customers by year-end) </w:t>
      </w:r>
      <w:r w:rsidR="00291835">
        <w:rPr>
          <w:rFonts w:asciiTheme="minorHAnsi" w:hAnsiTheme="minorHAnsi"/>
          <w:sz w:val="22"/>
          <w:szCs w:val="22"/>
        </w:rPr>
        <w:t xml:space="preserve">resulted </w:t>
      </w:r>
      <w:r w:rsidR="004E5067" w:rsidRPr="00E56186">
        <w:rPr>
          <w:rFonts w:asciiTheme="minorHAnsi" w:hAnsiTheme="minorHAnsi"/>
          <w:sz w:val="22"/>
          <w:szCs w:val="22"/>
        </w:rPr>
        <w:t>in an underlying EBITDA</w:t>
      </w:r>
      <w:r w:rsidR="003D5E9F" w:rsidRPr="00676F2F">
        <w:rPr>
          <w:rFonts w:asciiTheme="minorHAnsi" w:hAnsiTheme="minorHAnsi"/>
          <w:sz w:val="22"/>
          <w:szCs w:val="22"/>
          <w:vertAlign w:val="superscript"/>
        </w:rPr>
        <w:t>1,2</w:t>
      </w:r>
      <w:r w:rsidR="004E5067" w:rsidRPr="000C7A56">
        <w:rPr>
          <w:rFonts w:asciiTheme="minorHAnsi" w:hAnsiTheme="minorHAnsi"/>
          <w:sz w:val="22"/>
          <w:vertAlign w:val="superscript"/>
        </w:rPr>
        <w:t xml:space="preserve"> </w:t>
      </w:r>
      <w:r w:rsidR="004E5067" w:rsidRPr="00E56186">
        <w:rPr>
          <w:rFonts w:asciiTheme="minorHAnsi" w:hAnsiTheme="minorHAnsi"/>
          <w:sz w:val="22"/>
          <w:szCs w:val="22"/>
        </w:rPr>
        <w:t xml:space="preserve">loss of £40m. </w:t>
      </w:r>
    </w:p>
    <w:p w14:paraId="6630961C" w14:textId="3F76C769" w:rsidR="004E5067" w:rsidRPr="00E56186" w:rsidRDefault="004E5067" w:rsidP="004E5067">
      <w:pPr>
        <w:spacing w:before="120" w:after="120"/>
        <w:jc w:val="both"/>
        <w:rPr>
          <w:rFonts w:asciiTheme="minorHAnsi" w:hAnsiTheme="minorHAnsi"/>
          <w:sz w:val="22"/>
          <w:szCs w:val="22"/>
        </w:rPr>
      </w:pPr>
      <w:r w:rsidRPr="00E56186">
        <w:rPr>
          <w:rFonts w:asciiTheme="minorHAnsi" w:hAnsiTheme="minorHAnsi"/>
          <w:b/>
          <w:sz w:val="22"/>
          <w:szCs w:val="22"/>
        </w:rPr>
        <w:t xml:space="preserve">Sportsbook: </w:t>
      </w:r>
      <w:r w:rsidRPr="00E56186">
        <w:rPr>
          <w:rFonts w:asciiTheme="minorHAnsi" w:hAnsiTheme="minorHAnsi"/>
          <w:sz w:val="22"/>
          <w:szCs w:val="22"/>
        </w:rPr>
        <w:t>The FanDuel sportsbook generated more than £100m in sportsbook revenues during 2019</w:t>
      </w:r>
      <w:r w:rsidR="00637E62">
        <w:rPr>
          <w:rFonts w:asciiTheme="minorHAnsi" w:hAnsiTheme="minorHAnsi"/>
          <w:sz w:val="22"/>
          <w:szCs w:val="22"/>
        </w:rPr>
        <w:t xml:space="preserve"> compared with </w:t>
      </w:r>
      <w:r w:rsidRPr="00E56186">
        <w:rPr>
          <w:rFonts w:asciiTheme="minorHAnsi" w:hAnsiTheme="minorHAnsi"/>
          <w:sz w:val="22"/>
          <w:szCs w:val="22"/>
        </w:rPr>
        <w:t xml:space="preserve">£11m generated in 2018. This equated to a combined </w:t>
      </w:r>
      <w:r w:rsidR="00D074AC">
        <w:rPr>
          <w:rFonts w:asciiTheme="minorHAnsi" w:hAnsiTheme="minorHAnsi"/>
          <w:sz w:val="22"/>
          <w:szCs w:val="22"/>
        </w:rPr>
        <w:t xml:space="preserve">online </w:t>
      </w:r>
      <w:r w:rsidRPr="00E56186">
        <w:rPr>
          <w:rFonts w:asciiTheme="minorHAnsi" w:hAnsiTheme="minorHAnsi"/>
          <w:sz w:val="22"/>
          <w:szCs w:val="22"/>
        </w:rPr>
        <w:t xml:space="preserve">market share of </w:t>
      </w:r>
      <w:r w:rsidR="00D074AC">
        <w:rPr>
          <w:rFonts w:asciiTheme="minorHAnsi" w:hAnsiTheme="minorHAnsi"/>
          <w:sz w:val="22"/>
          <w:szCs w:val="22"/>
        </w:rPr>
        <w:t xml:space="preserve">44% in the </w:t>
      </w:r>
      <w:r w:rsidR="00637E62">
        <w:rPr>
          <w:rFonts w:asciiTheme="minorHAnsi" w:hAnsiTheme="minorHAnsi"/>
          <w:sz w:val="22"/>
          <w:szCs w:val="22"/>
        </w:rPr>
        <w:t xml:space="preserve">4 </w:t>
      </w:r>
      <w:r w:rsidR="00D074AC">
        <w:rPr>
          <w:rFonts w:asciiTheme="minorHAnsi" w:hAnsiTheme="minorHAnsi"/>
          <w:sz w:val="22"/>
          <w:szCs w:val="22"/>
        </w:rPr>
        <w:t>states in which FanDuel is live</w:t>
      </w:r>
      <w:r w:rsidR="00637E62">
        <w:rPr>
          <w:rFonts w:asciiTheme="minorHAnsi" w:hAnsiTheme="minorHAnsi"/>
          <w:sz w:val="22"/>
          <w:szCs w:val="22"/>
        </w:rPr>
        <w:t>.</w:t>
      </w:r>
      <w:r w:rsidR="00D074AC">
        <w:rPr>
          <w:rFonts w:asciiTheme="minorHAnsi" w:hAnsiTheme="minorHAnsi"/>
          <w:sz w:val="22"/>
          <w:szCs w:val="22"/>
        </w:rPr>
        <w:t xml:space="preserve"> By December 2019, FanDuel had become </w:t>
      </w:r>
      <w:r w:rsidRPr="00E56186">
        <w:rPr>
          <w:rFonts w:asciiTheme="minorHAnsi" w:hAnsiTheme="minorHAnsi"/>
          <w:sz w:val="22"/>
          <w:szCs w:val="22"/>
        </w:rPr>
        <w:t xml:space="preserve">the largest </w:t>
      </w:r>
      <w:r w:rsidR="00D074AC">
        <w:rPr>
          <w:rFonts w:asciiTheme="minorHAnsi" w:hAnsiTheme="minorHAnsi"/>
          <w:sz w:val="22"/>
          <w:szCs w:val="22"/>
        </w:rPr>
        <w:t xml:space="preserve">national </w:t>
      </w:r>
      <w:r w:rsidRPr="00E56186">
        <w:rPr>
          <w:rFonts w:asciiTheme="minorHAnsi" w:hAnsiTheme="minorHAnsi"/>
          <w:sz w:val="22"/>
          <w:szCs w:val="22"/>
        </w:rPr>
        <w:t xml:space="preserve">sportsbook in the US. Net revenue margin increased by 180 bps reflecting the benefits of a more geographically diverse customer </w:t>
      </w:r>
      <w:r w:rsidR="00B64D8C">
        <w:rPr>
          <w:rFonts w:asciiTheme="minorHAnsi" w:hAnsiTheme="minorHAnsi"/>
          <w:sz w:val="22"/>
          <w:szCs w:val="22"/>
        </w:rPr>
        <w:t>base and improvements in risk and trading operations</w:t>
      </w:r>
      <w:r w:rsidRPr="00E56186">
        <w:rPr>
          <w:rFonts w:asciiTheme="minorHAnsi" w:hAnsiTheme="minorHAnsi"/>
          <w:sz w:val="22"/>
          <w:szCs w:val="22"/>
        </w:rPr>
        <w:t xml:space="preserve">. </w:t>
      </w:r>
    </w:p>
    <w:p w14:paraId="70FB9BEB" w14:textId="01931F7A" w:rsidR="004E5067" w:rsidRPr="00E56186" w:rsidRDefault="004E5067" w:rsidP="004E5067">
      <w:pPr>
        <w:spacing w:before="120" w:after="120"/>
        <w:jc w:val="both"/>
        <w:rPr>
          <w:rFonts w:asciiTheme="minorHAnsi" w:hAnsiTheme="minorHAnsi"/>
          <w:sz w:val="22"/>
          <w:szCs w:val="22"/>
        </w:rPr>
      </w:pPr>
      <w:r w:rsidRPr="00E56186">
        <w:rPr>
          <w:rFonts w:asciiTheme="minorHAnsi" w:hAnsiTheme="minorHAnsi"/>
          <w:b/>
          <w:sz w:val="22"/>
          <w:szCs w:val="22"/>
        </w:rPr>
        <w:t xml:space="preserve">Casino: </w:t>
      </w:r>
      <w:r w:rsidRPr="00E56186">
        <w:rPr>
          <w:rFonts w:asciiTheme="minorHAnsi" w:hAnsiTheme="minorHAnsi"/>
          <w:sz w:val="22"/>
          <w:szCs w:val="22"/>
        </w:rPr>
        <w:t xml:space="preserve">Our online casino materially benefited from sports betting cross-sell. </w:t>
      </w:r>
      <w:r w:rsidR="00B64D8C">
        <w:rPr>
          <w:rFonts w:asciiTheme="minorHAnsi" w:hAnsiTheme="minorHAnsi"/>
          <w:sz w:val="22"/>
          <w:szCs w:val="22"/>
        </w:rPr>
        <w:t>Growth accelerated</w:t>
      </w:r>
      <w:r w:rsidRPr="00E56186">
        <w:rPr>
          <w:rFonts w:asciiTheme="minorHAnsi" w:hAnsiTheme="minorHAnsi"/>
          <w:sz w:val="22"/>
          <w:szCs w:val="22"/>
        </w:rPr>
        <w:t xml:space="preserve"> </w:t>
      </w:r>
      <w:r w:rsidR="000817FB">
        <w:rPr>
          <w:rFonts w:asciiTheme="minorHAnsi" w:hAnsiTheme="minorHAnsi"/>
          <w:sz w:val="22"/>
          <w:szCs w:val="22"/>
        </w:rPr>
        <w:t>once</w:t>
      </w:r>
      <w:r w:rsidR="000817FB" w:rsidRPr="00E56186">
        <w:rPr>
          <w:rFonts w:asciiTheme="minorHAnsi" w:hAnsiTheme="minorHAnsi"/>
          <w:sz w:val="22"/>
          <w:szCs w:val="22"/>
        </w:rPr>
        <w:t xml:space="preserve"> </w:t>
      </w:r>
      <w:r w:rsidRPr="00E56186">
        <w:rPr>
          <w:rFonts w:asciiTheme="minorHAnsi" w:hAnsiTheme="minorHAnsi"/>
          <w:sz w:val="22"/>
          <w:szCs w:val="22"/>
        </w:rPr>
        <w:t xml:space="preserve">we embedded casino content in the sports betting app </w:t>
      </w:r>
      <w:r w:rsidR="00D074AC">
        <w:rPr>
          <w:rFonts w:asciiTheme="minorHAnsi" w:hAnsiTheme="minorHAnsi"/>
          <w:sz w:val="22"/>
          <w:szCs w:val="22"/>
        </w:rPr>
        <w:t xml:space="preserve">in </w:t>
      </w:r>
      <w:r w:rsidR="00AA7AF0">
        <w:rPr>
          <w:rFonts w:asciiTheme="minorHAnsi" w:hAnsiTheme="minorHAnsi"/>
          <w:sz w:val="22"/>
          <w:szCs w:val="22"/>
        </w:rPr>
        <w:t>July</w:t>
      </w:r>
      <w:r w:rsidR="00AA7AF0" w:rsidRPr="00E56186">
        <w:rPr>
          <w:rFonts w:asciiTheme="minorHAnsi" w:hAnsiTheme="minorHAnsi"/>
          <w:sz w:val="22"/>
          <w:szCs w:val="22"/>
        </w:rPr>
        <w:t xml:space="preserve"> </w:t>
      </w:r>
      <w:r w:rsidRPr="00E56186">
        <w:rPr>
          <w:rFonts w:asciiTheme="minorHAnsi" w:hAnsiTheme="minorHAnsi"/>
          <w:sz w:val="22"/>
          <w:szCs w:val="22"/>
        </w:rPr>
        <w:t xml:space="preserve">and </w:t>
      </w:r>
      <w:r w:rsidR="000817FB">
        <w:rPr>
          <w:rFonts w:asciiTheme="minorHAnsi" w:hAnsiTheme="minorHAnsi"/>
          <w:sz w:val="22"/>
          <w:szCs w:val="22"/>
        </w:rPr>
        <w:t xml:space="preserve">by </w:t>
      </w:r>
      <w:r w:rsidRPr="00E56186">
        <w:rPr>
          <w:rFonts w:asciiTheme="minorHAnsi" w:hAnsiTheme="minorHAnsi"/>
          <w:sz w:val="22"/>
          <w:szCs w:val="22"/>
        </w:rPr>
        <w:t>December</w:t>
      </w:r>
      <w:r w:rsidR="000817FB">
        <w:rPr>
          <w:rFonts w:asciiTheme="minorHAnsi" w:hAnsiTheme="minorHAnsi"/>
          <w:sz w:val="22"/>
          <w:szCs w:val="22"/>
        </w:rPr>
        <w:t>,</w:t>
      </w:r>
      <w:r w:rsidRPr="00E56186">
        <w:rPr>
          <w:rFonts w:asciiTheme="minorHAnsi" w:hAnsiTheme="minorHAnsi"/>
          <w:sz w:val="22"/>
          <w:szCs w:val="22"/>
        </w:rPr>
        <w:t xml:space="preserve"> 54% of casino revenues </w:t>
      </w:r>
      <w:r w:rsidR="000817FB">
        <w:rPr>
          <w:rFonts w:asciiTheme="minorHAnsi" w:hAnsiTheme="minorHAnsi"/>
          <w:sz w:val="22"/>
          <w:szCs w:val="22"/>
        </w:rPr>
        <w:t>were coming</w:t>
      </w:r>
      <w:r w:rsidR="000817FB" w:rsidRPr="00E56186">
        <w:rPr>
          <w:rFonts w:asciiTheme="minorHAnsi" w:hAnsiTheme="minorHAnsi"/>
          <w:sz w:val="22"/>
          <w:szCs w:val="22"/>
        </w:rPr>
        <w:t xml:space="preserve"> </w:t>
      </w:r>
      <w:r w:rsidRPr="00E56186">
        <w:rPr>
          <w:rFonts w:asciiTheme="minorHAnsi" w:hAnsiTheme="minorHAnsi"/>
          <w:sz w:val="22"/>
          <w:szCs w:val="22"/>
        </w:rPr>
        <w:t xml:space="preserve">from sportsbook customers. This resulted in Q4 gaming revenues </w:t>
      </w:r>
      <w:r w:rsidR="00B17B33" w:rsidRPr="00E56186">
        <w:rPr>
          <w:rFonts w:asciiTheme="minorHAnsi" w:hAnsiTheme="minorHAnsi"/>
          <w:sz w:val="22"/>
          <w:szCs w:val="22"/>
        </w:rPr>
        <w:t>t</w:t>
      </w:r>
      <w:r w:rsidR="00B17B33">
        <w:rPr>
          <w:rFonts w:asciiTheme="minorHAnsi" w:hAnsiTheme="minorHAnsi"/>
          <w:sz w:val="22"/>
          <w:szCs w:val="22"/>
        </w:rPr>
        <w:t>reb</w:t>
      </w:r>
      <w:r w:rsidR="00B17B33" w:rsidRPr="00E56186">
        <w:rPr>
          <w:rFonts w:asciiTheme="minorHAnsi" w:hAnsiTheme="minorHAnsi"/>
          <w:sz w:val="22"/>
          <w:szCs w:val="22"/>
        </w:rPr>
        <w:t xml:space="preserve">ling </w:t>
      </w:r>
      <w:r w:rsidRPr="00E56186">
        <w:rPr>
          <w:rFonts w:asciiTheme="minorHAnsi" w:hAnsiTheme="minorHAnsi"/>
          <w:sz w:val="22"/>
          <w:szCs w:val="22"/>
        </w:rPr>
        <w:t>year on year</w:t>
      </w:r>
      <w:r w:rsidR="003A0725">
        <w:rPr>
          <w:rFonts w:asciiTheme="minorHAnsi" w:hAnsiTheme="minorHAnsi"/>
          <w:sz w:val="22"/>
          <w:szCs w:val="22"/>
        </w:rPr>
        <w:t xml:space="preserve">, equating to a </w:t>
      </w:r>
      <w:r w:rsidRPr="00E56186">
        <w:rPr>
          <w:rFonts w:asciiTheme="minorHAnsi" w:hAnsiTheme="minorHAnsi"/>
          <w:sz w:val="22"/>
          <w:szCs w:val="22"/>
        </w:rPr>
        <w:t>19% share of the New Jersey casino market</w:t>
      </w:r>
      <w:r w:rsidR="003A0725">
        <w:rPr>
          <w:rFonts w:asciiTheme="minorHAnsi" w:hAnsiTheme="minorHAnsi"/>
          <w:sz w:val="22"/>
          <w:szCs w:val="22"/>
        </w:rPr>
        <w:t xml:space="preserve"> in Q4. This was </w:t>
      </w:r>
      <w:r w:rsidRPr="00E56186">
        <w:rPr>
          <w:rFonts w:asciiTheme="minorHAnsi" w:hAnsiTheme="minorHAnsi"/>
          <w:sz w:val="22"/>
          <w:szCs w:val="22"/>
        </w:rPr>
        <w:t>7</w:t>
      </w:r>
      <w:r w:rsidR="00FA7E78">
        <w:rPr>
          <w:rFonts w:asciiTheme="minorHAnsi" w:hAnsiTheme="minorHAnsi"/>
          <w:sz w:val="22"/>
          <w:szCs w:val="22"/>
        </w:rPr>
        <w:t>%</w:t>
      </w:r>
      <w:r w:rsidRPr="00E56186">
        <w:rPr>
          <w:rFonts w:asciiTheme="minorHAnsi" w:hAnsiTheme="minorHAnsi"/>
          <w:sz w:val="22"/>
          <w:szCs w:val="22"/>
        </w:rPr>
        <w:t xml:space="preserve"> </w:t>
      </w:r>
      <w:r w:rsidR="003A0725">
        <w:rPr>
          <w:rFonts w:asciiTheme="minorHAnsi" w:hAnsiTheme="minorHAnsi"/>
          <w:sz w:val="22"/>
          <w:szCs w:val="22"/>
        </w:rPr>
        <w:t xml:space="preserve">higher than </w:t>
      </w:r>
      <w:r w:rsidRPr="00E56186">
        <w:rPr>
          <w:rFonts w:asciiTheme="minorHAnsi" w:hAnsiTheme="minorHAnsi"/>
          <w:sz w:val="22"/>
          <w:szCs w:val="22"/>
        </w:rPr>
        <w:t>the comparable period</w:t>
      </w:r>
      <w:r w:rsidR="003A0725">
        <w:rPr>
          <w:rFonts w:asciiTheme="minorHAnsi" w:hAnsiTheme="minorHAnsi"/>
          <w:sz w:val="22"/>
          <w:szCs w:val="22"/>
        </w:rPr>
        <w:t xml:space="preserve"> in 2018</w:t>
      </w:r>
      <w:r w:rsidRPr="00E56186">
        <w:rPr>
          <w:rFonts w:asciiTheme="minorHAnsi" w:hAnsiTheme="minorHAnsi"/>
          <w:sz w:val="22"/>
          <w:szCs w:val="22"/>
        </w:rPr>
        <w:t xml:space="preserve">. </w:t>
      </w:r>
    </w:p>
    <w:p w14:paraId="6DB9C474" w14:textId="0A9A2435" w:rsidR="00365D5F" w:rsidRPr="00E56186" w:rsidRDefault="004E5067" w:rsidP="004E5067">
      <w:pPr>
        <w:spacing w:before="120" w:after="120"/>
        <w:jc w:val="both"/>
        <w:rPr>
          <w:rFonts w:asciiTheme="minorHAnsi" w:hAnsiTheme="minorHAnsi"/>
          <w:sz w:val="22"/>
          <w:szCs w:val="22"/>
        </w:rPr>
      </w:pPr>
      <w:r w:rsidRPr="00E56186">
        <w:rPr>
          <w:rFonts w:asciiTheme="minorHAnsi" w:hAnsiTheme="minorHAnsi"/>
          <w:b/>
          <w:sz w:val="22"/>
          <w:szCs w:val="22"/>
        </w:rPr>
        <w:t xml:space="preserve">TVG/DFS: </w:t>
      </w:r>
      <w:r w:rsidR="003A0725">
        <w:rPr>
          <w:rFonts w:asciiTheme="minorHAnsi" w:hAnsiTheme="minorHAnsi"/>
          <w:sz w:val="22"/>
          <w:szCs w:val="22"/>
        </w:rPr>
        <w:t xml:space="preserve">Our </w:t>
      </w:r>
      <w:r w:rsidRPr="00E56186">
        <w:rPr>
          <w:rFonts w:asciiTheme="minorHAnsi" w:hAnsiTheme="minorHAnsi"/>
          <w:sz w:val="22"/>
          <w:szCs w:val="22"/>
        </w:rPr>
        <w:t>established sports businesses of daily fantasy sports and TVG grew proforma</w:t>
      </w:r>
      <w:r w:rsidR="00EA3DBF" w:rsidRPr="005947DC">
        <w:rPr>
          <w:rFonts w:asciiTheme="minorHAnsi" w:hAnsiTheme="minorHAnsi"/>
          <w:sz w:val="22"/>
          <w:szCs w:val="22"/>
          <w:vertAlign w:val="superscript"/>
        </w:rPr>
        <w:t>4</w:t>
      </w:r>
      <w:r w:rsidRPr="00E56186">
        <w:rPr>
          <w:rFonts w:asciiTheme="minorHAnsi" w:hAnsiTheme="minorHAnsi"/>
          <w:sz w:val="22"/>
          <w:szCs w:val="22"/>
        </w:rPr>
        <w:t xml:space="preserve"> revenue </w:t>
      </w:r>
      <w:r w:rsidR="003A0725">
        <w:rPr>
          <w:rFonts w:asciiTheme="minorHAnsi" w:hAnsiTheme="minorHAnsi"/>
          <w:sz w:val="22"/>
          <w:szCs w:val="22"/>
        </w:rPr>
        <w:t xml:space="preserve">by </w:t>
      </w:r>
      <w:r w:rsidRPr="00E56186">
        <w:rPr>
          <w:rFonts w:asciiTheme="minorHAnsi" w:hAnsiTheme="minorHAnsi"/>
          <w:sz w:val="22"/>
          <w:szCs w:val="22"/>
        </w:rPr>
        <w:t xml:space="preserve">4%. On a combined basis, these businesses </w:t>
      </w:r>
      <w:r w:rsidR="00291835">
        <w:rPr>
          <w:rFonts w:asciiTheme="minorHAnsi" w:hAnsiTheme="minorHAnsi"/>
          <w:sz w:val="22"/>
          <w:szCs w:val="22"/>
        </w:rPr>
        <w:t>delivered</w:t>
      </w:r>
      <w:r w:rsidR="00291835" w:rsidRPr="00E56186">
        <w:rPr>
          <w:rFonts w:asciiTheme="minorHAnsi" w:hAnsiTheme="minorHAnsi"/>
          <w:sz w:val="22"/>
          <w:szCs w:val="22"/>
        </w:rPr>
        <w:t xml:space="preserve"> </w:t>
      </w:r>
      <w:r w:rsidR="00BF74EB" w:rsidRPr="00E56186">
        <w:rPr>
          <w:rFonts w:asciiTheme="minorHAnsi" w:hAnsiTheme="minorHAnsi"/>
          <w:sz w:val="22"/>
          <w:szCs w:val="22"/>
        </w:rPr>
        <w:t xml:space="preserve">double digit </w:t>
      </w:r>
      <w:r w:rsidRPr="00E56186">
        <w:rPr>
          <w:rFonts w:asciiTheme="minorHAnsi" w:hAnsiTheme="minorHAnsi"/>
          <w:sz w:val="22"/>
          <w:szCs w:val="22"/>
        </w:rPr>
        <w:t xml:space="preserve">contribution growth, providing significant </w:t>
      </w:r>
      <w:r w:rsidR="00B64D8C">
        <w:rPr>
          <w:rFonts w:asciiTheme="minorHAnsi" w:hAnsiTheme="minorHAnsi"/>
          <w:sz w:val="22"/>
          <w:szCs w:val="22"/>
        </w:rPr>
        <w:t>resources</w:t>
      </w:r>
      <w:r w:rsidR="00B64D8C" w:rsidRPr="00E56186">
        <w:rPr>
          <w:rFonts w:asciiTheme="minorHAnsi" w:hAnsiTheme="minorHAnsi"/>
          <w:sz w:val="22"/>
          <w:szCs w:val="22"/>
        </w:rPr>
        <w:t xml:space="preserve"> </w:t>
      </w:r>
      <w:r w:rsidRPr="00E56186">
        <w:rPr>
          <w:rFonts w:asciiTheme="minorHAnsi" w:hAnsiTheme="minorHAnsi"/>
          <w:sz w:val="22"/>
          <w:szCs w:val="22"/>
        </w:rPr>
        <w:t>for investment in sportsbook customer acquisition.</w:t>
      </w:r>
    </w:p>
    <w:p w14:paraId="373824BB" w14:textId="55BBBEE3" w:rsidR="004B7E5E" w:rsidRDefault="00AA7AF0" w:rsidP="00AA7AF0">
      <w:pPr>
        <w:spacing w:before="120" w:after="120"/>
        <w:jc w:val="both"/>
        <w:rPr>
          <w:rFonts w:asciiTheme="minorHAnsi" w:hAnsiTheme="minorHAnsi"/>
          <w:sz w:val="22"/>
          <w:szCs w:val="22"/>
        </w:rPr>
      </w:pPr>
      <w:r w:rsidRPr="00E56186">
        <w:rPr>
          <w:rFonts w:asciiTheme="minorHAnsi" w:hAnsiTheme="minorHAnsi"/>
          <w:sz w:val="22"/>
          <w:szCs w:val="22"/>
        </w:rPr>
        <w:t>The proforma</w:t>
      </w:r>
      <w:r w:rsidR="009F3EFB" w:rsidRPr="005947DC">
        <w:rPr>
          <w:rFonts w:asciiTheme="minorHAnsi" w:hAnsiTheme="minorHAnsi"/>
          <w:sz w:val="22"/>
          <w:szCs w:val="22"/>
          <w:vertAlign w:val="superscript"/>
        </w:rPr>
        <w:t>4</w:t>
      </w:r>
      <w:r w:rsidR="009F3EFB">
        <w:rPr>
          <w:rFonts w:asciiTheme="minorHAnsi" w:hAnsiTheme="minorHAnsi"/>
          <w:sz w:val="22"/>
          <w:szCs w:val="22"/>
        </w:rPr>
        <w:t>, constant currency</w:t>
      </w:r>
      <w:r w:rsidR="009F3EFB">
        <w:rPr>
          <w:rFonts w:asciiTheme="minorHAnsi" w:hAnsiTheme="minorHAnsi"/>
          <w:sz w:val="22"/>
          <w:szCs w:val="22"/>
          <w:vertAlign w:val="superscript"/>
        </w:rPr>
        <w:t xml:space="preserve">3 </w:t>
      </w:r>
      <w:r w:rsidRPr="00E56186">
        <w:rPr>
          <w:rFonts w:asciiTheme="minorHAnsi" w:hAnsiTheme="minorHAnsi"/>
          <w:sz w:val="22"/>
          <w:szCs w:val="22"/>
        </w:rPr>
        <w:t xml:space="preserve">sales and marketing cost increase of 47% represents </w:t>
      </w:r>
      <w:r w:rsidR="00EC584B">
        <w:rPr>
          <w:rFonts w:asciiTheme="minorHAnsi" w:hAnsiTheme="minorHAnsi"/>
          <w:sz w:val="22"/>
          <w:szCs w:val="22"/>
        </w:rPr>
        <w:t xml:space="preserve">our </w:t>
      </w:r>
      <w:r w:rsidRPr="00E56186">
        <w:rPr>
          <w:rFonts w:asciiTheme="minorHAnsi" w:hAnsiTheme="minorHAnsi"/>
          <w:sz w:val="22"/>
          <w:szCs w:val="22"/>
        </w:rPr>
        <w:t>investment in sportsbook customer acquisition</w:t>
      </w:r>
      <w:r w:rsidR="000817FB">
        <w:rPr>
          <w:rFonts w:asciiTheme="minorHAnsi" w:hAnsiTheme="minorHAnsi"/>
          <w:sz w:val="22"/>
          <w:szCs w:val="22"/>
        </w:rPr>
        <w:t>,</w:t>
      </w:r>
      <w:r w:rsidRPr="00E56186">
        <w:rPr>
          <w:rFonts w:asciiTheme="minorHAnsi" w:hAnsiTheme="minorHAnsi"/>
          <w:sz w:val="22"/>
          <w:szCs w:val="22"/>
        </w:rPr>
        <w:t xml:space="preserve"> </w:t>
      </w:r>
      <w:r w:rsidR="00EC584B">
        <w:rPr>
          <w:rFonts w:asciiTheme="minorHAnsi" w:hAnsiTheme="minorHAnsi"/>
          <w:sz w:val="22"/>
          <w:szCs w:val="22"/>
        </w:rPr>
        <w:t xml:space="preserve">supplementing our </w:t>
      </w:r>
      <w:r w:rsidRPr="00E56186">
        <w:rPr>
          <w:rFonts w:asciiTheme="minorHAnsi" w:hAnsiTheme="minorHAnsi"/>
          <w:sz w:val="22"/>
          <w:szCs w:val="22"/>
        </w:rPr>
        <w:t>existing spend on established product</w:t>
      </w:r>
      <w:r w:rsidR="00EC584B">
        <w:rPr>
          <w:rFonts w:asciiTheme="minorHAnsi" w:hAnsiTheme="minorHAnsi"/>
          <w:sz w:val="22"/>
          <w:szCs w:val="22"/>
        </w:rPr>
        <w:t>s</w:t>
      </w:r>
      <w:r w:rsidRPr="00E56186">
        <w:rPr>
          <w:rFonts w:asciiTheme="minorHAnsi" w:hAnsiTheme="minorHAnsi"/>
          <w:sz w:val="22"/>
          <w:szCs w:val="22"/>
        </w:rPr>
        <w:t xml:space="preserve"> includ</w:t>
      </w:r>
      <w:r>
        <w:rPr>
          <w:rFonts w:asciiTheme="minorHAnsi" w:hAnsiTheme="minorHAnsi"/>
          <w:sz w:val="22"/>
          <w:szCs w:val="22"/>
        </w:rPr>
        <w:t>ing</w:t>
      </w:r>
      <w:r w:rsidRPr="00E56186">
        <w:rPr>
          <w:rFonts w:asciiTheme="minorHAnsi" w:hAnsiTheme="minorHAnsi"/>
          <w:sz w:val="22"/>
          <w:szCs w:val="22"/>
        </w:rPr>
        <w:t xml:space="preserve"> daily fantasy sports. </w:t>
      </w:r>
      <w:r>
        <w:rPr>
          <w:rFonts w:asciiTheme="minorHAnsi" w:hAnsiTheme="minorHAnsi"/>
          <w:sz w:val="22"/>
          <w:szCs w:val="22"/>
        </w:rPr>
        <w:t>In tandem with driving daily fantasy sports revenues, t</w:t>
      </w:r>
      <w:r w:rsidRPr="00E56186">
        <w:rPr>
          <w:rFonts w:asciiTheme="minorHAnsi" w:hAnsiTheme="minorHAnsi"/>
          <w:sz w:val="22"/>
          <w:szCs w:val="22"/>
        </w:rPr>
        <w:t xml:space="preserve">his spend allows us </w:t>
      </w:r>
      <w:r w:rsidR="006E28FD" w:rsidRPr="00E56186">
        <w:rPr>
          <w:rFonts w:asciiTheme="minorHAnsi" w:hAnsiTheme="minorHAnsi"/>
          <w:sz w:val="22"/>
          <w:szCs w:val="22"/>
        </w:rPr>
        <w:t>to acquire</w:t>
      </w:r>
      <w:r w:rsidRPr="00E56186">
        <w:rPr>
          <w:rFonts w:asciiTheme="minorHAnsi" w:hAnsiTheme="minorHAnsi"/>
          <w:sz w:val="22"/>
          <w:szCs w:val="22"/>
        </w:rPr>
        <w:t xml:space="preserve"> potential future sports betting customers prior to a state regulating sports betting. </w:t>
      </w:r>
      <w:r w:rsidR="004B7E5E">
        <w:rPr>
          <w:rFonts w:asciiTheme="minorHAnsi" w:hAnsiTheme="minorHAnsi"/>
          <w:sz w:val="22"/>
          <w:szCs w:val="22"/>
        </w:rPr>
        <w:t>On a proforma</w:t>
      </w:r>
      <w:r w:rsidR="006726AD" w:rsidRPr="005947DC">
        <w:rPr>
          <w:rFonts w:asciiTheme="minorHAnsi" w:hAnsiTheme="minorHAnsi"/>
          <w:sz w:val="22"/>
          <w:szCs w:val="22"/>
          <w:vertAlign w:val="superscript"/>
        </w:rPr>
        <w:t>4</w:t>
      </w:r>
      <w:r w:rsidR="004B7E5E">
        <w:rPr>
          <w:rFonts w:asciiTheme="minorHAnsi" w:hAnsiTheme="minorHAnsi"/>
          <w:sz w:val="22"/>
          <w:szCs w:val="22"/>
        </w:rPr>
        <w:t xml:space="preserve"> basis, contribution increased from £91m in 2018 to £11</w:t>
      </w:r>
      <w:r w:rsidR="00695E69">
        <w:rPr>
          <w:rFonts w:asciiTheme="minorHAnsi" w:hAnsiTheme="minorHAnsi"/>
          <w:sz w:val="22"/>
          <w:szCs w:val="22"/>
        </w:rPr>
        <w:t>5</w:t>
      </w:r>
      <w:r w:rsidR="004B7E5E">
        <w:rPr>
          <w:rFonts w:asciiTheme="minorHAnsi" w:hAnsiTheme="minorHAnsi"/>
          <w:sz w:val="22"/>
          <w:szCs w:val="22"/>
        </w:rPr>
        <w:t>m in 2019.</w:t>
      </w:r>
    </w:p>
    <w:p w14:paraId="79E6E266" w14:textId="5E72F7A2" w:rsidR="00AA7AF0" w:rsidRDefault="00AA7AF0" w:rsidP="00AA7AF0">
      <w:pPr>
        <w:spacing w:before="120" w:after="120"/>
        <w:jc w:val="both"/>
        <w:rPr>
          <w:rFonts w:asciiTheme="minorHAnsi" w:hAnsiTheme="minorHAnsi"/>
          <w:sz w:val="22"/>
          <w:szCs w:val="22"/>
        </w:rPr>
      </w:pPr>
      <w:r w:rsidRPr="00E56186">
        <w:rPr>
          <w:rFonts w:asciiTheme="minorHAnsi" w:hAnsiTheme="minorHAnsi"/>
          <w:sz w:val="22"/>
          <w:szCs w:val="22"/>
        </w:rPr>
        <w:lastRenderedPageBreak/>
        <w:t>Excluding sales and marketing,</w:t>
      </w:r>
      <w:r w:rsidR="006726AD">
        <w:rPr>
          <w:rFonts w:asciiTheme="minorHAnsi" w:hAnsiTheme="minorHAnsi"/>
          <w:sz w:val="22"/>
          <w:szCs w:val="22"/>
        </w:rPr>
        <w:t xml:space="preserve"> other </w:t>
      </w:r>
      <w:r w:rsidRPr="00E56186">
        <w:rPr>
          <w:rFonts w:asciiTheme="minorHAnsi" w:hAnsiTheme="minorHAnsi"/>
          <w:sz w:val="22"/>
          <w:szCs w:val="22"/>
        </w:rPr>
        <w:t xml:space="preserve">operating costs increased by 42% </w:t>
      </w:r>
      <w:r w:rsidR="006726AD">
        <w:rPr>
          <w:rFonts w:asciiTheme="minorHAnsi" w:hAnsiTheme="minorHAnsi"/>
          <w:sz w:val="22"/>
          <w:szCs w:val="22"/>
        </w:rPr>
        <w:t xml:space="preserve">in </w:t>
      </w:r>
      <w:r w:rsidR="009F3EFB" w:rsidRPr="00E56186">
        <w:rPr>
          <w:rFonts w:asciiTheme="minorHAnsi" w:hAnsiTheme="minorHAnsi"/>
          <w:sz w:val="22"/>
          <w:szCs w:val="22"/>
        </w:rPr>
        <w:t>proforma</w:t>
      </w:r>
      <w:r w:rsidR="009F3EFB" w:rsidRPr="005947DC">
        <w:rPr>
          <w:rFonts w:asciiTheme="minorHAnsi" w:hAnsiTheme="minorHAnsi"/>
          <w:sz w:val="22"/>
          <w:szCs w:val="22"/>
          <w:vertAlign w:val="superscript"/>
        </w:rPr>
        <w:t>4</w:t>
      </w:r>
      <w:r w:rsidR="009F3EFB">
        <w:rPr>
          <w:rFonts w:asciiTheme="minorHAnsi" w:hAnsiTheme="minorHAnsi"/>
          <w:sz w:val="22"/>
          <w:szCs w:val="22"/>
        </w:rPr>
        <w:t xml:space="preserve">, </w:t>
      </w:r>
      <w:r w:rsidR="006726AD">
        <w:rPr>
          <w:rFonts w:asciiTheme="minorHAnsi" w:hAnsiTheme="minorHAnsi"/>
          <w:sz w:val="22"/>
          <w:szCs w:val="22"/>
        </w:rPr>
        <w:t>constant currency</w:t>
      </w:r>
      <w:r w:rsidR="006726AD" w:rsidRPr="005947DC">
        <w:rPr>
          <w:rFonts w:asciiTheme="minorHAnsi" w:hAnsiTheme="minorHAnsi"/>
          <w:sz w:val="22"/>
          <w:szCs w:val="22"/>
          <w:vertAlign w:val="superscript"/>
        </w:rPr>
        <w:t>3</w:t>
      </w:r>
      <w:r w:rsidR="006726AD">
        <w:rPr>
          <w:rFonts w:asciiTheme="minorHAnsi" w:hAnsiTheme="minorHAnsi"/>
          <w:sz w:val="22"/>
          <w:szCs w:val="22"/>
        </w:rPr>
        <w:t xml:space="preserve"> </w:t>
      </w:r>
      <w:r w:rsidR="009F3EFB">
        <w:rPr>
          <w:rFonts w:asciiTheme="minorHAnsi" w:hAnsiTheme="minorHAnsi"/>
          <w:sz w:val="22"/>
          <w:szCs w:val="22"/>
        </w:rPr>
        <w:t xml:space="preserve">terms </w:t>
      </w:r>
      <w:r w:rsidRPr="00E56186">
        <w:rPr>
          <w:rFonts w:asciiTheme="minorHAnsi" w:hAnsiTheme="minorHAnsi"/>
          <w:sz w:val="22"/>
          <w:szCs w:val="22"/>
        </w:rPr>
        <w:t>as we expanded our operating capabilities, invested in product and technology, and brought our US headcount to circa 1,000 employees.</w:t>
      </w:r>
    </w:p>
    <w:p w14:paraId="397E1438" w14:textId="34DA6C14" w:rsidR="009A2090" w:rsidRDefault="009A2090">
      <w:pPr>
        <w:widowControl/>
        <w:autoSpaceDE/>
        <w:autoSpaceDN/>
        <w:adjustRightInd/>
        <w:rPr>
          <w:rFonts w:asciiTheme="minorHAnsi" w:hAnsiTheme="minorHAnsi"/>
          <w:b/>
          <w:sz w:val="22"/>
          <w:szCs w:val="22"/>
        </w:rPr>
      </w:pPr>
    </w:p>
    <w:p w14:paraId="3A711CE6" w14:textId="206E7108" w:rsidR="009A2090" w:rsidRDefault="009A2090">
      <w:pPr>
        <w:widowControl/>
        <w:autoSpaceDE/>
        <w:autoSpaceDN/>
        <w:adjustRightInd/>
        <w:rPr>
          <w:rFonts w:asciiTheme="minorHAnsi" w:hAnsiTheme="minorHAnsi"/>
          <w:b/>
          <w:sz w:val="22"/>
          <w:szCs w:val="22"/>
        </w:rPr>
      </w:pPr>
    </w:p>
    <w:p w14:paraId="47F312B4" w14:textId="53215237" w:rsidR="009A2090" w:rsidRDefault="009A2090">
      <w:pPr>
        <w:widowControl/>
        <w:autoSpaceDE/>
        <w:autoSpaceDN/>
        <w:adjustRightInd/>
        <w:rPr>
          <w:rFonts w:asciiTheme="minorHAnsi" w:hAnsiTheme="minorHAnsi"/>
          <w:b/>
          <w:sz w:val="22"/>
          <w:szCs w:val="22"/>
        </w:rPr>
      </w:pPr>
    </w:p>
    <w:p w14:paraId="405BE51E" w14:textId="20718146" w:rsidR="009A2090" w:rsidRDefault="009A2090">
      <w:pPr>
        <w:widowControl/>
        <w:autoSpaceDE/>
        <w:autoSpaceDN/>
        <w:adjustRightInd/>
        <w:rPr>
          <w:rFonts w:asciiTheme="minorHAnsi" w:hAnsiTheme="minorHAnsi"/>
          <w:b/>
          <w:sz w:val="22"/>
          <w:szCs w:val="22"/>
        </w:rPr>
      </w:pPr>
    </w:p>
    <w:p w14:paraId="3D7917F2" w14:textId="69987D9F" w:rsidR="009A2090" w:rsidRDefault="009A2090">
      <w:pPr>
        <w:widowControl/>
        <w:autoSpaceDE/>
        <w:autoSpaceDN/>
        <w:adjustRightInd/>
        <w:rPr>
          <w:rFonts w:asciiTheme="minorHAnsi" w:hAnsiTheme="minorHAnsi"/>
          <w:b/>
          <w:sz w:val="22"/>
          <w:szCs w:val="22"/>
        </w:rPr>
      </w:pPr>
    </w:p>
    <w:p w14:paraId="1A182D62" w14:textId="2C91BC4E" w:rsidR="009A2090" w:rsidRDefault="009A2090">
      <w:pPr>
        <w:widowControl/>
        <w:autoSpaceDE/>
        <w:autoSpaceDN/>
        <w:adjustRightInd/>
        <w:rPr>
          <w:rFonts w:asciiTheme="minorHAnsi" w:hAnsiTheme="minorHAnsi"/>
          <w:b/>
          <w:sz w:val="22"/>
          <w:szCs w:val="22"/>
        </w:rPr>
      </w:pPr>
    </w:p>
    <w:p w14:paraId="6DF1BC8C" w14:textId="6DDB3A3F" w:rsidR="009A2090" w:rsidRDefault="009A2090">
      <w:pPr>
        <w:widowControl/>
        <w:autoSpaceDE/>
        <w:autoSpaceDN/>
        <w:adjustRightInd/>
        <w:rPr>
          <w:rFonts w:asciiTheme="minorHAnsi" w:hAnsiTheme="minorHAnsi"/>
          <w:b/>
          <w:sz w:val="22"/>
          <w:szCs w:val="22"/>
        </w:rPr>
      </w:pPr>
    </w:p>
    <w:p w14:paraId="0E56789A" w14:textId="265D6D36" w:rsidR="009A2090" w:rsidRDefault="009A2090">
      <w:pPr>
        <w:widowControl/>
        <w:autoSpaceDE/>
        <w:autoSpaceDN/>
        <w:adjustRightInd/>
        <w:rPr>
          <w:rFonts w:asciiTheme="minorHAnsi" w:hAnsiTheme="minorHAnsi"/>
          <w:b/>
          <w:sz w:val="22"/>
          <w:szCs w:val="22"/>
        </w:rPr>
      </w:pPr>
    </w:p>
    <w:p w14:paraId="69336C1C" w14:textId="74C7508D" w:rsidR="009A2090" w:rsidRDefault="009A2090">
      <w:pPr>
        <w:widowControl/>
        <w:autoSpaceDE/>
        <w:autoSpaceDN/>
        <w:adjustRightInd/>
        <w:rPr>
          <w:rFonts w:asciiTheme="minorHAnsi" w:hAnsiTheme="minorHAnsi"/>
          <w:b/>
          <w:sz w:val="22"/>
          <w:szCs w:val="22"/>
        </w:rPr>
      </w:pPr>
    </w:p>
    <w:p w14:paraId="1D6A1E05" w14:textId="0B0E75C5" w:rsidR="009A2090" w:rsidRDefault="009A2090">
      <w:pPr>
        <w:widowControl/>
        <w:autoSpaceDE/>
        <w:autoSpaceDN/>
        <w:adjustRightInd/>
        <w:rPr>
          <w:rFonts w:asciiTheme="minorHAnsi" w:hAnsiTheme="minorHAnsi"/>
          <w:b/>
          <w:sz w:val="22"/>
          <w:szCs w:val="22"/>
        </w:rPr>
      </w:pPr>
    </w:p>
    <w:p w14:paraId="44C8B2C6" w14:textId="627F3636" w:rsidR="009A2090" w:rsidRDefault="009A2090">
      <w:pPr>
        <w:widowControl/>
        <w:autoSpaceDE/>
        <w:autoSpaceDN/>
        <w:adjustRightInd/>
        <w:rPr>
          <w:rFonts w:asciiTheme="minorHAnsi" w:hAnsiTheme="minorHAnsi"/>
          <w:b/>
          <w:sz w:val="22"/>
          <w:szCs w:val="22"/>
        </w:rPr>
      </w:pPr>
    </w:p>
    <w:p w14:paraId="454F9F1E" w14:textId="1A981226" w:rsidR="009A2090" w:rsidRDefault="009A2090">
      <w:pPr>
        <w:widowControl/>
        <w:autoSpaceDE/>
        <w:autoSpaceDN/>
        <w:adjustRightInd/>
        <w:rPr>
          <w:rFonts w:asciiTheme="minorHAnsi" w:hAnsiTheme="minorHAnsi"/>
          <w:b/>
          <w:sz w:val="22"/>
          <w:szCs w:val="22"/>
        </w:rPr>
      </w:pPr>
    </w:p>
    <w:p w14:paraId="56FD03E2" w14:textId="02D00F67" w:rsidR="009A2090" w:rsidRDefault="009A2090">
      <w:pPr>
        <w:widowControl/>
        <w:autoSpaceDE/>
        <w:autoSpaceDN/>
        <w:adjustRightInd/>
        <w:rPr>
          <w:rFonts w:asciiTheme="minorHAnsi" w:hAnsiTheme="minorHAnsi"/>
          <w:b/>
          <w:sz w:val="22"/>
          <w:szCs w:val="22"/>
        </w:rPr>
      </w:pPr>
    </w:p>
    <w:p w14:paraId="02EBA748" w14:textId="257D25DD" w:rsidR="00FE4A34" w:rsidRDefault="00FE4A34">
      <w:pPr>
        <w:widowControl/>
        <w:autoSpaceDE/>
        <w:autoSpaceDN/>
        <w:adjustRightInd/>
        <w:rPr>
          <w:rFonts w:asciiTheme="minorHAnsi" w:hAnsiTheme="minorHAnsi"/>
          <w:b/>
          <w:sz w:val="22"/>
          <w:szCs w:val="22"/>
        </w:rPr>
      </w:pPr>
    </w:p>
    <w:p w14:paraId="4D225C4E" w14:textId="77777777" w:rsidR="00FE4A34" w:rsidRDefault="00FE4A34">
      <w:pPr>
        <w:widowControl/>
        <w:autoSpaceDE/>
        <w:autoSpaceDN/>
        <w:adjustRightInd/>
        <w:rPr>
          <w:rFonts w:asciiTheme="minorHAnsi" w:hAnsiTheme="minorHAnsi"/>
          <w:b/>
          <w:sz w:val="22"/>
          <w:szCs w:val="22"/>
        </w:rPr>
      </w:pPr>
    </w:p>
    <w:p w14:paraId="43705456" w14:textId="47604FC4" w:rsidR="009A2090" w:rsidRDefault="009A2090">
      <w:pPr>
        <w:widowControl/>
        <w:autoSpaceDE/>
        <w:autoSpaceDN/>
        <w:adjustRightInd/>
        <w:rPr>
          <w:rFonts w:asciiTheme="minorHAnsi" w:hAnsiTheme="minorHAnsi"/>
          <w:b/>
          <w:sz w:val="22"/>
          <w:szCs w:val="22"/>
        </w:rPr>
      </w:pPr>
    </w:p>
    <w:p w14:paraId="54E0FAF4" w14:textId="560839EE" w:rsidR="009A2090" w:rsidRDefault="009A2090">
      <w:pPr>
        <w:widowControl/>
        <w:autoSpaceDE/>
        <w:autoSpaceDN/>
        <w:adjustRightInd/>
        <w:rPr>
          <w:rFonts w:asciiTheme="minorHAnsi" w:hAnsiTheme="minorHAnsi"/>
          <w:b/>
          <w:sz w:val="22"/>
          <w:szCs w:val="22"/>
        </w:rPr>
      </w:pPr>
    </w:p>
    <w:p w14:paraId="14A350C1" w14:textId="585DC82A" w:rsidR="009A2090" w:rsidRDefault="009A2090">
      <w:pPr>
        <w:widowControl/>
        <w:autoSpaceDE/>
        <w:autoSpaceDN/>
        <w:adjustRightInd/>
        <w:rPr>
          <w:rFonts w:asciiTheme="minorHAnsi" w:hAnsiTheme="minorHAnsi"/>
          <w:b/>
          <w:sz w:val="22"/>
          <w:szCs w:val="22"/>
        </w:rPr>
      </w:pPr>
    </w:p>
    <w:p w14:paraId="20D4DB1C" w14:textId="20E69192" w:rsidR="009A2090" w:rsidRDefault="009A2090">
      <w:pPr>
        <w:widowControl/>
        <w:autoSpaceDE/>
        <w:autoSpaceDN/>
        <w:adjustRightInd/>
        <w:rPr>
          <w:rFonts w:asciiTheme="minorHAnsi" w:hAnsiTheme="minorHAnsi"/>
          <w:b/>
          <w:sz w:val="22"/>
          <w:szCs w:val="22"/>
        </w:rPr>
      </w:pPr>
    </w:p>
    <w:p w14:paraId="486B640E" w14:textId="5AEA5B01" w:rsidR="009A2090" w:rsidRDefault="009A2090">
      <w:pPr>
        <w:widowControl/>
        <w:autoSpaceDE/>
        <w:autoSpaceDN/>
        <w:adjustRightInd/>
        <w:rPr>
          <w:rFonts w:asciiTheme="minorHAnsi" w:hAnsiTheme="minorHAnsi"/>
          <w:b/>
          <w:sz w:val="22"/>
          <w:szCs w:val="22"/>
        </w:rPr>
      </w:pPr>
    </w:p>
    <w:p w14:paraId="6BB2211C" w14:textId="2BAD10A8" w:rsidR="009A2090" w:rsidRDefault="009A2090">
      <w:pPr>
        <w:widowControl/>
        <w:autoSpaceDE/>
        <w:autoSpaceDN/>
        <w:adjustRightInd/>
        <w:rPr>
          <w:rFonts w:asciiTheme="minorHAnsi" w:hAnsiTheme="minorHAnsi"/>
          <w:b/>
          <w:sz w:val="22"/>
          <w:szCs w:val="22"/>
        </w:rPr>
      </w:pPr>
    </w:p>
    <w:p w14:paraId="2964BCA6" w14:textId="18A5E7F3" w:rsidR="009A2090" w:rsidRDefault="009A2090">
      <w:pPr>
        <w:widowControl/>
        <w:autoSpaceDE/>
        <w:autoSpaceDN/>
        <w:adjustRightInd/>
        <w:rPr>
          <w:rFonts w:asciiTheme="minorHAnsi" w:hAnsiTheme="minorHAnsi"/>
          <w:b/>
          <w:sz w:val="22"/>
          <w:szCs w:val="22"/>
        </w:rPr>
      </w:pPr>
    </w:p>
    <w:p w14:paraId="2FC01F3C" w14:textId="787AFEFC" w:rsidR="009A2090" w:rsidRDefault="009A2090">
      <w:pPr>
        <w:widowControl/>
        <w:autoSpaceDE/>
        <w:autoSpaceDN/>
        <w:adjustRightInd/>
        <w:rPr>
          <w:rFonts w:asciiTheme="minorHAnsi" w:hAnsiTheme="minorHAnsi"/>
          <w:b/>
          <w:sz w:val="22"/>
          <w:szCs w:val="22"/>
        </w:rPr>
      </w:pPr>
    </w:p>
    <w:p w14:paraId="2195009C" w14:textId="6C452C46" w:rsidR="009A2090" w:rsidRDefault="009A2090">
      <w:pPr>
        <w:widowControl/>
        <w:autoSpaceDE/>
        <w:autoSpaceDN/>
        <w:adjustRightInd/>
        <w:rPr>
          <w:rFonts w:asciiTheme="minorHAnsi" w:hAnsiTheme="minorHAnsi"/>
          <w:b/>
          <w:sz w:val="22"/>
          <w:szCs w:val="22"/>
        </w:rPr>
      </w:pPr>
    </w:p>
    <w:p w14:paraId="34C05DD6" w14:textId="52DC9D81" w:rsidR="009A2090" w:rsidRDefault="009A2090">
      <w:pPr>
        <w:widowControl/>
        <w:autoSpaceDE/>
        <w:autoSpaceDN/>
        <w:adjustRightInd/>
        <w:rPr>
          <w:rFonts w:asciiTheme="minorHAnsi" w:hAnsiTheme="minorHAnsi"/>
          <w:b/>
          <w:sz w:val="22"/>
          <w:szCs w:val="22"/>
        </w:rPr>
      </w:pPr>
    </w:p>
    <w:p w14:paraId="749331A1" w14:textId="4DE3F08A" w:rsidR="009A2090" w:rsidRDefault="009A2090">
      <w:pPr>
        <w:widowControl/>
        <w:autoSpaceDE/>
        <w:autoSpaceDN/>
        <w:adjustRightInd/>
        <w:rPr>
          <w:rFonts w:asciiTheme="minorHAnsi" w:hAnsiTheme="minorHAnsi"/>
          <w:b/>
          <w:sz w:val="22"/>
          <w:szCs w:val="22"/>
        </w:rPr>
      </w:pPr>
    </w:p>
    <w:p w14:paraId="3C8FAC22" w14:textId="6ECB718F" w:rsidR="009A2090" w:rsidRDefault="009A2090">
      <w:pPr>
        <w:widowControl/>
        <w:autoSpaceDE/>
        <w:autoSpaceDN/>
        <w:adjustRightInd/>
        <w:rPr>
          <w:rFonts w:asciiTheme="minorHAnsi" w:hAnsiTheme="minorHAnsi"/>
          <w:b/>
          <w:sz w:val="22"/>
          <w:szCs w:val="22"/>
        </w:rPr>
      </w:pPr>
    </w:p>
    <w:p w14:paraId="0DD079A8" w14:textId="11D7DB81" w:rsidR="009A2090" w:rsidRDefault="009A2090">
      <w:pPr>
        <w:widowControl/>
        <w:autoSpaceDE/>
        <w:autoSpaceDN/>
        <w:adjustRightInd/>
        <w:rPr>
          <w:rFonts w:asciiTheme="minorHAnsi" w:hAnsiTheme="minorHAnsi"/>
          <w:b/>
          <w:sz w:val="22"/>
          <w:szCs w:val="22"/>
        </w:rPr>
      </w:pPr>
    </w:p>
    <w:p w14:paraId="210CA38E" w14:textId="7CEB4132" w:rsidR="009A2090" w:rsidRDefault="009A2090">
      <w:pPr>
        <w:widowControl/>
        <w:autoSpaceDE/>
        <w:autoSpaceDN/>
        <w:adjustRightInd/>
        <w:rPr>
          <w:rFonts w:asciiTheme="minorHAnsi" w:hAnsiTheme="minorHAnsi"/>
          <w:b/>
          <w:sz w:val="22"/>
          <w:szCs w:val="22"/>
        </w:rPr>
      </w:pPr>
    </w:p>
    <w:p w14:paraId="6831075C" w14:textId="3BF4395A" w:rsidR="009A2090" w:rsidRDefault="009A2090">
      <w:pPr>
        <w:widowControl/>
        <w:autoSpaceDE/>
        <w:autoSpaceDN/>
        <w:adjustRightInd/>
        <w:rPr>
          <w:rFonts w:asciiTheme="minorHAnsi" w:hAnsiTheme="minorHAnsi"/>
          <w:b/>
          <w:sz w:val="22"/>
          <w:szCs w:val="22"/>
        </w:rPr>
      </w:pPr>
    </w:p>
    <w:p w14:paraId="2348FEE0" w14:textId="42668E4C" w:rsidR="009A2090" w:rsidRDefault="009A2090">
      <w:pPr>
        <w:widowControl/>
        <w:autoSpaceDE/>
        <w:autoSpaceDN/>
        <w:adjustRightInd/>
        <w:rPr>
          <w:rFonts w:asciiTheme="minorHAnsi" w:hAnsiTheme="minorHAnsi"/>
          <w:b/>
          <w:sz w:val="22"/>
          <w:szCs w:val="22"/>
        </w:rPr>
      </w:pPr>
    </w:p>
    <w:p w14:paraId="736DD8EA" w14:textId="58278B02" w:rsidR="009A2090" w:rsidRDefault="009A2090">
      <w:pPr>
        <w:widowControl/>
        <w:autoSpaceDE/>
        <w:autoSpaceDN/>
        <w:adjustRightInd/>
        <w:rPr>
          <w:rFonts w:asciiTheme="minorHAnsi" w:hAnsiTheme="minorHAnsi"/>
          <w:b/>
          <w:sz w:val="22"/>
          <w:szCs w:val="22"/>
        </w:rPr>
      </w:pPr>
    </w:p>
    <w:p w14:paraId="000CAB44" w14:textId="0112F386" w:rsidR="009A2090" w:rsidRDefault="009A2090">
      <w:pPr>
        <w:widowControl/>
        <w:autoSpaceDE/>
        <w:autoSpaceDN/>
        <w:adjustRightInd/>
        <w:rPr>
          <w:rFonts w:asciiTheme="minorHAnsi" w:hAnsiTheme="minorHAnsi"/>
          <w:b/>
          <w:sz w:val="22"/>
          <w:szCs w:val="22"/>
        </w:rPr>
      </w:pPr>
    </w:p>
    <w:p w14:paraId="4F15086A" w14:textId="74F09C7E" w:rsidR="009A2090" w:rsidRDefault="009A2090">
      <w:pPr>
        <w:widowControl/>
        <w:autoSpaceDE/>
        <w:autoSpaceDN/>
        <w:adjustRightInd/>
        <w:rPr>
          <w:rFonts w:asciiTheme="minorHAnsi" w:hAnsiTheme="minorHAnsi"/>
          <w:b/>
          <w:sz w:val="22"/>
          <w:szCs w:val="22"/>
        </w:rPr>
      </w:pPr>
    </w:p>
    <w:p w14:paraId="4DB09611" w14:textId="0A79F39A" w:rsidR="009A2090" w:rsidRDefault="009A2090">
      <w:pPr>
        <w:widowControl/>
        <w:autoSpaceDE/>
        <w:autoSpaceDN/>
        <w:adjustRightInd/>
        <w:rPr>
          <w:rFonts w:asciiTheme="minorHAnsi" w:hAnsiTheme="minorHAnsi"/>
          <w:b/>
          <w:sz w:val="22"/>
          <w:szCs w:val="22"/>
        </w:rPr>
      </w:pPr>
    </w:p>
    <w:p w14:paraId="0383243B" w14:textId="59119145" w:rsidR="009A2090" w:rsidRDefault="009A2090">
      <w:pPr>
        <w:widowControl/>
        <w:autoSpaceDE/>
        <w:autoSpaceDN/>
        <w:adjustRightInd/>
        <w:rPr>
          <w:rFonts w:asciiTheme="minorHAnsi" w:hAnsiTheme="minorHAnsi"/>
          <w:b/>
          <w:sz w:val="22"/>
          <w:szCs w:val="22"/>
        </w:rPr>
      </w:pPr>
    </w:p>
    <w:p w14:paraId="11FEF9DB" w14:textId="7DC40EB6" w:rsidR="009A2090" w:rsidRDefault="009A2090">
      <w:pPr>
        <w:widowControl/>
        <w:autoSpaceDE/>
        <w:autoSpaceDN/>
        <w:adjustRightInd/>
        <w:rPr>
          <w:rFonts w:asciiTheme="minorHAnsi" w:hAnsiTheme="minorHAnsi"/>
          <w:b/>
          <w:sz w:val="22"/>
          <w:szCs w:val="22"/>
        </w:rPr>
      </w:pPr>
    </w:p>
    <w:p w14:paraId="6575593F" w14:textId="61EDACE9" w:rsidR="009A2090" w:rsidRDefault="009A2090">
      <w:pPr>
        <w:widowControl/>
        <w:autoSpaceDE/>
        <w:autoSpaceDN/>
        <w:adjustRightInd/>
        <w:rPr>
          <w:rFonts w:asciiTheme="minorHAnsi" w:hAnsiTheme="minorHAnsi"/>
          <w:b/>
          <w:sz w:val="22"/>
          <w:szCs w:val="22"/>
        </w:rPr>
      </w:pPr>
    </w:p>
    <w:p w14:paraId="760F5D7A" w14:textId="468214AB" w:rsidR="009A2090" w:rsidRDefault="009A2090">
      <w:pPr>
        <w:widowControl/>
        <w:autoSpaceDE/>
        <w:autoSpaceDN/>
        <w:adjustRightInd/>
        <w:rPr>
          <w:rFonts w:asciiTheme="minorHAnsi" w:hAnsiTheme="minorHAnsi"/>
          <w:b/>
          <w:sz w:val="22"/>
          <w:szCs w:val="22"/>
        </w:rPr>
      </w:pPr>
    </w:p>
    <w:p w14:paraId="075FCE00" w14:textId="016E7C5E" w:rsidR="009A2090" w:rsidRDefault="009A2090">
      <w:pPr>
        <w:widowControl/>
        <w:autoSpaceDE/>
        <w:autoSpaceDN/>
        <w:adjustRightInd/>
        <w:rPr>
          <w:rFonts w:asciiTheme="minorHAnsi" w:hAnsiTheme="minorHAnsi"/>
          <w:b/>
          <w:sz w:val="22"/>
          <w:szCs w:val="22"/>
        </w:rPr>
      </w:pPr>
    </w:p>
    <w:p w14:paraId="06A5D5A1" w14:textId="23012CCD" w:rsidR="009A2090" w:rsidRDefault="009A2090">
      <w:pPr>
        <w:widowControl/>
        <w:autoSpaceDE/>
        <w:autoSpaceDN/>
        <w:adjustRightInd/>
        <w:rPr>
          <w:rFonts w:asciiTheme="minorHAnsi" w:hAnsiTheme="minorHAnsi"/>
          <w:b/>
          <w:sz w:val="22"/>
          <w:szCs w:val="22"/>
        </w:rPr>
      </w:pPr>
    </w:p>
    <w:p w14:paraId="7F2072FE" w14:textId="1AE875DF" w:rsidR="009A2090" w:rsidRDefault="009A2090">
      <w:pPr>
        <w:widowControl/>
        <w:autoSpaceDE/>
        <w:autoSpaceDN/>
        <w:adjustRightInd/>
        <w:rPr>
          <w:rFonts w:asciiTheme="minorHAnsi" w:hAnsiTheme="minorHAnsi"/>
          <w:b/>
          <w:sz w:val="22"/>
          <w:szCs w:val="22"/>
        </w:rPr>
      </w:pPr>
    </w:p>
    <w:p w14:paraId="62FEA3FB" w14:textId="5DE5C852" w:rsidR="009A2090" w:rsidRDefault="009A2090">
      <w:pPr>
        <w:widowControl/>
        <w:autoSpaceDE/>
        <w:autoSpaceDN/>
        <w:adjustRightInd/>
        <w:rPr>
          <w:rFonts w:asciiTheme="minorHAnsi" w:hAnsiTheme="minorHAnsi"/>
          <w:b/>
          <w:sz w:val="22"/>
          <w:szCs w:val="22"/>
        </w:rPr>
      </w:pPr>
    </w:p>
    <w:p w14:paraId="5342E075" w14:textId="47A9CD35" w:rsidR="009A2090" w:rsidRDefault="009A2090">
      <w:pPr>
        <w:widowControl/>
        <w:autoSpaceDE/>
        <w:autoSpaceDN/>
        <w:adjustRightInd/>
        <w:rPr>
          <w:rFonts w:asciiTheme="minorHAnsi" w:hAnsiTheme="minorHAnsi"/>
          <w:b/>
          <w:sz w:val="22"/>
          <w:szCs w:val="22"/>
        </w:rPr>
      </w:pPr>
    </w:p>
    <w:p w14:paraId="583248E3" w14:textId="1C23161E" w:rsidR="009A2090" w:rsidRDefault="009A2090">
      <w:pPr>
        <w:widowControl/>
        <w:autoSpaceDE/>
        <w:autoSpaceDN/>
        <w:adjustRightInd/>
        <w:rPr>
          <w:rFonts w:asciiTheme="minorHAnsi" w:hAnsiTheme="minorHAnsi"/>
          <w:b/>
          <w:sz w:val="22"/>
          <w:szCs w:val="22"/>
        </w:rPr>
      </w:pPr>
    </w:p>
    <w:p w14:paraId="091434B9" w14:textId="67375D0B" w:rsidR="009A2090" w:rsidRDefault="009A2090">
      <w:pPr>
        <w:widowControl/>
        <w:autoSpaceDE/>
        <w:autoSpaceDN/>
        <w:adjustRightInd/>
        <w:rPr>
          <w:rFonts w:asciiTheme="minorHAnsi" w:hAnsiTheme="minorHAnsi"/>
          <w:b/>
          <w:sz w:val="22"/>
          <w:szCs w:val="22"/>
        </w:rPr>
      </w:pPr>
    </w:p>
    <w:p w14:paraId="65B73879" w14:textId="77777777" w:rsidR="009A2090" w:rsidRDefault="009A2090">
      <w:pPr>
        <w:widowControl/>
        <w:autoSpaceDE/>
        <w:autoSpaceDN/>
        <w:adjustRightInd/>
        <w:rPr>
          <w:rFonts w:asciiTheme="minorHAnsi" w:hAnsiTheme="minorHAnsi"/>
          <w:b/>
          <w:sz w:val="22"/>
          <w:szCs w:val="22"/>
        </w:rPr>
      </w:pPr>
    </w:p>
    <w:p w14:paraId="348D0EEA" w14:textId="11448BF3" w:rsidR="00324B39" w:rsidRPr="002678F9" w:rsidRDefault="003366E1" w:rsidP="00AB200B">
      <w:pPr>
        <w:spacing w:after="120"/>
        <w:jc w:val="both"/>
        <w:rPr>
          <w:rFonts w:asciiTheme="minorHAnsi" w:hAnsiTheme="minorHAnsi"/>
          <w:b/>
          <w:sz w:val="22"/>
          <w:szCs w:val="22"/>
        </w:rPr>
      </w:pPr>
      <w:r>
        <w:rPr>
          <w:rFonts w:asciiTheme="minorHAnsi" w:hAnsiTheme="minorHAnsi"/>
          <w:b/>
          <w:sz w:val="22"/>
          <w:szCs w:val="22"/>
        </w:rPr>
        <w:lastRenderedPageBreak/>
        <w:t xml:space="preserve">PPB </w:t>
      </w:r>
      <w:r w:rsidR="00324B39" w:rsidRPr="000D0EFF">
        <w:rPr>
          <w:rFonts w:asciiTheme="minorHAnsi" w:hAnsiTheme="minorHAnsi"/>
          <w:b/>
          <w:sz w:val="22"/>
          <w:szCs w:val="22"/>
        </w:rPr>
        <w:t>Retail</w:t>
      </w:r>
    </w:p>
    <w:tbl>
      <w:tblPr>
        <w:tblW w:w="7371" w:type="dxa"/>
        <w:tblLayout w:type="fixed"/>
        <w:tblCellMar>
          <w:left w:w="57" w:type="dxa"/>
          <w:right w:w="57" w:type="dxa"/>
        </w:tblCellMar>
        <w:tblLook w:val="04A0" w:firstRow="1" w:lastRow="0" w:firstColumn="1" w:lastColumn="0" w:noHBand="0" w:noVBand="1"/>
      </w:tblPr>
      <w:tblGrid>
        <w:gridCol w:w="3969"/>
        <w:gridCol w:w="1134"/>
        <w:gridCol w:w="1134"/>
        <w:gridCol w:w="1134"/>
      </w:tblGrid>
      <w:tr w:rsidR="00324B39" w:rsidRPr="00443C47" w14:paraId="4AAEB2B2" w14:textId="77777777" w:rsidTr="002B33EA">
        <w:trPr>
          <w:trHeight w:val="615"/>
        </w:trPr>
        <w:tc>
          <w:tcPr>
            <w:tcW w:w="3969" w:type="dxa"/>
            <w:tcBorders>
              <w:top w:val="single" w:sz="4" w:space="0" w:color="auto"/>
              <w:left w:val="single" w:sz="4" w:space="0" w:color="auto"/>
              <w:bottom w:val="single" w:sz="4" w:space="0" w:color="auto"/>
              <w:right w:val="nil"/>
            </w:tcBorders>
          </w:tcPr>
          <w:p w14:paraId="2281F263" w14:textId="77777777" w:rsidR="00324B39" w:rsidRPr="00443C47"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Fonts w:asciiTheme="minorHAnsi" w:hAnsiTheme="minorHAnsi" w:cs="Times New Roman"/>
                <w:b/>
                <w:lang w:eastAsia="en-IE"/>
              </w:rPr>
            </w:pPr>
            <w:r>
              <w:rPr>
                <w:rFonts w:asciiTheme="minorHAnsi" w:hAnsiTheme="minorHAnsi" w:cs="Times New Roman"/>
                <w:b/>
                <w:lang w:eastAsia="en-IE"/>
              </w:rPr>
              <w:t>£m</w:t>
            </w:r>
          </w:p>
          <w:p w14:paraId="5EC2C399" w14:textId="77777777" w:rsidR="00345AD3" w:rsidRPr="00443C47" w:rsidRDefault="00345AD3" w:rsidP="00345A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Fonts w:asciiTheme="minorHAnsi" w:hAnsiTheme="minorHAnsi" w:cs="Times New Roman"/>
                <w:b/>
                <w:lang w:eastAsia="en-IE"/>
              </w:rPr>
            </w:pPr>
          </w:p>
          <w:p w14:paraId="21786957" w14:textId="77777777" w:rsidR="00324B39" w:rsidRDefault="00345AD3" w:rsidP="00345A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i/>
                <w:sz w:val="18"/>
                <w:szCs w:val="18"/>
                <w:lang w:eastAsia="en-IE"/>
              </w:rPr>
            </w:pPr>
            <w:r>
              <w:rPr>
                <w:rFonts w:asciiTheme="minorHAnsi" w:hAnsiTheme="minorHAnsi" w:cs="Times New Roman"/>
                <w:i/>
                <w:sz w:val="18"/>
                <w:szCs w:val="18"/>
                <w:lang w:eastAsia="en-IE"/>
              </w:rPr>
              <w:t>Pre IFRS 16</w:t>
            </w:r>
          </w:p>
          <w:p w14:paraId="6E3C8F76" w14:textId="78459BD6" w:rsidR="00345AD3" w:rsidRPr="00220D66" w:rsidRDefault="00345AD3" w:rsidP="00345A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i/>
                <w:sz w:val="18"/>
                <w:szCs w:val="18"/>
                <w:lang w:eastAsia="en-IE"/>
              </w:rPr>
            </w:pPr>
          </w:p>
        </w:tc>
        <w:tc>
          <w:tcPr>
            <w:tcW w:w="1134" w:type="dxa"/>
            <w:tcBorders>
              <w:top w:val="single" w:sz="4" w:space="0" w:color="auto"/>
              <w:left w:val="nil"/>
              <w:bottom w:val="single" w:sz="4" w:space="0" w:color="auto"/>
              <w:right w:val="nil"/>
            </w:tcBorders>
            <w:shd w:val="clear" w:color="auto" w:fill="auto"/>
          </w:tcPr>
          <w:p w14:paraId="2458975B"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 xml:space="preserve"> </w:t>
            </w:r>
          </w:p>
          <w:p w14:paraId="75B350B4" w14:textId="662862DF"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443C47">
              <w:rPr>
                <w:rFonts w:asciiTheme="minorHAnsi" w:hAnsiTheme="minorHAnsi" w:cs="Times New Roman"/>
                <w:b/>
                <w:lang w:eastAsia="en-IE"/>
              </w:rPr>
              <w:t>201</w:t>
            </w:r>
            <w:r w:rsidR="002B33EA">
              <w:rPr>
                <w:rFonts w:asciiTheme="minorHAnsi" w:hAnsiTheme="minorHAnsi" w:cs="Times New Roman"/>
                <w:b/>
                <w:lang w:eastAsia="en-IE"/>
              </w:rPr>
              <w:t>9</w:t>
            </w:r>
          </w:p>
          <w:p w14:paraId="7B2BF0A3" w14:textId="77777777" w:rsidR="00324B39" w:rsidRPr="00443C47"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b/>
                <w:lang w:eastAsia="en-IE"/>
              </w:rPr>
              <w:t>£m</w:t>
            </w:r>
          </w:p>
        </w:tc>
        <w:tc>
          <w:tcPr>
            <w:tcW w:w="1134" w:type="dxa"/>
            <w:tcBorders>
              <w:top w:val="single" w:sz="4" w:space="0" w:color="auto"/>
              <w:left w:val="nil"/>
              <w:bottom w:val="single" w:sz="4" w:space="0" w:color="auto"/>
              <w:right w:val="nil"/>
            </w:tcBorders>
            <w:shd w:val="clear" w:color="auto" w:fill="auto"/>
          </w:tcPr>
          <w:p w14:paraId="5FBBA91B"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p>
          <w:p w14:paraId="3D534F72" w14:textId="6F2FF18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 xml:space="preserve"> 201</w:t>
            </w:r>
            <w:r w:rsidR="002B33EA">
              <w:rPr>
                <w:rFonts w:asciiTheme="minorHAnsi" w:hAnsiTheme="minorHAnsi" w:cs="Times New Roman"/>
                <w:b/>
                <w:lang w:eastAsia="en-IE"/>
              </w:rPr>
              <w:t>8</w:t>
            </w:r>
          </w:p>
          <w:p w14:paraId="401B8BB3" w14:textId="77777777" w:rsidR="00324B39" w:rsidRPr="00443C47"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b/>
                <w:lang w:eastAsia="en-IE"/>
              </w:rPr>
              <w:t>£m</w:t>
            </w:r>
          </w:p>
        </w:tc>
        <w:tc>
          <w:tcPr>
            <w:tcW w:w="1134" w:type="dxa"/>
            <w:tcBorders>
              <w:top w:val="single" w:sz="4" w:space="0" w:color="auto"/>
              <w:left w:val="nil"/>
              <w:bottom w:val="single" w:sz="4" w:space="0" w:color="auto"/>
              <w:right w:val="single" w:sz="4" w:space="0" w:color="auto"/>
            </w:tcBorders>
          </w:tcPr>
          <w:p w14:paraId="7BCB3035"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p>
          <w:p w14:paraId="3D056DD2" w14:textId="77777777" w:rsidR="00324B39" w:rsidRPr="00443C47"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443C47">
              <w:rPr>
                <w:rFonts w:asciiTheme="minorHAnsi" w:hAnsiTheme="minorHAnsi" w:cs="Times New Roman"/>
                <w:b/>
                <w:lang w:eastAsia="en-IE"/>
              </w:rPr>
              <w:t>Change</w:t>
            </w:r>
          </w:p>
          <w:p w14:paraId="1452E1D7" w14:textId="77777777" w:rsidR="00324B39" w:rsidRPr="00443C47"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443C47">
              <w:rPr>
                <w:rFonts w:asciiTheme="minorHAnsi" w:hAnsiTheme="minorHAnsi" w:cs="Times New Roman"/>
                <w:b/>
                <w:lang w:eastAsia="en-IE"/>
              </w:rPr>
              <w:t>%</w:t>
            </w:r>
          </w:p>
        </w:tc>
      </w:tr>
      <w:tr w:rsidR="00324B39" w:rsidRPr="00CA2404" w14:paraId="5D0EBB77" w14:textId="77777777" w:rsidTr="002B33EA">
        <w:trPr>
          <w:trHeight w:val="70"/>
        </w:trPr>
        <w:tc>
          <w:tcPr>
            <w:tcW w:w="3969" w:type="dxa"/>
            <w:tcBorders>
              <w:top w:val="nil"/>
              <w:left w:val="single" w:sz="4" w:space="0" w:color="auto"/>
              <w:bottom w:val="nil"/>
              <w:right w:val="nil"/>
            </w:tcBorders>
          </w:tcPr>
          <w:p w14:paraId="2B0A3C58" w14:textId="77777777" w:rsidR="00324B39" w:rsidRPr="00CA2404"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134" w:type="dxa"/>
            <w:tcBorders>
              <w:top w:val="nil"/>
              <w:left w:val="nil"/>
              <w:bottom w:val="nil"/>
              <w:right w:val="nil"/>
            </w:tcBorders>
            <w:shd w:val="clear" w:color="auto" w:fill="auto"/>
          </w:tcPr>
          <w:p w14:paraId="42B9C21A" w14:textId="77777777" w:rsidR="00324B39" w:rsidRPr="00CA2404"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sz w:val="6"/>
                <w:szCs w:val="6"/>
                <w:lang w:eastAsia="en-IE"/>
              </w:rPr>
            </w:pPr>
          </w:p>
        </w:tc>
        <w:tc>
          <w:tcPr>
            <w:tcW w:w="1134" w:type="dxa"/>
            <w:tcBorders>
              <w:top w:val="nil"/>
              <w:left w:val="nil"/>
              <w:bottom w:val="nil"/>
              <w:right w:val="nil"/>
            </w:tcBorders>
            <w:shd w:val="clear" w:color="auto" w:fill="auto"/>
          </w:tcPr>
          <w:p w14:paraId="6B5839E2" w14:textId="77777777" w:rsidR="00324B39" w:rsidRPr="00CA2404"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134" w:type="dxa"/>
            <w:tcBorders>
              <w:top w:val="nil"/>
              <w:left w:val="nil"/>
              <w:bottom w:val="nil"/>
              <w:right w:val="single" w:sz="4" w:space="0" w:color="auto"/>
            </w:tcBorders>
          </w:tcPr>
          <w:p w14:paraId="32B17628" w14:textId="77777777" w:rsidR="00324B39" w:rsidRPr="00CA2404"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D2643C" w:rsidRPr="00CA2404" w14:paraId="20A45498" w14:textId="77777777" w:rsidTr="002B33EA">
        <w:trPr>
          <w:trHeight w:val="70"/>
        </w:trPr>
        <w:tc>
          <w:tcPr>
            <w:tcW w:w="3969" w:type="dxa"/>
            <w:tcBorders>
              <w:top w:val="nil"/>
              <w:left w:val="single" w:sz="4" w:space="0" w:color="auto"/>
              <w:bottom w:val="nil"/>
              <w:right w:val="nil"/>
            </w:tcBorders>
          </w:tcPr>
          <w:p w14:paraId="193AA364" w14:textId="77777777" w:rsidR="00D2643C" w:rsidRPr="006529D3"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6529D3">
              <w:rPr>
                <w:rFonts w:asciiTheme="minorHAnsi" w:hAnsiTheme="minorHAnsi" w:cs="Times New Roman"/>
                <w:b/>
                <w:lang w:eastAsia="en-IE"/>
              </w:rPr>
              <w:t>Sportsbook stakes</w:t>
            </w:r>
          </w:p>
        </w:tc>
        <w:tc>
          <w:tcPr>
            <w:tcW w:w="1134" w:type="dxa"/>
            <w:tcBorders>
              <w:top w:val="nil"/>
              <w:left w:val="nil"/>
              <w:bottom w:val="nil"/>
              <w:right w:val="nil"/>
            </w:tcBorders>
            <w:shd w:val="clear" w:color="auto" w:fill="auto"/>
          </w:tcPr>
          <w:p w14:paraId="799B0107" w14:textId="31E0803C" w:rsidR="00D2643C" w:rsidRPr="00BD2D18"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1,793</w:t>
            </w:r>
          </w:p>
        </w:tc>
        <w:tc>
          <w:tcPr>
            <w:tcW w:w="1134" w:type="dxa"/>
            <w:tcBorders>
              <w:top w:val="nil"/>
              <w:left w:val="nil"/>
              <w:bottom w:val="nil"/>
              <w:right w:val="nil"/>
            </w:tcBorders>
            <w:shd w:val="clear" w:color="auto" w:fill="auto"/>
          </w:tcPr>
          <w:p w14:paraId="4A83513E" w14:textId="70C45EDC" w:rsidR="00D2643C" w:rsidRPr="006529D3"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BD2D18">
              <w:rPr>
                <w:rFonts w:asciiTheme="minorHAnsi" w:hAnsiTheme="minorHAnsi" w:cs="Times New Roman"/>
                <w:b/>
                <w:lang w:eastAsia="en-IE"/>
              </w:rPr>
              <w:t>1,779</w:t>
            </w:r>
          </w:p>
        </w:tc>
        <w:tc>
          <w:tcPr>
            <w:tcW w:w="1134" w:type="dxa"/>
            <w:tcBorders>
              <w:top w:val="nil"/>
              <w:left w:val="nil"/>
              <w:bottom w:val="nil"/>
              <w:right w:val="single" w:sz="4" w:space="0" w:color="auto"/>
            </w:tcBorders>
          </w:tcPr>
          <w:p w14:paraId="2AD0A05A" w14:textId="6303F18A" w:rsidR="00D2643C" w:rsidRPr="00BD2D18"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w:t>
            </w:r>
          </w:p>
        </w:tc>
      </w:tr>
      <w:tr w:rsidR="00D2643C" w:rsidRPr="00CA2404" w14:paraId="19D3E939" w14:textId="77777777" w:rsidTr="002B33EA">
        <w:trPr>
          <w:trHeight w:val="70"/>
        </w:trPr>
        <w:tc>
          <w:tcPr>
            <w:tcW w:w="3969" w:type="dxa"/>
            <w:tcBorders>
              <w:top w:val="nil"/>
              <w:left w:val="single" w:sz="4" w:space="0" w:color="auto"/>
              <w:bottom w:val="nil"/>
              <w:right w:val="nil"/>
            </w:tcBorders>
          </w:tcPr>
          <w:p w14:paraId="5B4E1206" w14:textId="48C27831" w:rsidR="00D2643C" w:rsidRPr="000C7A5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i/>
                <w:sz w:val="18"/>
              </w:rPr>
            </w:pPr>
            <w:r w:rsidRPr="000C7A56">
              <w:rPr>
                <w:rFonts w:asciiTheme="minorHAnsi" w:hAnsiTheme="minorHAnsi"/>
                <w:i/>
                <w:sz w:val="18"/>
              </w:rPr>
              <w:t xml:space="preserve">Sportsbook net revenue </w:t>
            </w:r>
            <w:r w:rsidR="008603FC" w:rsidRPr="006F15A9">
              <w:rPr>
                <w:rFonts w:asciiTheme="minorHAnsi" w:hAnsiTheme="minorHAnsi" w:cs="Times New Roman"/>
                <w:i/>
                <w:sz w:val="18"/>
                <w:szCs w:val="18"/>
                <w:lang w:eastAsia="en-IE"/>
              </w:rPr>
              <w:t>margin</w:t>
            </w:r>
          </w:p>
        </w:tc>
        <w:tc>
          <w:tcPr>
            <w:tcW w:w="1134" w:type="dxa"/>
            <w:tcBorders>
              <w:top w:val="nil"/>
              <w:left w:val="nil"/>
              <w:bottom w:val="nil"/>
              <w:right w:val="nil"/>
            </w:tcBorders>
            <w:shd w:val="clear" w:color="auto" w:fill="auto"/>
          </w:tcPr>
          <w:p w14:paraId="5D1662F8" w14:textId="0CA43C4A" w:rsidR="00D2643C" w:rsidRPr="000C7A5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8"/>
              </w:rPr>
            </w:pPr>
            <w:r w:rsidRPr="000C7A56">
              <w:rPr>
                <w:rFonts w:asciiTheme="minorHAnsi" w:hAnsiTheme="minorHAnsi"/>
                <w:i/>
                <w:sz w:val="18"/>
              </w:rPr>
              <w:t>12.8%</w:t>
            </w:r>
          </w:p>
        </w:tc>
        <w:tc>
          <w:tcPr>
            <w:tcW w:w="1134" w:type="dxa"/>
            <w:tcBorders>
              <w:top w:val="nil"/>
              <w:left w:val="nil"/>
              <w:bottom w:val="nil"/>
              <w:right w:val="nil"/>
            </w:tcBorders>
            <w:shd w:val="clear" w:color="auto" w:fill="auto"/>
          </w:tcPr>
          <w:p w14:paraId="3EDFA86C" w14:textId="38780181" w:rsidR="00D2643C" w:rsidRPr="000C7A5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8"/>
              </w:rPr>
            </w:pPr>
            <w:r w:rsidRPr="000C7A56">
              <w:rPr>
                <w:rFonts w:asciiTheme="minorHAnsi" w:hAnsiTheme="minorHAnsi"/>
                <w:i/>
                <w:sz w:val="18"/>
              </w:rPr>
              <w:t>12.5%</w:t>
            </w:r>
          </w:p>
        </w:tc>
        <w:tc>
          <w:tcPr>
            <w:tcW w:w="1134" w:type="dxa"/>
            <w:tcBorders>
              <w:top w:val="nil"/>
              <w:left w:val="nil"/>
              <w:bottom w:val="nil"/>
              <w:right w:val="single" w:sz="4" w:space="0" w:color="auto"/>
            </w:tcBorders>
          </w:tcPr>
          <w:p w14:paraId="254D1964" w14:textId="29562BC0" w:rsidR="00D2643C" w:rsidRPr="000C7A5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8"/>
              </w:rPr>
            </w:pPr>
            <w:r w:rsidRPr="000C7A56">
              <w:rPr>
                <w:rFonts w:asciiTheme="minorHAnsi" w:hAnsiTheme="minorHAnsi"/>
                <w:i/>
                <w:sz w:val="18"/>
              </w:rPr>
              <w:t>+30bps</w:t>
            </w:r>
          </w:p>
        </w:tc>
      </w:tr>
      <w:tr w:rsidR="00D2643C" w:rsidRPr="00CA2404" w14:paraId="3D5DDE23" w14:textId="77777777" w:rsidTr="002B33EA">
        <w:trPr>
          <w:trHeight w:val="70"/>
        </w:trPr>
        <w:tc>
          <w:tcPr>
            <w:tcW w:w="3969" w:type="dxa"/>
            <w:tcBorders>
              <w:top w:val="nil"/>
              <w:left w:val="single" w:sz="4" w:space="0" w:color="auto"/>
              <w:bottom w:val="nil"/>
              <w:right w:val="nil"/>
            </w:tcBorders>
          </w:tcPr>
          <w:p w14:paraId="71A6E5A7" w14:textId="77777777" w:rsidR="00D2643C" w:rsidRPr="00CA2404"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134" w:type="dxa"/>
            <w:tcBorders>
              <w:top w:val="nil"/>
              <w:left w:val="nil"/>
              <w:bottom w:val="nil"/>
              <w:right w:val="nil"/>
            </w:tcBorders>
            <w:shd w:val="clear" w:color="auto" w:fill="auto"/>
          </w:tcPr>
          <w:p w14:paraId="2AC52F7B" w14:textId="77777777" w:rsidR="00D2643C" w:rsidRPr="00BD2D18"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134" w:type="dxa"/>
            <w:tcBorders>
              <w:top w:val="nil"/>
              <w:left w:val="nil"/>
              <w:bottom w:val="nil"/>
              <w:right w:val="nil"/>
            </w:tcBorders>
            <w:shd w:val="clear" w:color="auto" w:fill="auto"/>
          </w:tcPr>
          <w:p w14:paraId="69BB463E" w14:textId="77777777" w:rsidR="00D2643C" w:rsidRPr="00CA2404"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134" w:type="dxa"/>
            <w:tcBorders>
              <w:top w:val="nil"/>
              <w:left w:val="nil"/>
              <w:bottom w:val="nil"/>
              <w:right w:val="single" w:sz="4" w:space="0" w:color="auto"/>
            </w:tcBorders>
          </w:tcPr>
          <w:p w14:paraId="50829A14" w14:textId="77777777" w:rsidR="00D2643C" w:rsidRPr="00BD2D18"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D2643C" w:rsidRPr="00CA2404" w14:paraId="4B29333C" w14:textId="77777777" w:rsidTr="002B33EA">
        <w:trPr>
          <w:trHeight w:val="70"/>
        </w:trPr>
        <w:tc>
          <w:tcPr>
            <w:tcW w:w="3969" w:type="dxa"/>
            <w:tcBorders>
              <w:top w:val="nil"/>
              <w:left w:val="single" w:sz="4" w:space="0" w:color="auto"/>
              <w:bottom w:val="nil"/>
              <w:right w:val="nil"/>
            </w:tcBorders>
          </w:tcPr>
          <w:p w14:paraId="551FBBA1" w14:textId="77777777" w:rsidR="00D2643C" w:rsidRPr="006529D3"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Sports revenue</w:t>
            </w:r>
          </w:p>
        </w:tc>
        <w:tc>
          <w:tcPr>
            <w:tcW w:w="1134" w:type="dxa"/>
            <w:tcBorders>
              <w:top w:val="nil"/>
              <w:left w:val="nil"/>
              <w:bottom w:val="nil"/>
              <w:right w:val="nil"/>
            </w:tcBorders>
            <w:shd w:val="clear" w:color="auto" w:fill="auto"/>
          </w:tcPr>
          <w:p w14:paraId="3D6E044D" w14:textId="13A9A918" w:rsidR="00D2643C" w:rsidRPr="00BD2D18"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230</w:t>
            </w:r>
          </w:p>
        </w:tc>
        <w:tc>
          <w:tcPr>
            <w:tcW w:w="1134" w:type="dxa"/>
            <w:tcBorders>
              <w:top w:val="nil"/>
              <w:left w:val="nil"/>
              <w:bottom w:val="nil"/>
              <w:right w:val="nil"/>
            </w:tcBorders>
            <w:shd w:val="clear" w:color="auto" w:fill="auto"/>
          </w:tcPr>
          <w:p w14:paraId="40A7DEA1" w14:textId="6EDE74C6" w:rsidR="00D2643C" w:rsidRPr="006529D3"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BD2D18">
              <w:rPr>
                <w:rFonts w:asciiTheme="minorHAnsi" w:hAnsiTheme="minorHAnsi" w:cs="Times New Roman"/>
                <w:lang w:eastAsia="en-IE"/>
              </w:rPr>
              <w:t>222</w:t>
            </w:r>
          </w:p>
        </w:tc>
        <w:tc>
          <w:tcPr>
            <w:tcW w:w="1134" w:type="dxa"/>
            <w:tcBorders>
              <w:top w:val="nil"/>
              <w:left w:val="nil"/>
              <w:bottom w:val="nil"/>
              <w:right w:val="single" w:sz="4" w:space="0" w:color="auto"/>
            </w:tcBorders>
          </w:tcPr>
          <w:p w14:paraId="0314AC78" w14:textId="69D93ED0" w:rsidR="00D2643C" w:rsidRPr="00BD2D18"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+4%</w:t>
            </w:r>
          </w:p>
        </w:tc>
      </w:tr>
      <w:tr w:rsidR="00D2643C" w:rsidRPr="006529D3" w14:paraId="4E64B7B8" w14:textId="77777777" w:rsidTr="002B33EA">
        <w:trPr>
          <w:trHeight w:val="70"/>
        </w:trPr>
        <w:tc>
          <w:tcPr>
            <w:tcW w:w="3969" w:type="dxa"/>
            <w:tcBorders>
              <w:top w:val="nil"/>
              <w:left w:val="single" w:sz="4" w:space="0" w:color="auto"/>
              <w:bottom w:val="nil"/>
              <w:right w:val="nil"/>
            </w:tcBorders>
          </w:tcPr>
          <w:p w14:paraId="069F751F" w14:textId="77777777" w:rsidR="00D2643C" w:rsidRPr="006529D3"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Machine gaming revenue</w:t>
            </w:r>
          </w:p>
        </w:tc>
        <w:tc>
          <w:tcPr>
            <w:tcW w:w="1134" w:type="dxa"/>
            <w:tcBorders>
              <w:top w:val="nil"/>
              <w:left w:val="nil"/>
              <w:bottom w:val="single" w:sz="4" w:space="0" w:color="auto"/>
              <w:right w:val="nil"/>
            </w:tcBorders>
            <w:shd w:val="clear" w:color="auto" w:fill="auto"/>
          </w:tcPr>
          <w:p w14:paraId="2E5CD518" w14:textId="6EC8B8C2" w:rsidR="00D2643C" w:rsidRPr="00BD2D18"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82</w:t>
            </w:r>
          </w:p>
        </w:tc>
        <w:tc>
          <w:tcPr>
            <w:tcW w:w="1134" w:type="dxa"/>
            <w:tcBorders>
              <w:top w:val="nil"/>
              <w:left w:val="nil"/>
              <w:bottom w:val="single" w:sz="4" w:space="0" w:color="auto"/>
              <w:right w:val="nil"/>
            </w:tcBorders>
            <w:shd w:val="clear" w:color="auto" w:fill="auto"/>
          </w:tcPr>
          <w:p w14:paraId="3A67C15A" w14:textId="6732B1A2" w:rsidR="00D2643C" w:rsidRPr="006529D3"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BD2D18">
              <w:rPr>
                <w:rFonts w:asciiTheme="minorHAnsi" w:hAnsiTheme="minorHAnsi" w:cs="Times New Roman"/>
                <w:lang w:eastAsia="en-IE"/>
              </w:rPr>
              <w:t>110</w:t>
            </w:r>
          </w:p>
        </w:tc>
        <w:tc>
          <w:tcPr>
            <w:tcW w:w="1134" w:type="dxa"/>
            <w:tcBorders>
              <w:top w:val="nil"/>
              <w:left w:val="nil"/>
              <w:bottom w:val="single" w:sz="4" w:space="0" w:color="auto"/>
              <w:right w:val="single" w:sz="4" w:space="0" w:color="auto"/>
            </w:tcBorders>
          </w:tcPr>
          <w:p w14:paraId="3971660C" w14:textId="4E4B9824" w:rsidR="00D2643C" w:rsidRPr="00BD2D18"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-25%</w:t>
            </w:r>
          </w:p>
        </w:tc>
      </w:tr>
      <w:tr w:rsidR="00D2643C" w:rsidRPr="00443C47" w14:paraId="1D5F64B2" w14:textId="77777777" w:rsidTr="002B33EA">
        <w:trPr>
          <w:trHeight w:val="93"/>
        </w:trPr>
        <w:tc>
          <w:tcPr>
            <w:tcW w:w="3969" w:type="dxa"/>
            <w:tcBorders>
              <w:top w:val="nil"/>
              <w:left w:val="single" w:sz="4" w:space="0" w:color="auto"/>
              <w:bottom w:val="nil"/>
              <w:right w:val="nil"/>
            </w:tcBorders>
          </w:tcPr>
          <w:p w14:paraId="08E8F420" w14:textId="77777777" w:rsidR="00D2643C" w:rsidRPr="004C7C0F"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C7C0F">
              <w:rPr>
                <w:rFonts w:asciiTheme="minorHAnsi" w:hAnsiTheme="minorHAnsi" w:cs="Times New Roman"/>
                <w:b/>
                <w:lang w:eastAsia="en-IE"/>
              </w:rPr>
              <w:t>Total revenue</w:t>
            </w:r>
          </w:p>
        </w:tc>
        <w:tc>
          <w:tcPr>
            <w:tcW w:w="1134" w:type="dxa"/>
            <w:tcBorders>
              <w:top w:val="single" w:sz="4" w:space="0" w:color="auto"/>
              <w:left w:val="nil"/>
              <w:bottom w:val="nil"/>
              <w:right w:val="nil"/>
            </w:tcBorders>
            <w:shd w:val="clear" w:color="auto" w:fill="auto"/>
          </w:tcPr>
          <w:p w14:paraId="6BEA20C7" w14:textId="2564EFC7" w:rsidR="00D2643C" w:rsidRPr="00BD2D18"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312</w:t>
            </w:r>
          </w:p>
        </w:tc>
        <w:tc>
          <w:tcPr>
            <w:tcW w:w="1134" w:type="dxa"/>
            <w:tcBorders>
              <w:top w:val="single" w:sz="4" w:space="0" w:color="auto"/>
              <w:left w:val="nil"/>
              <w:bottom w:val="nil"/>
              <w:right w:val="nil"/>
            </w:tcBorders>
            <w:shd w:val="clear" w:color="auto" w:fill="auto"/>
          </w:tcPr>
          <w:p w14:paraId="0FF85221" w14:textId="1ED58EA9" w:rsidR="00D2643C" w:rsidRPr="004C7C0F"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BD2D18">
              <w:rPr>
                <w:rFonts w:asciiTheme="minorHAnsi" w:hAnsiTheme="minorHAnsi" w:cs="Times New Roman"/>
                <w:b/>
                <w:lang w:eastAsia="en-IE"/>
              </w:rPr>
              <w:t>331</w:t>
            </w:r>
          </w:p>
        </w:tc>
        <w:tc>
          <w:tcPr>
            <w:tcW w:w="1134" w:type="dxa"/>
            <w:tcBorders>
              <w:top w:val="single" w:sz="4" w:space="0" w:color="auto"/>
              <w:left w:val="nil"/>
              <w:bottom w:val="nil"/>
              <w:right w:val="single" w:sz="4" w:space="0" w:color="auto"/>
            </w:tcBorders>
          </w:tcPr>
          <w:p w14:paraId="44737BC1" w14:textId="45186A1B" w:rsidR="00D2643C" w:rsidRPr="00BD2D18"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-6%</w:t>
            </w:r>
          </w:p>
        </w:tc>
      </w:tr>
      <w:tr w:rsidR="00D2643C" w:rsidRPr="001F75A8" w14:paraId="3BCA9412" w14:textId="77777777" w:rsidTr="000C7A56">
        <w:trPr>
          <w:trHeight w:val="70"/>
        </w:trPr>
        <w:tc>
          <w:tcPr>
            <w:tcW w:w="3969" w:type="dxa"/>
            <w:tcBorders>
              <w:top w:val="nil"/>
              <w:left w:val="single" w:sz="4" w:space="0" w:color="auto"/>
              <w:bottom w:val="nil"/>
              <w:right w:val="nil"/>
            </w:tcBorders>
          </w:tcPr>
          <w:p w14:paraId="6FA6C260" w14:textId="77777777" w:rsidR="00D2643C" w:rsidRPr="00220D6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134" w:type="dxa"/>
            <w:tcBorders>
              <w:top w:val="nil"/>
              <w:left w:val="nil"/>
              <w:right w:val="nil"/>
            </w:tcBorders>
            <w:shd w:val="clear" w:color="auto" w:fill="auto"/>
          </w:tcPr>
          <w:p w14:paraId="6B7BC22D" w14:textId="77777777" w:rsidR="00D2643C" w:rsidRPr="00382045"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highlight w:val="yellow"/>
                <w:lang w:eastAsia="en-IE"/>
              </w:rPr>
            </w:pPr>
          </w:p>
        </w:tc>
        <w:tc>
          <w:tcPr>
            <w:tcW w:w="1134" w:type="dxa"/>
            <w:tcBorders>
              <w:top w:val="nil"/>
              <w:left w:val="nil"/>
              <w:right w:val="nil"/>
            </w:tcBorders>
            <w:shd w:val="clear" w:color="auto" w:fill="auto"/>
          </w:tcPr>
          <w:p w14:paraId="05D5285F" w14:textId="77777777" w:rsidR="00D2643C" w:rsidRPr="00220D6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134" w:type="dxa"/>
            <w:tcBorders>
              <w:top w:val="nil"/>
              <w:left w:val="nil"/>
              <w:right w:val="single" w:sz="4" w:space="0" w:color="auto"/>
            </w:tcBorders>
          </w:tcPr>
          <w:p w14:paraId="5D7A66E7" w14:textId="77777777" w:rsidR="00D2643C" w:rsidRPr="00382045"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highlight w:val="yellow"/>
                <w:lang w:eastAsia="en-IE"/>
              </w:rPr>
            </w:pPr>
          </w:p>
        </w:tc>
      </w:tr>
      <w:tr w:rsidR="00D2643C" w:rsidRPr="00443C47" w14:paraId="223C2CBD" w14:textId="77777777" w:rsidTr="000C7A56">
        <w:trPr>
          <w:trHeight w:val="70"/>
        </w:trPr>
        <w:tc>
          <w:tcPr>
            <w:tcW w:w="3969" w:type="dxa"/>
            <w:tcBorders>
              <w:top w:val="nil"/>
              <w:left w:val="single" w:sz="4" w:space="0" w:color="auto"/>
              <w:bottom w:val="nil"/>
              <w:right w:val="nil"/>
            </w:tcBorders>
          </w:tcPr>
          <w:p w14:paraId="659F3C72" w14:textId="77777777" w:rsidR="00D2643C" w:rsidRPr="00220D66"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Cost of sales</w:t>
            </w:r>
          </w:p>
        </w:tc>
        <w:tc>
          <w:tcPr>
            <w:tcW w:w="1134" w:type="dxa"/>
            <w:tcBorders>
              <w:top w:val="nil"/>
              <w:left w:val="nil"/>
              <w:right w:val="nil"/>
            </w:tcBorders>
            <w:shd w:val="clear" w:color="auto" w:fill="auto"/>
          </w:tcPr>
          <w:p w14:paraId="28DECD50" w14:textId="2C4F5E2A" w:rsidR="00D2643C" w:rsidRPr="00BD2D18"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(70)</w:t>
            </w:r>
          </w:p>
        </w:tc>
        <w:tc>
          <w:tcPr>
            <w:tcW w:w="1134" w:type="dxa"/>
            <w:tcBorders>
              <w:top w:val="nil"/>
              <w:left w:val="nil"/>
              <w:right w:val="nil"/>
            </w:tcBorders>
            <w:shd w:val="clear" w:color="auto" w:fill="auto"/>
          </w:tcPr>
          <w:p w14:paraId="06773F1F" w14:textId="01CEB813" w:rsidR="00D2643C"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BD2D18">
              <w:rPr>
                <w:rFonts w:asciiTheme="minorHAnsi" w:hAnsiTheme="minorHAnsi" w:cs="Times New Roman"/>
                <w:lang w:eastAsia="en-IE"/>
              </w:rPr>
              <w:t>(73)</w:t>
            </w:r>
          </w:p>
        </w:tc>
        <w:tc>
          <w:tcPr>
            <w:tcW w:w="1134" w:type="dxa"/>
            <w:tcBorders>
              <w:top w:val="nil"/>
              <w:left w:val="nil"/>
              <w:right w:val="single" w:sz="4" w:space="0" w:color="auto"/>
            </w:tcBorders>
          </w:tcPr>
          <w:p w14:paraId="27BD3F90" w14:textId="54AB5D28" w:rsidR="00D2643C" w:rsidRPr="00BD2D18" w:rsidRDefault="00D2643C" w:rsidP="00D264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-5%</w:t>
            </w:r>
          </w:p>
        </w:tc>
      </w:tr>
      <w:tr w:rsidR="004B7E5E" w:rsidRPr="00443C47" w14:paraId="4BA1BA1D" w14:textId="77777777" w:rsidTr="002D5494">
        <w:trPr>
          <w:trHeight w:val="70"/>
        </w:trPr>
        <w:tc>
          <w:tcPr>
            <w:tcW w:w="3969" w:type="dxa"/>
            <w:tcBorders>
              <w:top w:val="nil"/>
              <w:left w:val="single" w:sz="4" w:space="0" w:color="auto"/>
              <w:bottom w:val="nil"/>
              <w:right w:val="nil"/>
            </w:tcBorders>
          </w:tcPr>
          <w:p w14:paraId="05D17C84" w14:textId="6A70FAAE" w:rsidR="004B7E5E" w:rsidRPr="00B32CCA"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18"/>
                <w:szCs w:val="18"/>
                <w:lang w:eastAsia="en-IE"/>
              </w:rPr>
            </w:pPr>
            <w:r w:rsidRPr="00B32CCA">
              <w:rPr>
                <w:rFonts w:asciiTheme="minorHAnsi" w:hAnsiTheme="minorHAnsi" w:cs="Times New Roman"/>
                <w:i/>
                <w:sz w:val="18"/>
                <w:szCs w:val="18"/>
                <w:lang w:eastAsia="en-IE"/>
              </w:rPr>
              <w:t>Cost of sales as a % of net revenue</w:t>
            </w:r>
          </w:p>
        </w:tc>
        <w:tc>
          <w:tcPr>
            <w:tcW w:w="1134" w:type="dxa"/>
            <w:tcBorders>
              <w:left w:val="nil"/>
              <w:right w:val="nil"/>
            </w:tcBorders>
            <w:shd w:val="clear" w:color="auto" w:fill="auto"/>
          </w:tcPr>
          <w:p w14:paraId="50A296B7" w14:textId="5B13C375" w:rsidR="004B7E5E" w:rsidRPr="00B32CCA" w:rsidRDefault="008603FC"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B32CCA">
              <w:rPr>
                <w:rFonts w:asciiTheme="minorHAnsi" w:hAnsiTheme="minorHAnsi" w:cstheme="minorHAnsi"/>
                <w:i/>
                <w:sz w:val="18"/>
                <w:szCs w:val="18"/>
                <w:lang w:eastAsia="en-IE"/>
              </w:rPr>
              <w:t>22.4</w:t>
            </w:r>
            <w:r w:rsidR="004B7E5E" w:rsidRPr="00B32CCA">
              <w:rPr>
                <w:rFonts w:asciiTheme="minorHAnsi" w:hAnsiTheme="minorHAnsi" w:cstheme="minorHAnsi"/>
                <w:i/>
                <w:sz w:val="18"/>
                <w:szCs w:val="18"/>
                <w:lang w:eastAsia="en-IE"/>
              </w:rPr>
              <w:t>%</w:t>
            </w:r>
          </w:p>
        </w:tc>
        <w:tc>
          <w:tcPr>
            <w:tcW w:w="1134" w:type="dxa"/>
            <w:tcBorders>
              <w:left w:val="nil"/>
              <w:right w:val="nil"/>
            </w:tcBorders>
            <w:shd w:val="clear" w:color="auto" w:fill="auto"/>
          </w:tcPr>
          <w:p w14:paraId="087CBE41" w14:textId="5EC18D02" w:rsidR="004B7E5E" w:rsidRPr="00B32CCA" w:rsidRDefault="008603FC"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B32CCA">
              <w:rPr>
                <w:rFonts w:asciiTheme="minorHAnsi" w:hAnsiTheme="minorHAnsi" w:cstheme="minorHAnsi"/>
                <w:i/>
                <w:sz w:val="18"/>
                <w:szCs w:val="18"/>
                <w:lang w:eastAsia="en-IE"/>
              </w:rPr>
              <w:t>22.1</w:t>
            </w:r>
            <w:r w:rsidR="004B7E5E" w:rsidRPr="00B32CCA">
              <w:rPr>
                <w:rFonts w:asciiTheme="minorHAnsi" w:hAnsiTheme="minorHAnsi" w:cstheme="minorHAnsi"/>
                <w:i/>
                <w:sz w:val="18"/>
                <w:szCs w:val="18"/>
                <w:lang w:eastAsia="en-IE"/>
              </w:rPr>
              <w:t>%</w:t>
            </w:r>
          </w:p>
        </w:tc>
        <w:tc>
          <w:tcPr>
            <w:tcW w:w="1134" w:type="dxa"/>
            <w:tcBorders>
              <w:left w:val="nil"/>
              <w:right w:val="single" w:sz="4" w:space="0" w:color="auto"/>
            </w:tcBorders>
          </w:tcPr>
          <w:p w14:paraId="349B79F0" w14:textId="0BFB870D" w:rsidR="004B7E5E" w:rsidRPr="00A028FD" w:rsidRDefault="008603FC"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8"/>
              </w:rPr>
            </w:pPr>
            <w:r w:rsidRPr="00A028FD">
              <w:rPr>
                <w:rFonts w:asciiTheme="minorHAnsi" w:hAnsiTheme="minorHAnsi"/>
                <w:i/>
                <w:sz w:val="18"/>
              </w:rPr>
              <w:t>+30bps</w:t>
            </w:r>
          </w:p>
        </w:tc>
      </w:tr>
      <w:tr w:rsidR="004B7E5E" w:rsidRPr="00443C47" w14:paraId="66711F78" w14:textId="77777777" w:rsidTr="000C7A56">
        <w:trPr>
          <w:trHeight w:val="70"/>
        </w:trPr>
        <w:tc>
          <w:tcPr>
            <w:tcW w:w="3969" w:type="dxa"/>
            <w:tcBorders>
              <w:top w:val="nil"/>
              <w:left w:val="single" w:sz="4" w:space="0" w:color="auto"/>
              <w:bottom w:val="nil"/>
              <w:right w:val="nil"/>
            </w:tcBorders>
          </w:tcPr>
          <w:p w14:paraId="798D15B0" w14:textId="77777777" w:rsidR="004B7E5E" w:rsidRPr="00E40E5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134" w:type="dxa"/>
            <w:tcBorders>
              <w:left w:val="nil"/>
              <w:bottom w:val="nil"/>
              <w:right w:val="nil"/>
            </w:tcBorders>
            <w:shd w:val="clear" w:color="auto" w:fill="auto"/>
          </w:tcPr>
          <w:p w14:paraId="348608A2" w14:textId="77777777"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134" w:type="dxa"/>
            <w:tcBorders>
              <w:left w:val="nil"/>
              <w:bottom w:val="nil"/>
              <w:right w:val="nil"/>
            </w:tcBorders>
            <w:shd w:val="clear" w:color="auto" w:fill="auto"/>
          </w:tcPr>
          <w:p w14:paraId="150606E5" w14:textId="77777777" w:rsidR="004B7E5E" w:rsidRPr="00E40E5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134" w:type="dxa"/>
            <w:tcBorders>
              <w:left w:val="nil"/>
              <w:bottom w:val="nil"/>
              <w:right w:val="single" w:sz="4" w:space="0" w:color="auto"/>
            </w:tcBorders>
          </w:tcPr>
          <w:p w14:paraId="23434314" w14:textId="77777777"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4B7E5E" w:rsidRPr="00443C47" w14:paraId="18254CC6" w14:textId="77777777" w:rsidTr="002B33EA">
        <w:trPr>
          <w:trHeight w:val="70"/>
        </w:trPr>
        <w:tc>
          <w:tcPr>
            <w:tcW w:w="3969" w:type="dxa"/>
            <w:tcBorders>
              <w:top w:val="nil"/>
              <w:left w:val="single" w:sz="4" w:space="0" w:color="auto"/>
              <w:bottom w:val="nil"/>
              <w:right w:val="nil"/>
            </w:tcBorders>
          </w:tcPr>
          <w:p w14:paraId="1CD12A31" w14:textId="77777777" w:rsidR="004B7E5E" w:rsidRPr="004C7C0F"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C7C0F">
              <w:rPr>
                <w:rFonts w:asciiTheme="minorHAnsi" w:hAnsiTheme="minorHAnsi" w:cs="Times New Roman"/>
                <w:b/>
                <w:lang w:eastAsia="en-IE"/>
              </w:rPr>
              <w:t>Gross profit</w:t>
            </w:r>
          </w:p>
        </w:tc>
        <w:tc>
          <w:tcPr>
            <w:tcW w:w="1134" w:type="dxa"/>
            <w:tcBorders>
              <w:top w:val="nil"/>
              <w:left w:val="nil"/>
              <w:bottom w:val="nil"/>
              <w:right w:val="nil"/>
            </w:tcBorders>
            <w:shd w:val="clear" w:color="auto" w:fill="auto"/>
          </w:tcPr>
          <w:p w14:paraId="1F4C6D59" w14:textId="7BDC45EC"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242</w:t>
            </w:r>
          </w:p>
        </w:tc>
        <w:tc>
          <w:tcPr>
            <w:tcW w:w="1134" w:type="dxa"/>
            <w:tcBorders>
              <w:top w:val="nil"/>
              <w:left w:val="nil"/>
              <w:bottom w:val="nil"/>
              <w:right w:val="nil"/>
            </w:tcBorders>
            <w:shd w:val="clear" w:color="auto" w:fill="auto"/>
          </w:tcPr>
          <w:p w14:paraId="520BB71D" w14:textId="727859BC" w:rsidR="004B7E5E" w:rsidRPr="004C7C0F"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BD2D18">
              <w:rPr>
                <w:rFonts w:asciiTheme="minorHAnsi" w:hAnsiTheme="minorHAnsi" w:cs="Times New Roman"/>
                <w:b/>
                <w:lang w:eastAsia="en-IE"/>
              </w:rPr>
              <w:t>258</w:t>
            </w:r>
          </w:p>
        </w:tc>
        <w:tc>
          <w:tcPr>
            <w:tcW w:w="1134" w:type="dxa"/>
            <w:tcBorders>
              <w:top w:val="nil"/>
              <w:left w:val="nil"/>
              <w:bottom w:val="nil"/>
              <w:right w:val="single" w:sz="4" w:space="0" w:color="auto"/>
            </w:tcBorders>
          </w:tcPr>
          <w:p w14:paraId="267CADD3" w14:textId="4D21AF15"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-6%</w:t>
            </w:r>
          </w:p>
        </w:tc>
      </w:tr>
      <w:tr w:rsidR="004B7E5E" w:rsidRPr="00E40E55" w14:paraId="303D576B" w14:textId="77777777" w:rsidTr="002B33EA">
        <w:trPr>
          <w:trHeight w:val="70"/>
        </w:trPr>
        <w:tc>
          <w:tcPr>
            <w:tcW w:w="3969" w:type="dxa"/>
            <w:tcBorders>
              <w:top w:val="nil"/>
              <w:left w:val="single" w:sz="4" w:space="0" w:color="auto"/>
              <w:bottom w:val="nil"/>
              <w:right w:val="nil"/>
            </w:tcBorders>
          </w:tcPr>
          <w:p w14:paraId="69FF0897" w14:textId="77777777" w:rsidR="004B7E5E" w:rsidRPr="00E40E5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134" w:type="dxa"/>
            <w:tcBorders>
              <w:top w:val="nil"/>
              <w:left w:val="nil"/>
              <w:bottom w:val="nil"/>
              <w:right w:val="nil"/>
            </w:tcBorders>
            <w:shd w:val="clear" w:color="auto" w:fill="auto"/>
          </w:tcPr>
          <w:p w14:paraId="77F97FB0" w14:textId="77777777"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134" w:type="dxa"/>
            <w:tcBorders>
              <w:top w:val="nil"/>
              <w:left w:val="nil"/>
              <w:bottom w:val="nil"/>
              <w:right w:val="nil"/>
            </w:tcBorders>
            <w:shd w:val="clear" w:color="auto" w:fill="auto"/>
          </w:tcPr>
          <w:p w14:paraId="39A4864A" w14:textId="77777777" w:rsidR="004B7E5E" w:rsidRPr="00E40E5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134" w:type="dxa"/>
            <w:tcBorders>
              <w:top w:val="nil"/>
              <w:left w:val="nil"/>
              <w:bottom w:val="nil"/>
              <w:right w:val="single" w:sz="4" w:space="0" w:color="auto"/>
            </w:tcBorders>
          </w:tcPr>
          <w:p w14:paraId="77C08864" w14:textId="77777777" w:rsidR="004B7E5E" w:rsidRPr="0038204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highlight w:val="yellow"/>
                <w:lang w:eastAsia="en-IE"/>
              </w:rPr>
            </w:pPr>
          </w:p>
        </w:tc>
      </w:tr>
      <w:tr w:rsidR="004B7E5E" w:rsidRPr="00E40E55" w14:paraId="7A8E2A48" w14:textId="77777777" w:rsidTr="002B33EA">
        <w:trPr>
          <w:trHeight w:val="70"/>
        </w:trPr>
        <w:tc>
          <w:tcPr>
            <w:tcW w:w="3969" w:type="dxa"/>
            <w:tcBorders>
              <w:top w:val="nil"/>
              <w:left w:val="single" w:sz="4" w:space="0" w:color="auto"/>
              <w:bottom w:val="nil"/>
              <w:right w:val="nil"/>
            </w:tcBorders>
          </w:tcPr>
          <w:p w14:paraId="3C4F7DB6" w14:textId="77777777" w:rsidR="004B7E5E" w:rsidRPr="00E40E5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Sales and marketing</w:t>
            </w:r>
          </w:p>
        </w:tc>
        <w:tc>
          <w:tcPr>
            <w:tcW w:w="1134" w:type="dxa"/>
            <w:tcBorders>
              <w:top w:val="nil"/>
              <w:left w:val="nil"/>
              <w:bottom w:val="nil"/>
              <w:right w:val="nil"/>
            </w:tcBorders>
            <w:shd w:val="clear" w:color="auto" w:fill="auto"/>
          </w:tcPr>
          <w:p w14:paraId="509680CA" w14:textId="4C7378AD"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(7)</w:t>
            </w:r>
          </w:p>
        </w:tc>
        <w:tc>
          <w:tcPr>
            <w:tcW w:w="1134" w:type="dxa"/>
            <w:tcBorders>
              <w:top w:val="nil"/>
              <w:left w:val="nil"/>
              <w:bottom w:val="nil"/>
              <w:right w:val="nil"/>
            </w:tcBorders>
            <w:shd w:val="clear" w:color="auto" w:fill="auto"/>
          </w:tcPr>
          <w:p w14:paraId="38D79EC6" w14:textId="0E178148" w:rsidR="004B7E5E" w:rsidRPr="009C2847"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BD2D18">
              <w:rPr>
                <w:rFonts w:asciiTheme="minorHAnsi" w:hAnsiTheme="minorHAnsi" w:cs="Times New Roman"/>
                <w:lang w:eastAsia="en-IE"/>
              </w:rPr>
              <w:t>(7)</w:t>
            </w:r>
          </w:p>
        </w:tc>
        <w:tc>
          <w:tcPr>
            <w:tcW w:w="1134" w:type="dxa"/>
            <w:tcBorders>
              <w:top w:val="nil"/>
              <w:left w:val="nil"/>
              <w:bottom w:val="nil"/>
              <w:right w:val="single" w:sz="4" w:space="0" w:color="auto"/>
            </w:tcBorders>
          </w:tcPr>
          <w:p w14:paraId="42F2E028" w14:textId="20469385"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+4%</w:t>
            </w:r>
          </w:p>
        </w:tc>
      </w:tr>
      <w:tr w:rsidR="008603FC" w:rsidRPr="00E40E55" w14:paraId="4AFD687D" w14:textId="77777777" w:rsidTr="002B33EA">
        <w:trPr>
          <w:trHeight w:val="70"/>
        </w:trPr>
        <w:tc>
          <w:tcPr>
            <w:tcW w:w="3969" w:type="dxa"/>
            <w:tcBorders>
              <w:top w:val="nil"/>
              <w:left w:val="single" w:sz="4" w:space="0" w:color="auto"/>
              <w:bottom w:val="nil"/>
              <w:right w:val="nil"/>
            </w:tcBorders>
          </w:tcPr>
          <w:p w14:paraId="16A52C4E" w14:textId="1EED845A" w:rsidR="008603FC" w:rsidRPr="002D5494" w:rsidRDefault="008603FC"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2D5494">
              <w:rPr>
                <w:rFonts w:asciiTheme="minorHAnsi" w:hAnsiTheme="minorHAnsi" w:cs="Times New Roman"/>
                <w:b/>
                <w:lang w:eastAsia="en-IE"/>
              </w:rPr>
              <w:t>Contribution</w:t>
            </w:r>
          </w:p>
        </w:tc>
        <w:tc>
          <w:tcPr>
            <w:tcW w:w="1134" w:type="dxa"/>
            <w:tcBorders>
              <w:top w:val="nil"/>
              <w:left w:val="nil"/>
              <w:bottom w:val="nil"/>
              <w:right w:val="nil"/>
            </w:tcBorders>
            <w:shd w:val="clear" w:color="auto" w:fill="auto"/>
          </w:tcPr>
          <w:p w14:paraId="59A170BF" w14:textId="1B1D6C88" w:rsidR="008603FC" w:rsidRPr="002D5494" w:rsidRDefault="008603FC"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2D5494">
              <w:rPr>
                <w:rFonts w:asciiTheme="minorHAnsi" w:hAnsiTheme="minorHAnsi" w:cs="Times New Roman"/>
                <w:b/>
                <w:lang w:eastAsia="en-IE"/>
              </w:rPr>
              <w:t>235</w:t>
            </w:r>
          </w:p>
        </w:tc>
        <w:tc>
          <w:tcPr>
            <w:tcW w:w="1134" w:type="dxa"/>
            <w:tcBorders>
              <w:top w:val="nil"/>
              <w:left w:val="nil"/>
              <w:bottom w:val="nil"/>
              <w:right w:val="nil"/>
            </w:tcBorders>
            <w:shd w:val="clear" w:color="auto" w:fill="auto"/>
          </w:tcPr>
          <w:p w14:paraId="216F2302" w14:textId="327C2AAC" w:rsidR="008603FC" w:rsidRPr="002D5494" w:rsidRDefault="008603FC"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2D5494">
              <w:rPr>
                <w:rFonts w:asciiTheme="minorHAnsi" w:hAnsiTheme="minorHAnsi" w:cs="Times New Roman"/>
                <w:b/>
                <w:lang w:eastAsia="en-IE"/>
              </w:rPr>
              <w:t>252</w:t>
            </w:r>
          </w:p>
        </w:tc>
        <w:tc>
          <w:tcPr>
            <w:tcW w:w="1134" w:type="dxa"/>
            <w:tcBorders>
              <w:top w:val="nil"/>
              <w:left w:val="nil"/>
              <w:bottom w:val="nil"/>
              <w:right w:val="single" w:sz="4" w:space="0" w:color="auto"/>
            </w:tcBorders>
          </w:tcPr>
          <w:p w14:paraId="3F9ED27A" w14:textId="15FC1E75" w:rsidR="008603FC" w:rsidRPr="002D5494" w:rsidRDefault="008603FC"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2D5494">
              <w:rPr>
                <w:rFonts w:asciiTheme="minorHAnsi" w:hAnsiTheme="minorHAnsi" w:cs="Times New Roman"/>
                <w:b/>
                <w:lang w:eastAsia="en-IE"/>
              </w:rPr>
              <w:t>-7%</w:t>
            </w:r>
          </w:p>
        </w:tc>
      </w:tr>
      <w:tr w:rsidR="008603FC" w:rsidRPr="008603FC" w14:paraId="20980F9C" w14:textId="77777777" w:rsidTr="002B33EA">
        <w:trPr>
          <w:trHeight w:val="70"/>
        </w:trPr>
        <w:tc>
          <w:tcPr>
            <w:tcW w:w="3969" w:type="dxa"/>
            <w:tcBorders>
              <w:top w:val="nil"/>
              <w:left w:val="single" w:sz="4" w:space="0" w:color="auto"/>
              <w:bottom w:val="nil"/>
              <w:right w:val="nil"/>
            </w:tcBorders>
          </w:tcPr>
          <w:p w14:paraId="47F45C0A" w14:textId="77777777" w:rsidR="008603FC" w:rsidRPr="00FF2E6C" w:rsidRDefault="008603FC"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i/>
                <w:sz w:val="8"/>
                <w:szCs w:val="8"/>
                <w:lang w:eastAsia="en-IE"/>
              </w:rPr>
            </w:pPr>
          </w:p>
        </w:tc>
        <w:tc>
          <w:tcPr>
            <w:tcW w:w="1134" w:type="dxa"/>
            <w:tcBorders>
              <w:top w:val="nil"/>
              <w:left w:val="nil"/>
              <w:bottom w:val="nil"/>
              <w:right w:val="nil"/>
            </w:tcBorders>
            <w:shd w:val="clear" w:color="auto" w:fill="auto"/>
          </w:tcPr>
          <w:p w14:paraId="047BD18A" w14:textId="77777777" w:rsidR="008603FC" w:rsidRPr="00FF2E6C" w:rsidRDefault="008603FC"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8"/>
                <w:szCs w:val="8"/>
                <w:lang w:eastAsia="en-IE"/>
              </w:rPr>
            </w:pPr>
          </w:p>
        </w:tc>
        <w:tc>
          <w:tcPr>
            <w:tcW w:w="1134" w:type="dxa"/>
            <w:tcBorders>
              <w:top w:val="nil"/>
              <w:left w:val="nil"/>
              <w:bottom w:val="nil"/>
              <w:right w:val="nil"/>
            </w:tcBorders>
            <w:shd w:val="clear" w:color="auto" w:fill="auto"/>
          </w:tcPr>
          <w:p w14:paraId="1D224FCF" w14:textId="77777777" w:rsidR="008603FC" w:rsidRPr="00FF2E6C" w:rsidRDefault="008603FC"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8"/>
                <w:szCs w:val="8"/>
                <w:lang w:eastAsia="en-IE"/>
              </w:rPr>
            </w:pPr>
          </w:p>
        </w:tc>
        <w:tc>
          <w:tcPr>
            <w:tcW w:w="1134" w:type="dxa"/>
            <w:tcBorders>
              <w:top w:val="nil"/>
              <w:left w:val="nil"/>
              <w:bottom w:val="nil"/>
              <w:right w:val="single" w:sz="4" w:space="0" w:color="auto"/>
            </w:tcBorders>
          </w:tcPr>
          <w:p w14:paraId="485C8646" w14:textId="77777777" w:rsidR="008603FC" w:rsidRPr="00FF2E6C" w:rsidRDefault="008603FC"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8"/>
                <w:szCs w:val="8"/>
                <w:lang w:eastAsia="en-IE"/>
              </w:rPr>
            </w:pPr>
          </w:p>
        </w:tc>
      </w:tr>
      <w:tr w:rsidR="004B7E5E" w:rsidRPr="00E40E55" w14:paraId="0F8326B1" w14:textId="77777777" w:rsidTr="002B33EA">
        <w:trPr>
          <w:trHeight w:val="70"/>
        </w:trPr>
        <w:tc>
          <w:tcPr>
            <w:tcW w:w="3969" w:type="dxa"/>
            <w:tcBorders>
              <w:top w:val="nil"/>
              <w:left w:val="single" w:sz="4" w:space="0" w:color="auto"/>
              <w:bottom w:val="nil"/>
              <w:right w:val="nil"/>
            </w:tcBorders>
          </w:tcPr>
          <w:p w14:paraId="3AF8FE7F" w14:textId="77777777" w:rsidR="004B7E5E" w:rsidRPr="00E40E5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Product and technology</w:t>
            </w:r>
          </w:p>
        </w:tc>
        <w:tc>
          <w:tcPr>
            <w:tcW w:w="1134" w:type="dxa"/>
            <w:tcBorders>
              <w:top w:val="nil"/>
              <w:left w:val="nil"/>
              <w:bottom w:val="nil"/>
              <w:right w:val="nil"/>
            </w:tcBorders>
            <w:shd w:val="clear" w:color="auto" w:fill="auto"/>
          </w:tcPr>
          <w:p w14:paraId="7D482F2A" w14:textId="04E96E20"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(6)</w:t>
            </w:r>
          </w:p>
        </w:tc>
        <w:tc>
          <w:tcPr>
            <w:tcW w:w="1134" w:type="dxa"/>
            <w:tcBorders>
              <w:top w:val="nil"/>
              <w:left w:val="nil"/>
              <w:bottom w:val="nil"/>
              <w:right w:val="nil"/>
            </w:tcBorders>
            <w:shd w:val="clear" w:color="auto" w:fill="auto"/>
          </w:tcPr>
          <w:p w14:paraId="55466713" w14:textId="36C754A3" w:rsidR="004B7E5E" w:rsidRPr="00E40E5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BD2D18">
              <w:rPr>
                <w:rFonts w:asciiTheme="minorHAnsi" w:hAnsiTheme="minorHAnsi" w:cs="Times New Roman"/>
                <w:lang w:eastAsia="en-IE"/>
              </w:rPr>
              <w:t>(6)</w:t>
            </w:r>
          </w:p>
        </w:tc>
        <w:tc>
          <w:tcPr>
            <w:tcW w:w="1134" w:type="dxa"/>
            <w:tcBorders>
              <w:top w:val="nil"/>
              <w:left w:val="nil"/>
              <w:bottom w:val="nil"/>
              <w:right w:val="single" w:sz="4" w:space="0" w:color="auto"/>
            </w:tcBorders>
          </w:tcPr>
          <w:p w14:paraId="08ED37D2" w14:textId="4E961574"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+5%</w:t>
            </w:r>
          </w:p>
        </w:tc>
      </w:tr>
      <w:tr w:rsidR="004B7E5E" w:rsidRPr="00E40E55" w14:paraId="5F10858D" w14:textId="77777777" w:rsidTr="002B33EA">
        <w:trPr>
          <w:trHeight w:val="70"/>
        </w:trPr>
        <w:tc>
          <w:tcPr>
            <w:tcW w:w="3969" w:type="dxa"/>
            <w:tcBorders>
              <w:top w:val="nil"/>
              <w:left w:val="single" w:sz="4" w:space="0" w:color="auto"/>
              <w:bottom w:val="nil"/>
              <w:right w:val="nil"/>
            </w:tcBorders>
          </w:tcPr>
          <w:p w14:paraId="35701F01" w14:textId="77777777" w:rsidR="004B7E5E" w:rsidRPr="00E40E5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Operations</w:t>
            </w:r>
          </w:p>
        </w:tc>
        <w:tc>
          <w:tcPr>
            <w:tcW w:w="1134" w:type="dxa"/>
            <w:tcBorders>
              <w:top w:val="nil"/>
              <w:left w:val="nil"/>
              <w:bottom w:val="nil"/>
              <w:right w:val="nil"/>
            </w:tcBorders>
            <w:shd w:val="clear" w:color="auto" w:fill="auto"/>
          </w:tcPr>
          <w:p w14:paraId="296246E0" w14:textId="0A327CF9"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(175)</w:t>
            </w:r>
          </w:p>
        </w:tc>
        <w:tc>
          <w:tcPr>
            <w:tcW w:w="1134" w:type="dxa"/>
            <w:tcBorders>
              <w:top w:val="nil"/>
              <w:left w:val="nil"/>
              <w:bottom w:val="nil"/>
              <w:right w:val="nil"/>
            </w:tcBorders>
            <w:shd w:val="clear" w:color="auto" w:fill="auto"/>
          </w:tcPr>
          <w:p w14:paraId="3A45CD3A" w14:textId="1806D4DF" w:rsidR="004B7E5E" w:rsidRPr="00E40E5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BD2D18">
              <w:rPr>
                <w:rFonts w:asciiTheme="minorHAnsi" w:hAnsiTheme="minorHAnsi" w:cs="Times New Roman"/>
                <w:lang w:eastAsia="en-IE"/>
              </w:rPr>
              <w:t>(174)</w:t>
            </w:r>
          </w:p>
        </w:tc>
        <w:tc>
          <w:tcPr>
            <w:tcW w:w="1134" w:type="dxa"/>
            <w:tcBorders>
              <w:top w:val="nil"/>
              <w:left w:val="nil"/>
              <w:bottom w:val="nil"/>
              <w:right w:val="single" w:sz="4" w:space="0" w:color="auto"/>
            </w:tcBorders>
          </w:tcPr>
          <w:p w14:paraId="22DEF959" w14:textId="6EC1EF8F"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w:t>
            </w:r>
          </w:p>
        </w:tc>
      </w:tr>
      <w:tr w:rsidR="004B7E5E" w:rsidRPr="00E40E55" w14:paraId="3066E44C" w14:textId="77777777" w:rsidTr="002B33EA">
        <w:trPr>
          <w:trHeight w:val="70"/>
        </w:trPr>
        <w:tc>
          <w:tcPr>
            <w:tcW w:w="3969" w:type="dxa"/>
            <w:tcBorders>
              <w:top w:val="nil"/>
              <w:left w:val="single" w:sz="4" w:space="0" w:color="auto"/>
              <w:bottom w:val="nil"/>
              <w:right w:val="nil"/>
            </w:tcBorders>
          </w:tcPr>
          <w:p w14:paraId="17E0513C" w14:textId="6789C884" w:rsidR="004B7E5E" w:rsidRPr="00E40E55" w:rsidRDefault="00154BB7"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 xml:space="preserve">Other </w:t>
            </w:r>
            <w:r w:rsidR="004B7E5E">
              <w:rPr>
                <w:rFonts w:asciiTheme="minorHAnsi" w:hAnsiTheme="minorHAnsi" w:cs="Times New Roman"/>
                <w:lang w:eastAsia="en-IE"/>
              </w:rPr>
              <w:t>operating costs</w:t>
            </w:r>
          </w:p>
        </w:tc>
        <w:tc>
          <w:tcPr>
            <w:tcW w:w="1134" w:type="dxa"/>
            <w:tcBorders>
              <w:top w:val="single" w:sz="4" w:space="0" w:color="auto"/>
              <w:left w:val="nil"/>
              <w:bottom w:val="single" w:sz="4" w:space="0" w:color="auto"/>
              <w:right w:val="nil"/>
            </w:tcBorders>
            <w:shd w:val="clear" w:color="auto" w:fill="auto"/>
          </w:tcPr>
          <w:p w14:paraId="13992A90" w14:textId="2BDE4C31"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(18</w:t>
            </w:r>
            <w:r w:rsidR="001350DC">
              <w:rPr>
                <w:rFonts w:asciiTheme="minorHAnsi" w:hAnsiTheme="minorHAnsi" w:cs="Times New Roman"/>
                <w:lang w:eastAsia="en-IE"/>
              </w:rPr>
              <w:t>2</w:t>
            </w:r>
            <w:r>
              <w:rPr>
                <w:rFonts w:asciiTheme="minorHAnsi" w:hAnsiTheme="minorHAnsi" w:cs="Times New Roman"/>
                <w:lang w:eastAsia="en-IE"/>
              </w:rPr>
              <w:t>)</w:t>
            </w:r>
          </w:p>
        </w:tc>
        <w:tc>
          <w:tcPr>
            <w:tcW w:w="1134" w:type="dxa"/>
            <w:tcBorders>
              <w:top w:val="single" w:sz="4" w:space="0" w:color="auto"/>
              <w:left w:val="nil"/>
              <w:bottom w:val="single" w:sz="4" w:space="0" w:color="auto"/>
              <w:right w:val="nil"/>
            </w:tcBorders>
            <w:shd w:val="clear" w:color="auto" w:fill="auto"/>
          </w:tcPr>
          <w:p w14:paraId="76029FE4" w14:textId="0A1DBE48" w:rsidR="004B7E5E" w:rsidRPr="00E40E5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BD2D18">
              <w:rPr>
                <w:rFonts w:asciiTheme="minorHAnsi" w:hAnsiTheme="minorHAnsi" w:cs="Times New Roman"/>
                <w:lang w:eastAsia="en-IE"/>
              </w:rPr>
              <w:t>(18</w:t>
            </w:r>
            <w:r w:rsidR="001350DC">
              <w:rPr>
                <w:rFonts w:asciiTheme="minorHAnsi" w:hAnsiTheme="minorHAnsi" w:cs="Times New Roman"/>
                <w:lang w:eastAsia="en-IE"/>
              </w:rPr>
              <w:t>0</w:t>
            </w:r>
            <w:r w:rsidRPr="00BD2D18">
              <w:rPr>
                <w:rFonts w:asciiTheme="minorHAnsi" w:hAnsiTheme="minorHAnsi" w:cs="Times New Roman"/>
                <w:lang w:eastAsia="en-IE"/>
              </w:rPr>
              <w:t>)</w:t>
            </w:r>
          </w:p>
        </w:tc>
        <w:tc>
          <w:tcPr>
            <w:tcW w:w="1134" w:type="dxa"/>
            <w:tcBorders>
              <w:top w:val="single" w:sz="4" w:space="0" w:color="auto"/>
              <w:left w:val="nil"/>
              <w:bottom w:val="single" w:sz="4" w:space="0" w:color="auto"/>
              <w:right w:val="single" w:sz="4" w:space="0" w:color="auto"/>
            </w:tcBorders>
          </w:tcPr>
          <w:p w14:paraId="5DBCD5E7" w14:textId="21103AC9"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w:t>
            </w:r>
          </w:p>
        </w:tc>
      </w:tr>
      <w:tr w:rsidR="004B7E5E" w:rsidRPr="00E40E55" w14:paraId="4567C217" w14:textId="77777777" w:rsidTr="002B33EA">
        <w:trPr>
          <w:trHeight w:val="70"/>
        </w:trPr>
        <w:tc>
          <w:tcPr>
            <w:tcW w:w="3969" w:type="dxa"/>
            <w:tcBorders>
              <w:top w:val="nil"/>
              <w:left w:val="single" w:sz="4" w:space="0" w:color="auto"/>
              <w:bottom w:val="nil"/>
              <w:right w:val="nil"/>
            </w:tcBorders>
          </w:tcPr>
          <w:p w14:paraId="7651083B" w14:textId="77777777" w:rsidR="004B7E5E" w:rsidRPr="004C7C0F"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sz w:val="6"/>
                <w:szCs w:val="6"/>
                <w:lang w:eastAsia="en-IE"/>
              </w:rPr>
            </w:pPr>
          </w:p>
        </w:tc>
        <w:tc>
          <w:tcPr>
            <w:tcW w:w="1134" w:type="dxa"/>
            <w:tcBorders>
              <w:top w:val="single" w:sz="4" w:space="0" w:color="auto"/>
              <w:left w:val="nil"/>
              <w:bottom w:val="nil"/>
              <w:right w:val="nil"/>
            </w:tcBorders>
            <w:shd w:val="clear" w:color="auto" w:fill="auto"/>
          </w:tcPr>
          <w:p w14:paraId="1DB5AA5C" w14:textId="77777777"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1134" w:type="dxa"/>
            <w:tcBorders>
              <w:top w:val="single" w:sz="4" w:space="0" w:color="auto"/>
              <w:left w:val="nil"/>
              <w:bottom w:val="nil"/>
              <w:right w:val="nil"/>
            </w:tcBorders>
            <w:shd w:val="clear" w:color="auto" w:fill="auto"/>
          </w:tcPr>
          <w:p w14:paraId="5D5546B0" w14:textId="77777777" w:rsidR="004B7E5E" w:rsidRPr="004C7C0F"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lang w:eastAsia="en-IE"/>
              </w:rPr>
            </w:pPr>
          </w:p>
        </w:tc>
        <w:tc>
          <w:tcPr>
            <w:tcW w:w="1134" w:type="dxa"/>
            <w:tcBorders>
              <w:top w:val="single" w:sz="4" w:space="0" w:color="auto"/>
              <w:left w:val="nil"/>
              <w:bottom w:val="nil"/>
              <w:right w:val="single" w:sz="4" w:space="0" w:color="auto"/>
            </w:tcBorders>
          </w:tcPr>
          <w:p w14:paraId="2B85C1C7" w14:textId="77777777" w:rsidR="004B7E5E" w:rsidRPr="0038204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6"/>
                <w:szCs w:val="6"/>
                <w:highlight w:val="yellow"/>
                <w:lang w:eastAsia="en-IE"/>
              </w:rPr>
            </w:pPr>
          </w:p>
        </w:tc>
      </w:tr>
      <w:tr w:rsidR="004B7E5E" w:rsidRPr="00443C47" w14:paraId="17B5905A" w14:textId="77777777" w:rsidTr="002B33EA">
        <w:trPr>
          <w:trHeight w:val="70"/>
        </w:trPr>
        <w:tc>
          <w:tcPr>
            <w:tcW w:w="3969" w:type="dxa"/>
            <w:tcBorders>
              <w:top w:val="nil"/>
              <w:left w:val="single" w:sz="4" w:space="0" w:color="auto"/>
              <w:bottom w:val="nil"/>
              <w:right w:val="nil"/>
            </w:tcBorders>
          </w:tcPr>
          <w:p w14:paraId="388DBB2E" w14:textId="791E1E77" w:rsidR="004B7E5E" w:rsidRPr="004C7C0F"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C7C0F">
              <w:rPr>
                <w:rFonts w:asciiTheme="minorHAnsi" w:hAnsiTheme="minorHAnsi" w:cs="Times New Roman"/>
                <w:b/>
                <w:lang w:eastAsia="en-IE"/>
              </w:rPr>
              <w:t>Underlying EBITDA</w:t>
            </w:r>
            <w:r w:rsidRPr="00ED3B08">
              <w:rPr>
                <w:rFonts w:asciiTheme="minorHAnsi" w:hAnsiTheme="minorHAnsi"/>
                <w:i/>
                <w:sz w:val="22"/>
                <w:szCs w:val="22"/>
                <w:vertAlign w:val="superscript"/>
              </w:rPr>
              <w:t>1,2</w:t>
            </w:r>
          </w:p>
        </w:tc>
        <w:tc>
          <w:tcPr>
            <w:tcW w:w="1134" w:type="dxa"/>
            <w:tcBorders>
              <w:top w:val="nil"/>
              <w:left w:val="nil"/>
              <w:bottom w:val="nil"/>
              <w:right w:val="nil"/>
            </w:tcBorders>
            <w:shd w:val="clear" w:color="auto" w:fill="auto"/>
          </w:tcPr>
          <w:p w14:paraId="3052B0D9" w14:textId="332E1ECF"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53</w:t>
            </w:r>
          </w:p>
        </w:tc>
        <w:tc>
          <w:tcPr>
            <w:tcW w:w="1134" w:type="dxa"/>
            <w:tcBorders>
              <w:top w:val="nil"/>
              <w:left w:val="nil"/>
              <w:bottom w:val="nil"/>
              <w:right w:val="nil"/>
            </w:tcBorders>
            <w:shd w:val="clear" w:color="auto" w:fill="auto"/>
          </w:tcPr>
          <w:p w14:paraId="6F574634" w14:textId="6A8D808A" w:rsidR="004B7E5E" w:rsidRPr="004C7C0F"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BD2D18">
              <w:rPr>
                <w:rFonts w:asciiTheme="minorHAnsi" w:hAnsiTheme="minorHAnsi" w:cs="Times New Roman"/>
                <w:b/>
                <w:lang w:eastAsia="en-IE"/>
              </w:rPr>
              <w:t>72</w:t>
            </w:r>
          </w:p>
        </w:tc>
        <w:tc>
          <w:tcPr>
            <w:tcW w:w="1134" w:type="dxa"/>
            <w:tcBorders>
              <w:top w:val="nil"/>
              <w:left w:val="nil"/>
              <w:bottom w:val="nil"/>
              <w:right w:val="single" w:sz="4" w:space="0" w:color="auto"/>
            </w:tcBorders>
          </w:tcPr>
          <w:p w14:paraId="022D1CC6" w14:textId="06ABF1FC"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-26%</w:t>
            </w:r>
          </w:p>
        </w:tc>
      </w:tr>
      <w:tr w:rsidR="008603FC" w:rsidRPr="00443C47" w14:paraId="28A48CCB" w14:textId="77777777" w:rsidTr="002B33EA">
        <w:trPr>
          <w:trHeight w:val="70"/>
        </w:trPr>
        <w:tc>
          <w:tcPr>
            <w:tcW w:w="3969" w:type="dxa"/>
            <w:tcBorders>
              <w:top w:val="nil"/>
              <w:left w:val="single" w:sz="4" w:space="0" w:color="auto"/>
              <w:bottom w:val="nil"/>
              <w:right w:val="nil"/>
            </w:tcBorders>
          </w:tcPr>
          <w:p w14:paraId="4D497A98" w14:textId="4A88574B" w:rsidR="008603FC" w:rsidRPr="00B32CCA" w:rsidRDefault="003D5E9F"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Underlying</w:t>
            </w:r>
            <w:r>
              <w:rPr>
                <w:rFonts w:asciiTheme="minorHAnsi" w:hAnsiTheme="minorHAnsi" w:cs="Times New Roman"/>
                <w:i/>
                <w:sz w:val="18"/>
                <w:szCs w:val="18"/>
                <w:lang w:eastAsia="en-IE"/>
              </w:rPr>
              <w:t xml:space="preserve"> </w:t>
            </w:r>
            <w:r w:rsidRPr="00B32CCA">
              <w:rPr>
                <w:rFonts w:asciiTheme="minorHAnsi" w:hAnsiTheme="minorHAnsi" w:cs="Times New Roman"/>
                <w:i/>
                <w:sz w:val="18"/>
                <w:szCs w:val="18"/>
                <w:lang w:eastAsia="en-IE"/>
              </w:rPr>
              <w:t>EBITDA</w:t>
            </w:r>
            <w:r>
              <w:rPr>
                <w:rFonts w:asciiTheme="minorHAnsi" w:hAnsiTheme="minorHAnsi"/>
                <w:i/>
                <w:sz w:val="18"/>
                <w:szCs w:val="18"/>
                <w:vertAlign w:val="superscript"/>
              </w:rPr>
              <w:t>1,2</w:t>
            </w:r>
            <w:r w:rsidRPr="00B32CCA">
              <w:rPr>
                <w:rFonts w:asciiTheme="minorHAnsi" w:hAnsiTheme="minorHAnsi" w:cs="Times New Roman"/>
                <w:i/>
                <w:sz w:val="18"/>
                <w:szCs w:val="18"/>
                <w:lang w:eastAsia="en-IE"/>
              </w:rPr>
              <w:t xml:space="preserve"> margin</w:t>
            </w:r>
          </w:p>
        </w:tc>
        <w:tc>
          <w:tcPr>
            <w:tcW w:w="1134" w:type="dxa"/>
            <w:tcBorders>
              <w:top w:val="nil"/>
              <w:left w:val="nil"/>
              <w:bottom w:val="nil"/>
              <w:right w:val="nil"/>
            </w:tcBorders>
            <w:shd w:val="clear" w:color="auto" w:fill="auto"/>
          </w:tcPr>
          <w:p w14:paraId="16F0EAE5" w14:textId="00870B02" w:rsidR="008603FC" w:rsidRPr="00B32CCA" w:rsidRDefault="008603FC"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17.1%</w:t>
            </w:r>
          </w:p>
        </w:tc>
        <w:tc>
          <w:tcPr>
            <w:tcW w:w="1134" w:type="dxa"/>
            <w:tcBorders>
              <w:top w:val="nil"/>
              <w:left w:val="nil"/>
              <w:bottom w:val="nil"/>
              <w:right w:val="nil"/>
            </w:tcBorders>
            <w:shd w:val="clear" w:color="auto" w:fill="auto"/>
          </w:tcPr>
          <w:p w14:paraId="33700638" w14:textId="1CAAA516" w:rsidR="008603FC" w:rsidRPr="00B32CCA" w:rsidRDefault="008603FC"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21.6%</w:t>
            </w:r>
          </w:p>
        </w:tc>
        <w:tc>
          <w:tcPr>
            <w:tcW w:w="1134" w:type="dxa"/>
            <w:tcBorders>
              <w:top w:val="nil"/>
              <w:left w:val="nil"/>
              <w:bottom w:val="nil"/>
              <w:right w:val="single" w:sz="4" w:space="0" w:color="auto"/>
            </w:tcBorders>
          </w:tcPr>
          <w:p w14:paraId="6BAB6091" w14:textId="3E6A4933" w:rsidR="008603FC" w:rsidRPr="00B32CCA" w:rsidRDefault="008603FC"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8"/>
                <w:szCs w:val="18"/>
                <w:lang w:eastAsia="en-IE"/>
              </w:rPr>
            </w:pPr>
            <w:r w:rsidRPr="00B32CCA">
              <w:rPr>
                <w:rFonts w:asciiTheme="minorHAnsi" w:hAnsiTheme="minorHAnsi" w:cs="Times New Roman"/>
                <w:i/>
                <w:sz w:val="18"/>
                <w:szCs w:val="18"/>
                <w:lang w:eastAsia="en-IE"/>
              </w:rPr>
              <w:t>-450bps</w:t>
            </w:r>
          </w:p>
        </w:tc>
      </w:tr>
      <w:tr w:rsidR="004B7E5E" w:rsidRPr="001F75A8" w14:paraId="6A62B23B" w14:textId="77777777" w:rsidTr="002B33EA">
        <w:trPr>
          <w:trHeight w:val="70"/>
        </w:trPr>
        <w:tc>
          <w:tcPr>
            <w:tcW w:w="3969" w:type="dxa"/>
            <w:tcBorders>
              <w:top w:val="nil"/>
              <w:left w:val="single" w:sz="4" w:space="0" w:color="auto"/>
              <w:bottom w:val="nil"/>
              <w:right w:val="nil"/>
            </w:tcBorders>
          </w:tcPr>
          <w:p w14:paraId="2B6F9DEC" w14:textId="77777777" w:rsidR="004B7E5E" w:rsidRPr="00220D66"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134" w:type="dxa"/>
            <w:tcBorders>
              <w:top w:val="nil"/>
              <w:left w:val="nil"/>
              <w:bottom w:val="nil"/>
              <w:right w:val="nil"/>
            </w:tcBorders>
            <w:shd w:val="clear" w:color="auto" w:fill="auto"/>
          </w:tcPr>
          <w:p w14:paraId="740A2D50" w14:textId="77777777" w:rsidR="004B7E5E" w:rsidRPr="0038798E"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134" w:type="dxa"/>
            <w:tcBorders>
              <w:top w:val="nil"/>
              <w:left w:val="nil"/>
              <w:bottom w:val="nil"/>
              <w:right w:val="nil"/>
            </w:tcBorders>
            <w:shd w:val="clear" w:color="auto" w:fill="auto"/>
          </w:tcPr>
          <w:p w14:paraId="45795A50" w14:textId="77777777" w:rsidR="004B7E5E" w:rsidRPr="008603FC"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134" w:type="dxa"/>
            <w:tcBorders>
              <w:top w:val="nil"/>
              <w:left w:val="nil"/>
              <w:bottom w:val="nil"/>
              <w:right w:val="single" w:sz="4" w:space="0" w:color="auto"/>
            </w:tcBorders>
          </w:tcPr>
          <w:p w14:paraId="5B8A7977" w14:textId="77777777" w:rsidR="004B7E5E" w:rsidRPr="008603FC"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4B7E5E" w:rsidRPr="00B03B43" w14:paraId="54E676FC" w14:textId="77777777" w:rsidTr="002B33EA">
        <w:trPr>
          <w:trHeight w:val="70"/>
        </w:trPr>
        <w:tc>
          <w:tcPr>
            <w:tcW w:w="3969" w:type="dxa"/>
            <w:tcBorders>
              <w:top w:val="nil"/>
              <w:left w:val="single" w:sz="4" w:space="0" w:color="auto"/>
              <w:bottom w:val="nil"/>
              <w:right w:val="nil"/>
            </w:tcBorders>
          </w:tcPr>
          <w:p w14:paraId="675C5FC4" w14:textId="77777777" w:rsidR="004B7E5E" w:rsidRPr="00B03B43"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Depreciation and amortisation</w:t>
            </w:r>
          </w:p>
        </w:tc>
        <w:tc>
          <w:tcPr>
            <w:tcW w:w="1134" w:type="dxa"/>
            <w:tcBorders>
              <w:top w:val="nil"/>
              <w:left w:val="nil"/>
              <w:bottom w:val="single" w:sz="4" w:space="0" w:color="auto"/>
              <w:right w:val="nil"/>
            </w:tcBorders>
            <w:shd w:val="clear" w:color="auto" w:fill="auto"/>
          </w:tcPr>
          <w:p w14:paraId="5DD2D657" w14:textId="0B60BA67"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 xml:space="preserve"> (22)</w:t>
            </w:r>
          </w:p>
        </w:tc>
        <w:tc>
          <w:tcPr>
            <w:tcW w:w="1134" w:type="dxa"/>
            <w:tcBorders>
              <w:top w:val="nil"/>
              <w:left w:val="nil"/>
              <w:bottom w:val="single" w:sz="4" w:space="0" w:color="auto"/>
              <w:right w:val="nil"/>
            </w:tcBorders>
            <w:shd w:val="clear" w:color="auto" w:fill="auto"/>
          </w:tcPr>
          <w:p w14:paraId="7C75B645" w14:textId="51892D6F" w:rsidR="004B7E5E" w:rsidRPr="00B03B43"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BD2D18">
              <w:rPr>
                <w:rFonts w:asciiTheme="minorHAnsi" w:hAnsiTheme="minorHAnsi" w:cs="Times New Roman"/>
                <w:lang w:eastAsia="en-IE"/>
              </w:rPr>
              <w:t>(21)</w:t>
            </w:r>
          </w:p>
        </w:tc>
        <w:tc>
          <w:tcPr>
            <w:tcW w:w="1134" w:type="dxa"/>
            <w:tcBorders>
              <w:top w:val="nil"/>
              <w:left w:val="nil"/>
              <w:bottom w:val="single" w:sz="4" w:space="0" w:color="auto"/>
              <w:right w:val="single" w:sz="4" w:space="0" w:color="auto"/>
            </w:tcBorders>
          </w:tcPr>
          <w:p w14:paraId="4ADE8022" w14:textId="0D6F1689"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+4%</w:t>
            </w:r>
          </w:p>
        </w:tc>
      </w:tr>
      <w:tr w:rsidR="004B7E5E" w:rsidRPr="001F75A8" w14:paraId="5A6E6261" w14:textId="77777777" w:rsidTr="002B33EA">
        <w:trPr>
          <w:trHeight w:val="70"/>
        </w:trPr>
        <w:tc>
          <w:tcPr>
            <w:tcW w:w="3969" w:type="dxa"/>
            <w:tcBorders>
              <w:top w:val="nil"/>
              <w:left w:val="single" w:sz="4" w:space="0" w:color="auto"/>
              <w:bottom w:val="nil"/>
              <w:right w:val="nil"/>
            </w:tcBorders>
          </w:tcPr>
          <w:p w14:paraId="286F8B33" w14:textId="77777777" w:rsidR="004B7E5E" w:rsidRPr="00220D66"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6"/>
                <w:szCs w:val="6"/>
                <w:lang w:eastAsia="en-IE"/>
              </w:rPr>
            </w:pPr>
          </w:p>
        </w:tc>
        <w:tc>
          <w:tcPr>
            <w:tcW w:w="1134" w:type="dxa"/>
            <w:tcBorders>
              <w:top w:val="single" w:sz="4" w:space="0" w:color="auto"/>
              <w:left w:val="nil"/>
              <w:bottom w:val="nil"/>
              <w:right w:val="nil"/>
            </w:tcBorders>
            <w:shd w:val="clear" w:color="auto" w:fill="auto"/>
          </w:tcPr>
          <w:p w14:paraId="5A3BDB59" w14:textId="77777777"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134" w:type="dxa"/>
            <w:tcBorders>
              <w:top w:val="single" w:sz="4" w:space="0" w:color="auto"/>
              <w:left w:val="nil"/>
              <w:bottom w:val="nil"/>
              <w:right w:val="nil"/>
            </w:tcBorders>
            <w:shd w:val="clear" w:color="auto" w:fill="auto"/>
          </w:tcPr>
          <w:p w14:paraId="455ACB89" w14:textId="77777777" w:rsidR="004B7E5E" w:rsidRPr="00220D66"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c>
          <w:tcPr>
            <w:tcW w:w="1134" w:type="dxa"/>
            <w:tcBorders>
              <w:top w:val="single" w:sz="4" w:space="0" w:color="auto"/>
              <w:left w:val="nil"/>
              <w:bottom w:val="nil"/>
              <w:right w:val="single" w:sz="4" w:space="0" w:color="auto"/>
            </w:tcBorders>
          </w:tcPr>
          <w:p w14:paraId="473F1751" w14:textId="77777777"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p>
        </w:tc>
      </w:tr>
      <w:tr w:rsidR="004B7E5E" w:rsidRPr="00443C47" w14:paraId="0E7AE47B" w14:textId="77777777" w:rsidTr="002B33EA">
        <w:trPr>
          <w:trHeight w:val="70"/>
        </w:trPr>
        <w:tc>
          <w:tcPr>
            <w:tcW w:w="3969" w:type="dxa"/>
            <w:tcBorders>
              <w:top w:val="nil"/>
              <w:left w:val="single" w:sz="4" w:space="0" w:color="auto"/>
              <w:bottom w:val="nil"/>
              <w:right w:val="nil"/>
            </w:tcBorders>
          </w:tcPr>
          <w:p w14:paraId="57C108EA" w14:textId="626682A3" w:rsidR="004B7E5E" w:rsidRPr="004C7C0F"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lang w:eastAsia="en-IE"/>
              </w:rPr>
            </w:pPr>
            <w:r w:rsidRPr="004C7C0F">
              <w:rPr>
                <w:rFonts w:asciiTheme="minorHAnsi" w:hAnsiTheme="minorHAnsi" w:cs="Times New Roman"/>
                <w:b/>
                <w:lang w:eastAsia="en-IE"/>
              </w:rPr>
              <w:t>Underlying</w:t>
            </w:r>
            <w:r>
              <w:rPr>
                <w:rFonts w:asciiTheme="minorHAnsi" w:hAnsiTheme="minorHAnsi"/>
                <w:i/>
                <w:sz w:val="18"/>
                <w:szCs w:val="18"/>
                <w:vertAlign w:val="superscript"/>
              </w:rPr>
              <w:t>1</w:t>
            </w:r>
            <w:r w:rsidRPr="004C7C0F">
              <w:rPr>
                <w:rFonts w:asciiTheme="minorHAnsi" w:hAnsiTheme="minorHAnsi" w:cs="Times New Roman"/>
                <w:b/>
                <w:lang w:eastAsia="en-IE"/>
              </w:rPr>
              <w:t xml:space="preserve"> operating profit</w:t>
            </w:r>
          </w:p>
        </w:tc>
        <w:tc>
          <w:tcPr>
            <w:tcW w:w="1134" w:type="dxa"/>
            <w:tcBorders>
              <w:top w:val="nil"/>
              <w:left w:val="nil"/>
              <w:bottom w:val="single" w:sz="4" w:space="0" w:color="auto"/>
              <w:right w:val="nil"/>
            </w:tcBorders>
            <w:shd w:val="clear" w:color="auto" w:fill="auto"/>
          </w:tcPr>
          <w:p w14:paraId="237FE582" w14:textId="18DBB4AC"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32</w:t>
            </w:r>
          </w:p>
        </w:tc>
        <w:tc>
          <w:tcPr>
            <w:tcW w:w="1134" w:type="dxa"/>
            <w:tcBorders>
              <w:top w:val="nil"/>
              <w:left w:val="nil"/>
              <w:bottom w:val="single" w:sz="4" w:space="0" w:color="auto"/>
              <w:right w:val="nil"/>
            </w:tcBorders>
            <w:shd w:val="clear" w:color="auto" w:fill="auto"/>
          </w:tcPr>
          <w:p w14:paraId="7C94604C" w14:textId="16A0EC78" w:rsidR="004B7E5E" w:rsidRPr="004C7C0F"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BD2D18">
              <w:rPr>
                <w:rFonts w:asciiTheme="minorHAnsi" w:hAnsiTheme="minorHAnsi" w:cs="Times New Roman"/>
                <w:b/>
                <w:lang w:eastAsia="en-IE"/>
              </w:rPr>
              <w:t>51</w:t>
            </w:r>
          </w:p>
        </w:tc>
        <w:tc>
          <w:tcPr>
            <w:tcW w:w="1134" w:type="dxa"/>
            <w:tcBorders>
              <w:top w:val="nil"/>
              <w:left w:val="nil"/>
              <w:bottom w:val="single" w:sz="4" w:space="0" w:color="auto"/>
              <w:right w:val="single" w:sz="4" w:space="0" w:color="auto"/>
            </w:tcBorders>
          </w:tcPr>
          <w:p w14:paraId="633F4D07" w14:textId="79C02BE8" w:rsidR="004B7E5E" w:rsidRPr="00BD2D18"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-38%</w:t>
            </w:r>
          </w:p>
        </w:tc>
      </w:tr>
      <w:tr w:rsidR="004B7E5E" w:rsidRPr="00443C47" w14:paraId="72EE805E" w14:textId="77777777" w:rsidTr="002B33EA">
        <w:trPr>
          <w:trHeight w:val="70"/>
        </w:trPr>
        <w:tc>
          <w:tcPr>
            <w:tcW w:w="3969" w:type="dxa"/>
            <w:tcBorders>
              <w:top w:val="nil"/>
              <w:left w:val="single" w:sz="4" w:space="0" w:color="auto"/>
              <w:bottom w:val="nil"/>
              <w:right w:val="nil"/>
            </w:tcBorders>
          </w:tcPr>
          <w:p w14:paraId="1B9BFB7B" w14:textId="77777777" w:rsidR="004B7E5E" w:rsidRPr="0086291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12"/>
                <w:szCs w:val="12"/>
                <w:lang w:eastAsia="en-IE"/>
              </w:rPr>
            </w:pPr>
          </w:p>
        </w:tc>
        <w:tc>
          <w:tcPr>
            <w:tcW w:w="1134" w:type="dxa"/>
            <w:tcBorders>
              <w:top w:val="single" w:sz="4" w:space="0" w:color="auto"/>
              <w:left w:val="nil"/>
              <w:bottom w:val="nil"/>
              <w:right w:val="nil"/>
            </w:tcBorders>
            <w:shd w:val="clear" w:color="auto" w:fill="auto"/>
          </w:tcPr>
          <w:p w14:paraId="4A0B6B62" w14:textId="77777777" w:rsidR="004B7E5E" w:rsidRPr="0038204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2"/>
                <w:szCs w:val="12"/>
                <w:highlight w:val="yellow"/>
                <w:lang w:eastAsia="en-IE"/>
              </w:rPr>
            </w:pPr>
          </w:p>
        </w:tc>
        <w:tc>
          <w:tcPr>
            <w:tcW w:w="1134" w:type="dxa"/>
            <w:tcBorders>
              <w:top w:val="single" w:sz="4" w:space="0" w:color="auto"/>
              <w:left w:val="nil"/>
              <w:bottom w:val="nil"/>
              <w:right w:val="nil"/>
            </w:tcBorders>
            <w:shd w:val="clear" w:color="auto" w:fill="auto"/>
          </w:tcPr>
          <w:p w14:paraId="3323764E" w14:textId="77777777" w:rsidR="004B7E5E" w:rsidRPr="0086291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2"/>
                <w:szCs w:val="12"/>
                <w:lang w:eastAsia="en-IE"/>
              </w:rPr>
            </w:pPr>
          </w:p>
        </w:tc>
        <w:tc>
          <w:tcPr>
            <w:tcW w:w="1134" w:type="dxa"/>
            <w:tcBorders>
              <w:top w:val="single" w:sz="4" w:space="0" w:color="auto"/>
              <w:left w:val="nil"/>
              <w:bottom w:val="nil"/>
              <w:right w:val="single" w:sz="4" w:space="0" w:color="auto"/>
            </w:tcBorders>
          </w:tcPr>
          <w:p w14:paraId="727E50CB" w14:textId="77777777" w:rsidR="004B7E5E" w:rsidRPr="0038204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2"/>
                <w:szCs w:val="12"/>
                <w:highlight w:val="yellow"/>
                <w:lang w:eastAsia="en-IE"/>
              </w:rPr>
            </w:pPr>
          </w:p>
        </w:tc>
      </w:tr>
      <w:tr w:rsidR="004B7E5E" w:rsidRPr="00443C47" w14:paraId="19749365" w14:textId="77777777" w:rsidTr="002B33EA">
        <w:trPr>
          <w:trHeight w:val="70"/>
        </w:trPr>
        <w:tc>
          <w:tcPr>
            <w:tcW w:w="3969" w:type="dxa"/>
            <w:tcBorders>
              <w:top w:val="nil"/>
              <w:left w:val="single" w:sz="4" w:space="0" w:color="auto"/>
              <w:bottom w:val="nil"/>
              <w:right w:val="nil"/>
            </w:tcBorders>
          </w:tcPr>
          <w:p w14:paraId="42BF8378" w14:textId="77777777" w:rsidR="004B7E5E" w:rsidRPr="00220D66"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Shops at year end</w:t>
            </w:r>
          </w:p>
        </w:tc>
        <w:tc>
          <w:tcPr>
            <w:tcW w:w="1134" w:type="dxa"/>
            <w:tcBorders>
              <w:top w:val="nil"/>
              <w:left w:val="nil"/>
              <w:bottom w:val="nil"/>
              <w:right w:val="nil"/>
            </w:tcBorders>
            <w:shd w:val="clear" w:color="auto" w:fill="auto"/>
          </w:tcPr>
          <w:p w14:paraId="48236D08" w14:textId="3FAEE740" w:rsidR="004B7E5E" w:rsidRPr="00382045"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highlight w:val="yellow"/>
                <w:lang w:eastAsia="en-IE"/>
              </w:rPr>
            </w:pPr>
            <w:r w:rsidRPr="003A5667">
              <w:rPr>
                <w:rFonts w:asciiTheme="minorHAnsi" w:hAnsiTheme="minorHAnsi" w:cs="Times New Roman"/>
                <w:lang w:eastAsia="en-IE"/>
              </w:rPr>
              <w:t>623</w:t>
            </w:r>
          </w:p>
        </w:tc>
        <w:tc>
          <w:tcPr>
            <w:tcW w:w="1134" w:type="dxa"/>
            <w:tcBorders>
              <w:top w:val="nil"/>
              <w:left w:val="nil"/>
              <w:bottom w:val="nil"/>
              <w:right w:val="nil"/>
            </w:tcBorders>
            <w:shd w:val="clear" w:color="auto" w:fill="auto"/>
          </w:tcPr>
          <w:p w14:paraId="121AAEF7" w14:textId="369C75B6" w:rsidR="004B7E5E"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976949">
              <w:rPr>
                <w:rFonts w:asciiTheme="minorHAnsi" w:hAnsiTheme="minorHAnsi" w:cs="Times New Roman"/>
                <w:lang w:eastAsia="en-IE"/>
              </w:rPr>
              <w:t>626</w:t>
            </w:r>
          </w:p>
        </w:tc>
        <w:tc>
          <w:tcPr>
            <w:tcW w:w="1134" w:type="dxa"/>
            <w:tcBorders>
              <w:top w:val="nil"/>
              <w:left w:val="nil"/>
              <w:bottom w:val="nil"/>
              <w:right w:val="single" w:sz="4" w:space="0" w:color="auto"/>
            </w:tcBorders>
          </w:tcPr>
          <w:p w14:paraId="24B6F227" w14:textId="321998C3" w:rsidR="004B7E5E" w:rsidRPr="00382045" w:rsidRDefault="00881508"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highlight w:val="yellow"/>
                <w:lang w:eastAsia="en-IE"/>
              </w:rPr>
            </w:pPr>
            <w:r>
              <w:rPr>
                <w:rFonts w:asciiTheme="minorHAnsi" w:hAnsiTheme="minorHAnsi" w:cs="Times New Roman"/>
                <w:lang w:eastAsia="en-IE"/>
              </w:rPr>
              <w:t>n/a</w:t>
            </w:r>
          </w:p>
        </w:tc>
      </w:tr>
      <w:tr w:rsidR="004B7E5E" w:rsidRPr="00355244" w14:paraId="164DCC9E" w14:textId="77777777" w:rsidTr="002B33EA">
        <w:trPr>
          <w:trHeight w:val="70"/>
        </w:trPr>
        <w:tc>
          <w:tcPr>
            <w:tcW w:w="3969" w:type="dxa"/>
            <w:tcBorders>
              <w:top w:val="nil"/>
              <w:left w:val="single" w:sz="4" w:space="0" w:color="auto"/>
              <w:bottom w:val="single" w:sz="4" w:space="0" w:color="auto"/>
              <w:right w:val="nil"/>
            </w:tcBorders>
          </w:tcPr>
          <w:p w14:paraId="28473946" w14:textId="77777777" w:rsidR="004B7E5E" w:rsidRPr="00355244"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4"/>
                <w:szCs w:val="4"/>
                <w:lang w:eastAsia="en-IE"/>
              </w:rPr>
            </w:pPr>
          </w:p>
        </w:tc>
        <w:tc>
          <w:tcPr>
            <w:tcW w:w="1134" w:type="dxa"/>
            <w:tcBorders>
              <w:top w:val="nil"/>
              <w:left w:val="nil"/>
              <w:bottom w:val="single" w:sz="4" w:space="0" w:color="auto"/>
              <w:right w:val="nil"/>
            </w:tcBorders>
            <w:shd w:val="clear" w:color="auto" w:fill="auto"/>
          </w:tcPr>
          <w:p w14:paraId="4F6CF304" w14:textId="77777777" w:rsidR="004B7E5E" w:rsidRPr="00355244"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1134" w:type="dxa"/>
            <w:tcBorders>
              <w:top w:val="nil"/>
              <w:left w:val="nil"/>
              <w:bottom w:val="single" w:sz="4" w:space="0" w:color="auto"/>
              <w:right w:val="nil"/>
            </w:tcBorders>
            <w:shd w:val="clear" w:color="auto" w:fill="auto"/>
          </w:tcPr>
          <w:p w14:paraId="21B3D053" w14:textId="77777777" w:rsidR="004B7E5E" w:rsidRPr="00355244"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1134" w:type="dxa"/>
            <w:tcBorders>
              <w:top w:val="nil"/>
              <w:left w:val="nil"/>
              <w:bottom w:val="single" w:sz="4" w:space="0" w:color="auto"/>
              <w:right w:val="single" w:sz="4" w:space="0" w:color="auto"/>
            </w:tcBorders>
          </w:tcPr>
          <w:p w14:paraId="0A4BBAE6" w14:textId="77777777" w:rsidR="004B7E5E" w:rsidRPr="00355244" w:rsidRDefault="004B7E5E" w:rsidP="004B7E5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r>
    </w:tbl>
    <w:p w14:paraId="421AE7A1" w14:textId="76A0C740" w:rsidR="002C6EAC" w:rsidRPr="004D5458" w:rsidRDefault="001E27CA" w:rsidP="000C7A56">
      <w:pPr>
        <w:spacing w:before="120" w:after="120"/>
        <w:jc w:val="both"/>
        <w:rPr>
          <w:rFonts w:asciiTheme="minorHAnsi" w:hAnsiTheme="minorHAnsi"/>
          <w:i/>
          <w:sz w:val="16"/>
          <w:szCs w:val="16"/>
        </w:rPr>
      </w:pPr>
      <w:bookmarkStart w:id="3" w:name="_Hlk1212589"/>
      <w:bookmarkStart w:id="4" w:name="_Hlk1548405"/>
      <w:r w:rsidRPr="004D5458">
        <w:rPr>
          <w:rFonts w:asciiTheme="minorHAnsi" w:hAnsiTheme="minorHAnsi"/>
          <w:i/>
          <w:sz w:val="16"/>
          <w:szCs w:val="16"/>
        </w:rPr>
        <w:t xml:space="preserve">Our </w:t>
      </w:r>
      <w:r w:rsidR="002C6EAC" w:rsidRPr="004D5458">
        <w:rPr>
          <w:rFonts w:asciiTheme="minorHAnsi" w:hAnsiTheme="minorHAnsi"/>
          <w:i/>
          <w:sz w:val="16"/>
          <w:szCs w:val="16"/>
        </w:rPr>
        <w:t xml:space="preserve">Retail division operates 623 Paddy Power betting shops across the UK and Ireland. </w:t>
      </w:r>
    </w:p>
    <w:p w14:paraId="5F93FD26" w14:textId="0B0B8C58" w:rsidR="001E27CA" w:rsidRPr="00E56186" w:rsidRDefault="000817FB" w:rsidP="002C6EAC">
      <w:pPr>
        <w:spacing w:after="120"/>
        <w:jc w:val="both"/>
        <w:rPr>
          <w:rFonts w:asciiTheme="minorHAnsi" w:hAnsiTheme="minorHAnsi"/>
          <w:sz w:val="22"/>
          <w:szCs w:val="22"/>
        </w:rPr>
      </w:pPr>
      <w:r>
        <w:rPr>
          <w:rFonts w:asciiTheme="minorHAnsi" w:hAnsiTheme="minorHAnsi"/>
          <w:sz w:val="22"/>
          <w:szCs w:val="22"/>
        </w:rPr>
        <w:t>In</w:t>
      </w:r>
      <w:r w:rsidRPr="00E56186">
        <w:rPr>
          <w:rFonts w:asciiTheme="minorHAnsi" w:hAnsiTheme="minorHAnsi"/>
          <w:sz w:val="22"/>
          <w:szCs w:val="22"/>
        </w:rPr>
        <w:t xml:space="preserve"> </w:t>
      </w:r>
      <w:r w:rsidR="00E64F5C" w:rsidRPr="00E56186">
        <w:rPr>
          <w:rFonts w:asciiTheme="minorHAnsi" w:hAnsiTheme="minorHAnsi"/>
          <w:sz w:val="22"/>
          <w:szCs w:val="22"/>
        </w:rPr>
        <w:t>2019</w:t>
      </w:r>
      <w:r w:rsidR="001E27CA" w:rsidRPr="00E56186">
        <w:rPr>
          <w:rFonts w:asciiTheme="minorHAnsi" w:hAnsiTheme="minorHAnsi"/>
          <w:sz w:val="22"/>
          <w:szCs w:val="22"/>
        </w:rPr>
        <w:t xml:space="preserve"> </w:t>
      </w:r>
      <w:r w:rsidR="006847B0">
        <w:rPr>
          <w:rFonts w:asciiTheme="minorHAnsi" w:hAnsiTheme="minorHAnsi"/>
          <w:sz w:val="22"/>
          <w:szCs w:val="22"/>
        </w:rPr>
        <w:t>the</w:t>
      </w:r>
      <w:r w:rsidR="001E27CA" w:rsidRPr="00E56186">
        <w:rPr>
          <w:rFonts w:asciiTheme="minorHAnsi" w:hAnsiTheme="minorHAnsi"/>
          <w:sz w:val="22"/>
          <w:szCs w:val="22"/>
        </w:rPr>
        <w:t xml:space="preserve"> </w:t>
      </w:r>
      <w:r w:rsidR="00332CE0">
        <w:rPr>
          <w:rFonts w:asciiTheme="minorHAnsi" w:hAnsiTheme="minorHAnsi"/>
          <w:sz w:val="22"/>
          <w:szCs w:val="22"/>
        </w:rPr>
        <w:t xml:space="preserve">introduction of a </w:t>
      </w:r>
      <w:r w:rsidR="001E27CA" w:rsidRPr="00E56186">
        <w:rPr>
          <w:rFonts w:asciiTheme="minorHAnsi" w:hAnsiTheme="minorHAnsi"/>
          <w:sz w:val="22"/>
          <w:szCs w:val="22"/>
        </w:rPr>
        <w:t xml:space="preserve">£2 staking limit </w:t>
      </w:r>
      <w:r w:rsidR="006847B0">
        <w:rPr>
          <w:rFonts w:asciiTheme="minorHAnsi" w:hAnsiTheme="minorHAnsi"/>
          <w:sz w:val="22"/>
          <w:szCs w:val="22"/>
        </w:rPr>
        <w:t xml:space="preserve">on fixed odds betting terminals </w:t>
      </w:r>
      <w:r w:rsidR="001E27CA" w:rsidRPr="00E56186">
        <w:rPr>
          <w:rFonts w:asciiTheme="minorHAnsi" w:hAnsiTheme="minorHAnsi"/>
          <w:sz w:val="22"/>
          <w:szCs w:val="22"/>
        </w:rPr>
        <w:t xml:space="preserve">led to a 34% decline in gaming revenues </w:t>
      </w:r>
      <w:r w:rsidR="006847B0">
        <w:rPr>
          <w:rFonts w:asciiTheme="minorHAnsi" w:hAnsiTheme="minorHAnsi"/>
          <w:sz w:val="22"/>
          <w:szCs w:val="22"/>
        </w:rPr>
        <w:t xml:space="preserve">from </w:t>
      </w:r>
      <w:r w:rsidR="006E41E4">
        <w:rPr>
          <w:rFonts w:asciiTheme="minorHAnsi" w:hAnsiTheme="minorHAnsi"/>
          <w:sz w:val="22"/>
          <w:szCs w:val="22"/>
        </w:rPr>
        <w:t>the 1</w:t>
      </w:r>
      <w:r w:rsidR="006E41E4" w:rsidRPr="002826B4">
        <w:rPr>
          <w:rFonts w:asciiTheme="minorHAnsi" w:hAnsiTheme="minorHAnsi"/>
          <w:sz w:val="22"/>
          <w:szCs w:val="22"/>
          <w:vertAlign w:val="superscript"/>
        </w:rPr>
        <w:t>st</w:t>
      </w:r>
      <w:r w:rsidR="006E41E4">
        <w:rPr>
          <w:rFonts w:asciiTheme="minorHAnsi" w:hAnsiTheme="minorHAnsi"/>
          <w:sz w:val="22"/>
          <w:szCs w:val="22"/>
        </w:rPr>
        <w:t xml:space="preserve"> of April 2019 (</w:t>
      </w:r>
      <w:r w:rsidR="00332CE0">
        <w:rPr>
          <w:rFonts w:asciiTheme="minorHAnsi" w:hAnsiTheme="minorHAnsi"/>
          <w:sz w:val="22"/>
          <w:szCs w:val="22"/>
        </w:rPr>
        <w:t xml:space="preserve">when </w:t>
      </w:r>
      <w:r w:rsidR="001E27CA" w:rsidRPr="00E56186">
        <w:rPr>
          <w:rFonts w:asciiTheme="minorHAnsi" w:hAnsiTheme="minorHAnsi"/>
          <w:sz w:val="22"/>
          <w:szCs w:val="22"/>
        </w:rPr>
        <w:t>the change came into effect</w:t>
      </w:r>
      <w:r w:rsidR="006E41E4">
        <w:rPr>
          <w:rFonts w:asciiTheme="minorHAnsi" w:hAnsiTheme="minorHAnsi"/>
          <w:sz w:val="22"/>
          <w:szCs w:val="22"/>
        </w:rPr>
        <w:t>)</w:t>
      </w:r>
      <w:r w:rsidR="001E27CA" w:rsidRPr="00E56186">
        <w:rPr>
          <w:rFonts w:asciiTheme="minorHAnsi" w:hAnsiTheme="minorHAnsi"/>
          <w:sz w:val="22"/>
          <w:szCs w:val="22"/>
        </w:rPr>
        <w:t>. Th</w:t>
      </w:r>
      <w:r w:rsidR="006E41E4">
        <w:rPr>
          <w:rFonts w:asciiTheme="minorHAnsi" w:hAnsiTheme="minorHAnsi"/>
          <w:sz w:val="22"/>
          <w:szCs w:val="22"/>
        </w:rPr>
        <w:t xml:space="preserve">is </w:t>
      </w:r>
      <w:r w:rsidR="001E27CA" w:rsidRPr="00E56186">
        <w:rPr>
          <w:rFonts w:asciiTheme="minorHAnsi" w:hAnsiTheme="minorHAnsi"/>
          <w:sz w:val="22"/>
          <w:szCs w:val="22"/>
        </w:rPr>
        <w:t>revenue trend has improve</w:t>
      </w:r>
      <w:r w:rsidR="006847B0">
        <w:rPr>
          <w:rFonts w:asciiTheme="minorHAnsi" w:hAnsiTheme="minorHAnsi"/>
          <w:sz w:val="22"/>
          <w:szCs w:val="22"/>
        </w:rPr>
        <w:t>d during the year</w:t>
      </w:r>
      <w:r w:rsidR="001E27CA" w:rsidRPr="00E56186">
        <w:rPr>
          <w:rFonts w:asciiTheme="minorHAnsi" w:hAnsiTheme="minorHAnsi"/>
          <w:sz w:val="22"/>
          <w:szCs w:val="22"/>
        </w:rPr>
        <w:t xml:space="preserve"> as competitors </w:t>
      </w:r>
      <w:r w:rsidR="006847B0">
        <w:rPr>
          <w:rFonts w:asciiTheme="minorHAnsi" w:hAnsiTheme="minorHAnsi"/>
          <w:sz w:val="22"/>
          <w:szCs w:val="22"/>
        </w:rPr>
        <w:t xml:space="preserve">have </w:t>
      </w:r>
      <w:r w:rsidR="00637E62">
        <w:rPr>
          <w:rFonts w:asciiTheme="minorHAnsi" w:hAnsiTheme="minorHAnsi"/>
          <w:sz w:val="22"/>
          <w:szCs w:val="22"/>
        </w:rPr>
        <w:t xml:space="preserve">reduced </w:t>
      </w:r>
      <w:r>
        <w:rPr>
          <w:rFonts w:asciiTheme="minorHAnsi" w:hAnsiTheme="minorHAnsi"/>
          <w:sz w:val="22"/>
          <w:szCs w:val="22"/>
        </w:rPr>
        <w:t xml:space="preserve">the size of </w:t>
      </w:r>
      <w:r w:rsidR="001E27CA" w:rsidRPr="00E56186">
        <w:rPr>
          <w:rFonts w:asciiTheme="minorHAnsi" w:hAnsiTheme="minorHAnsi"/>
          <w:sz w:val="22"/>
          <w:szCs w:val="22"/>
        </w:rPr>
        <w:t>the</w:t>
      </w:r>
      <w:r w:rsidR="00637E62">
        <w:rPr>
          <w:rFonts w:asciiTheme="minorHAnsi" w:hAnsiTheme="minorHAnsi"/>
          <w:sz w:val="22"/>
          <w:szCs w:val="22"/>
        </w:rPr>
        <w:t>ir</w:t>
      </w:r>
      <w:r w:rsidR="001E27CA" w:rsidRPr="00E56186">
        <w:rPr>
          <w:rFonts w:asciiTheme="minorHAnsi" w:hAnsiTheme="minorHAnsi"/>
          <w:sz w:val="22"/>
          <w:szCs w:val="22"/>
        </w:rPr>
        <w:t xml:space="preserve"> </w:t>
      </w:r>
      <w:r w:rsidR="006847B0">
        <w:rPr>
          <w:rFonts w:asciiTheme="minorHAnsi" w:hAnsiTheme="minorHAnsi"/>
          <w:sz w:val="22"/>
          <w:szCs w:val="22"/>
        </w:rPr>
        <w:t xml:space="preserve">retail </w:t>
      </w:r>
      <w:r w:rsidR="00637E62">
        <w:rPr>
          <w:rFonts w:asciiTheme="minorHAnsi" w:hAnsiTheme="minorHAnsi"/>
          <w:sz w:val="22"/>
          <w:szCs w:val="22"/>
        </w:rPr>
        <w:t xml:space="preserve">estates </w:t>
      </w:r>
      <w:r w:rsidR="001E27CA" w:rsidRPr="00E56186">
        <w:rPr>
          <w:rFonts w:asciiTheme="minorHAnsi" w:hAnsiTheme="minorHAnsi"/>
          <w:sz w:val="22"/>
          <w:szCs w:val="22"/>
        </w:rPr>
        <w:t>with</w:t>
      </w:r>
      <w:r w:rsidR="006847B0">
        <w:rPr>
          <w:rFonts w:asciiTheme="minorHAnsi" w:hAnsiTheme="minorHAnsi"/>
          <w:sz w:val="22"/>
          <w:szCs w:val="22"/>
        </w:rPr>
        <w:t xml:space="preserve"> gaming</w:t>
      </w:r>
      <w:r w:rsidR="001E27CA" w:rsidRPr="00E56186">
        <w:rPr>
          <w:rFonts w:asciiTheme="minorHAnsi" w:hAnsiTheme="minorHAnsi"/>
          <w:sz w:val="22"/>
          <w:szCs w:val="22"/>
        </w:rPr>
        <w:t xml:space="preserve"> revenues 21%</w:t>
      </w:r>
      <w:r w:rsidR="006847B0">
        <w:rPr>
          <w:rFonts w:asciiTheme="minorHAnsi" w:hAnsiTheme="minorHAnsi"/>
          <w:sz w:val="22"/>
          <w:szCs w:val="22"/>
        </w:rPr>
        <w:t xml:space="preserve"> lower</w:t>
      </w:r>
      <w:r w:rsidR="001E27CA" w:rsidRPr="00E56186">
        <w:rPr>
          <w:rFonts w:asciiTheme="minorHAnsi" w:hAnsiTheme="minorHAnsi"/>
          <w:sz w:val="22"/>
          <w:szCs w:val="22"/>
        </w:rPr>
        <w:t xml:space="preserve"> in Q4. </w:t>
      </w:r>
    </w:p>
    <w:p w14:paraId="12E32EB3" w14:textId="0D8C3204" w:rsidR="001E27CA" w:rsidRPr="00E56186" w:rsidRDefault="001E27CA" w:rsidP="001E27CA">
      <w:pPr>
        <w:spacing w:after="120"/>
        <w:jc w:val="both"/>
        <w:rPr>
          <w:rFonts w:asciiTheme="minorHAnsi" w:hAnsiTheme="minorHAnsi"/>
          <w:sz w:val="22"/>
          <w:szCs w:val="22"/>
        </w:rPr>
      </w:pPr>
      <w:r w:rsidRPr="00E56186">
        <w:rPr>
          <w:rFonts w:asciiTheme="minorHAnsi" w:hAnsiTheme="minorHAnsi"/>
          <w:sz w:val="22"/>
          <w:szCs w:val="22"/>
        </w:rPr>
        <w:t>Sportsbook revenue across the estate increased by 4%, with stakes growth of 1% and a 30</w:t>
      </w:r>
      <w:r w:rsidR="006E28FD">
        <w:rPr>
          <w:rFonts w:asciiTheme="minorHAnsi" w:hAnsiTheme="minorHAnsi"/>
          <w:sz w:val="22"/>
          <w:szCs w:val="22"/>
        </w:rPr>
        <w:t xml:space="preserve">bps </w:t>
      </w:r>
      <w:r w:rsidRPr="00E56186">
        <w:rPr>
          <w:rFonts w:asciiTheme="minorHAnsi" w:hAnsiTheme="minorHAnsi"/>
          <w:sz w:val="22"/>
          <w:szCs w:val="22"/>
        </w:rPr>
        <w:t>improvement in net revenue margin. In UK retail, sportsbook staking was particularly strong in Q4 as our shops benefitted from competitor closures.</w:t>
      </w:r>
      <w:r w:rsidR="00081942" w:rsidRPr="00E56186">
        <w:rPr>
          <w:rFonts w:asciiTheme="minorHAnsi" w:hAnsiTheme="minorHAnsi"/>
          <w:sz w:val="22"/>
          <w:szCs w:val="22"/>
        </w:rPr>
        <w:t xml:space="preserve"> We have continued to expand our offering in retail with the roll-out of our next generation screens across </w:t>
      </w:r>
      <w:r w:rsidR="00332CE0">
        <w:rPr>
          <w:rFonts w:asciiTheme="minorHAnsi" w:hAnsiTheme="minorHAnsi"/>
          <w:sz w:val="22"/>
          <w:szCs w:val="22"/>
        </w:rPr>
        <w:t xml:space="preserve">the </w:t>
      </w:r>
      <w:r w:rsidR="00081942" w:rsidRPr="00E56186">
        <w:rPr>
          <w:rFonts w:asciiTheme="minorHAnsi" w:hAnsiTheme="minorHAnsi"/>
          <w:sz w:val="22"/>
          <w:szCs w:val="22"/>
        </w:rPr>
        <w:t>Irish estate</w:t>
      </w:r>
      <w:r w:rsidR="00332CE0">
        <w:rPr>
          <w:rFonts w:asciiTheme="minorHAnsi" w:hAnsiTheme="minorHAnsi"/>
          <w:sz w:val="22"/>
          <w:szCs w:val="22"/>
        </w:rPr>
        <w:t>,</w:t>
      </w:r>
      <w:r w:rsidR="00081942" w:rsidRPr="00E56186">
        <w:rPr>
          <w:rFonts w:asciiTheme="minorHAnsi" w:hAnsiTheme="minorHAnsi"/>
          <w:sz w:val="22"/>
          <w:szCs w:val="22"/>
        </w:rPr>
        <w:t xml:space="preserve"> provid</w:t>
      </w:r>
      <w:r w:rsidR="00332CE0">
        <w:rPr>
          <w:rFonts w:asciiTheme="minorHAnsi" w:hAnsiTheme="minorHAnsi"/>
          <w:sz w:val="22"/>
          <w:szCs w:val="22"/>
        </w:rPr>
        <w:t>ing</w:t>
      </w:r>
      <w:r w:rsidR="00081942" w:rsidRPr="00E56186">
        <w:rPr>
          <w:rFonts w:asciiTheme="minorHAnsi" w:hAnsiTheme="minorHAnsi"/>
          <w:sz w:val="22"/>
          <w:szCs w:val="22"/>
        </w:rPr>
        <w:t xml:space="preserve"> customers with a more immersive betting experience.</w:t>
      </w:r>
    </w:p>
    <w:p w14:paraId="685D36BD" w14:textId="5B4D0E7E" w:rsidR="004E5067" w:rsidRPr="00E56186" w:rsidRDefault="004E5067" w:rsidP="004E5067">
      <w:pPr>
        <w:spacing w:after="120"/>
        <w:jc w:val="both"/>
        <w:rPr>
          <w:rFonts w:asciiTheme="minorHAnsi" w:hAnsiTheme="minorHAnsi"/>
          <w:sz w:val="22"/>
          <w:szCs w:val="22"/>
        </w:rPr>
      </w:pPr>
      <w:r w:rsidRPr="00E56186">
        <w:rPr>
          <w:rFonts w:asciiTheme="minorHAnsi" w:hAnsiTheme="minorHAnsi"/>
          <w:sz w:val="22"/>
          <w:szCs w:val="22"/>
        </w:rPr>
        <w:t xml:space="preserve">The change in FOBT regulation, coupled with an increase in Irish betting duty, </w:t>
      </w:r>
      <w:r w:rsidR="00637E62">
        <w:rPr>
          <w:rFonts w:asciiTheme="minorHAnsi" w:hAnsiTheme="minorHAnsi"/>
          <w:sz w:val="22"/>
          <w:szCs w:val="22"/>
        </w:rPr>
        <w:t xml:space="preserve">cost the </w:t>
      </w:r>
      <w:r w:rsidR="00637E62" w:rsidRPr="002826B4">
        <w:rPr>
          <w:rFonts w:asciiTheme="minorHAnsi" w:hAnsiTheme="minorHAnsi"/>
          <w:sz w:val="22"/>
          <w:szCs w:val="22"/>
        </w:rPr>
        <w:t>Group £34m in EBITDA</w:t>
      </w:r>
      <w:r w:rsidR="003D5E9F" w:rsidRPr="002826B4">
        <w:rPr>
          <w:rFonts w:asciiTheme="minorHAnsi" w:hAnsiTheme="minorHAnsi"/>
          <w:sz w:val="22"/>
          <w:szCs w:val="22"/>
          <w:vertAlign w:val="superscript"/>
        </w:rPr>
        <w:t>2</w:t>
      </w:r>
      <w:r w:rsidR="00637E62">
        <w:rPr>
          <w:rFonts w:asciiTheme="minorHAnsi" w:hAnsiTheme="minorHAnsi"/>
          <w:sz w:val="22"/>
          <w:szCs w:val="22"/>
        </w:rPr>
        <w:t xml:space="preserve">, resulting in </w:t>
      </w:r>
      <w:r w:rsidRPr="00E56186">
        <w:rPr>
          <w:rFonts w:asciiTheme="minorHAnsi" w:hAnsiTheme="minorHAnsi"/>
          <w:sz w:val="22"/>
          <w:szCs w:val="22"/>
        </w:rPr>
        <w:t xml:space="preserve">a </w:t>
      </w:r>
      <w:r w:rsidR="006847B0" w:rsidRPr="00E56186">
        <w:rPr>
          <w:rFonts w:asciiTheme="minorHAnsi" w:hAnsiTheme="minorHAnsi"/>
          <w:sz w:val="22"/>
          <w:szCs w:val="22"/>
        </w:rPr>
        <w:t>2</w:t>
      </w:r>
      <w:r w:rsidR="006847B0">
        <w:rPr>
          <w:rFonts w:asciiTheme="minorHAnsi" w:hAnsiTheme="minorHAnsi"/>
          <w:sz w:val="22"/>
          <w:szCs w:val="22"/>
        </w:rPr>
        <w:t>6</w:t>
      </w:r>
      <w:r w:rsidRPr="00E56186">
        <w:rPr>
          <w:rFonts w:asciiTheme="minorHAnsi" w:hAnsiTheme="minorHAnsi"/>
          <w:sz w:val="22"/>
          <w:szCs w:val="22"/>
        </w:rPr>
        <w:t>% reduction in underlying EBITDA</w:t>
      </w:r>
      <w:r w:rsidR="003D5E9F" w:rsidRPr="00676F2F">
        <w:rPr>
          <w:rFonts w:asciiTheme="minorHAnsi" w:hAnsiTheme="minorHAnsi"/>
          <w:sz w:val="22"/>
          <w:szCs w:val="22"/>
          <w:vertAlign w:val="superscript"/>
        </w:rPr>
        <w:t>1,2</w:t>
      </w:r>
      <w:r w:rsidRPr="00E56186">
        <w:rPr>
          <w:rFonts w:asciiTheme="minorHAnsi" w:hAnsiTheme="minorHAnsi"/>
          <w:sz w:val="22"/>
          <w:szCs w:val="22"/>
        </w:rPr>
        <w:t xml:space="preserve">. </w:t>
      </w:r>
    </w:p>
    <w:p w14:paraId="56A8B9AB" w14:textId="77777777" w:rsidR="001E27CA" w:rsidRPr="00E56186" w:rsidRDefault="001E27CA" w:rsidP="002C6EAC">
      <w:pPr>
        <w:spacing w:after="120"/>
        <w:jc w:val="both"/>
        <w:rPr>
          <w:rFonts w:asciiTheme="minorHAnsi" w:hAnsiTheme="minorHAnsi"/>
          <w:sz w:val="22"/>
          <w:szCs w:val="22"/>
        </w:rPr>
      </w:pPr>
    </w:p>
    <w:p w14:paraId="759CC0FD" w14:textId="441313A8" w:rsidR="00DB3C6E" w:rsidRDefault="001D7AA5" w:rsidP="00903308">
      <w:pPr>
        <w:widowControl/>
        <w:autoSpaceDE/>
        <w:autoSpaceDN/>
        <w:adjustRightInd/>
        <w:rPr>
          <w:rFonts w:asciiTheme="minorHAnsi" w:hAnsiTheme="minorHAnsi"/>
          <w:sz w:val="22"/>
          <w:szCs w:val="22"/>
        </w:rPr>
      </w:pPr>
      <w:r w:rsidRPr="00E56186">
        <w:rPr>
          <w:rFonts w:asciiTheme="minorHAnsi" w:hAnsiTheme="minorHAnsi"/>
          <w:sz w:val="22"/>
          <w:szCs w:val="22"/>
        </w:rPr>
        <w:br w:type="page"/>
      </w:r>
      <w:bookmarkEnd w:id="3"/>
      <w:bookmarkEnd w:id="4"/>
    </w:p>
    <w:p w14:paraId="4A02678F" w14:textId="77777777" w:rsidR="00F12E99" w:rsidRDefault="00F515BC" w:rsidP="00903308">
      <w:pPr>
        <w:widowControl/>
        <w:autoSpaceDE/>
        <w:autoSpaceDN/>
        <w:adjustRightInd/>
        <w:rPr>
          <w:rFonts w:asciiTheme="minorHAnsi" w:hAnsiTheme="minorHAnsi"/>
          <w:b/>
          <w:sz w:val="22"/>
          <w:szCs w:val="22"/>
        </w:rPr>
      </w:pPr>
      <w:r>
        <w:rPr>
          <w:rFonts w:asciiTheme="minorHAnsi" w:hAnsiTheme="minorHAnsi"/>
          <w:b/>
          <w:sz w:val="22"/>
          <w:szCs w:val="22"/>
        </w:rPr>
        <w:lastRenderedPageBreak/>
        <w:t>Tax</w:t>
      </w:r>
      <w:r w:rsidR="00F12E99">
        <w:rPr>
          <w:rFonts w:asciiTheme="minorHAnsi" w:hAnsiTheme="minorHAnsi"/>
          <w:b/>
          <w:sz w:val="22"/>
          <w:szCs w:val="22"/>
        </w:rPr>
        <w:t>ation</w:t>
      </w:r>
    </w:p>
    <w:p w14:paraId="49056D53" w14:textId="58C94F0F" w:rsidR="00F12E99" w:rsidRDefault="00F12E99" w:rsidP="00A028FD">
      <w:pPr>
        <w:widowControl/>
        <w:autoSpaceDE/>
        <w:autoSpaceDN/>
        <w:adjustRightInd/>
        <w:spacing w:after="120"/>
        <w:rPr>
          <w:rFonts w:asciiTheme="minorHAnsi" w:hAnsiTheme="minorHAnsi"/>
          <w:b/>
          <w:sz w:val="22"/>
          <w:szCs w:val="22"/>
        </w:rPr>
      </w:pPr>
    </w:p>
    <w:p w14:paraId="3DEAD714" w14:textId="31BA669B" w:rsidR="00F12E99" w:rsidRPr="002008F7" w:rsidRDefault="00F12E99" w:rsidP="00A028FD">
      <w:pPr>
        <w:widowControl/>
        <w:autoSpaceDE/>
        <w:autoSpaceDN/>
        <w:adjustRightInd/>
        <w:spacing w:after="120"/>
        <w:jc w:val="both"/>
        <w:rPr>
          <w:rFonts w:asciiTheme="minorHAnsi" w:hAnsiTheme="minorHAnsi"/>
          <w:i/>
          <w:sz w:val="22"/>
          <w:szCs w:val="22"/>
        </w:rPr>
      </w:pPr>
      <w:bookmarkStart w:id="5" w:name="_Hlk32592880"/>
      <w:r w:rsidRPr="002008F7">
        <w:rPr>
          <w:rFonts w:asciiTheme="minorHAnsi" w:hAnsiTheme="minorHAnsi"/>
          <w:i/>
          <w:sz w:val="22"/>
          <w:szCs w:val="22"/>
        </w:rPr>
        <w:t>Corporate income tax</w:t>
      </w:r>
    </w:p>
    <w:p w14:paraId="1F40628F" w14:textId="52A73737" w:rsidR="00F12E99" w:rsidRDefault="00F12E99">
      <w:pPr>
        <w:spacing w:after="120"/>
        <w:jc w:val="both"/>
        <w:rPr>
          <w:rFonts w:asciiTheme="minorHAnsi" w:hAnsiTheme="minorHAnsi"/>
          <w:sz w:val="22"/>
          <w:szCs w:val="22"/>
        </w:rPr>
      </w:pPr>
      <w:r>
        <w:rPr>
          <w:rFonts w:asciiTheme="minorHAnsi" w:hAnsiTheme="minorHAnsi"/>
          <w:sz w:val="22"/>
          <w:szCs w:val="22"/>
        </w:rPr>
        <w:t>The total effective tax rate for the Group after separately disclosed items was 17.5% (2018:</w:t>
      </w:r>
      <w:r w:rsidR="00421DD0">
        <w:rPr>
          <w:rFonts w:asciiTheme="minorHAnsi" w:hAnsiTheme="minorHAnsi"/>
          <w:sz w:val="22"/>
          <w:szCs w:val="22"/>
        </w:rPr>
        <w:t xml:space="preserve"> </w:t>
      </w:r>
      <w:r>
        <w:rPr>
          <w:rFonts w:asciiTheme="minorHAnsi" w:hAnsiTheme="minorHAnsi"/>
          <w:sz w:val="22"/>
          <w:szCs w:val="22"/>
        </w:rPr>
        <w:t>17.4%). T</w:t>
      </w:r>
      <w:r w:rsidRPr="008277C2">
        <w:rPr>
          <w:rFonts w:asciiTheme="minorHAnsi" w:hAnsiTheme="minorHAnsi"/>
          <w:sz w:val="22"/>
          <w:szCs w:val="22"/>
        </w:rPr>
        <w:t>h</w:t>
      </w:r>
      <w:r>
        <w:rPr>
          <w:rFonts w:asciiTheme="minorHAnsi" w:hAnsiTheme="minorHAnsi"/>
          <w:sz w:val="22"/>
          <w:szCs w:val="22"/>
        </w:rPr>
        <w:t xml:space="preserve">is </w:t>
      </w:r>
      <w:r w:rsidR="001A00D2">
        <w:rPr>
          <w:rFonts w:asciiTheme="minorHAnsi" w:hAnsiTheme="minorHAnsi"/>
          <w:sz w:val="22"/>
          <w:szCs w:val="22"/>
        </w:rPr>
        <w:t xml:space="preserve">was </w:t>
      </w:r>
      <w:r>
        <w:rPr>
          <w:rFonts w:asciiTheme="minorHAnsi" w:hAnsiTheme="minorHAnsi"/>
          <w:sz w:val="22"/>
          <w:szCs w:val="22"/>
        </w:rPr>
        <w:t>driven by an increase in the</w:t>
      </w:r>
      <w:r w:rsidRPr="008277C2">
        <w:rPr>
          <w:rFonts w:asciiTheme="minorHAnsi" w:hAnsiTheme="minorHAnsi"/>
          <w:sz w:val="22"/>
          <w:szCs w:val="22"/>
        </w:rPr>
        <w:t xml:space="preserve"> Group’s underlying</w:t>
      </w:r>
      <w:r w:rsidR="003D5E9F" w:rsidRPr="00676F2F">
        <w:rPr>
          <w:rFonts w:asciiTheme="minorHAnsi" w:hAnsiTheme="minorHAnsi"/>
          <w:sz w:val="22"/>
          <w:szCs w:val="22"/>
          <w:vertAlign w:val="superscript"/>
        </w:rPr>
        <w:t>1</w:t>
      </w:r>
      <w:r w:rsidRPr="008277C2">
        <w:rPr>
          <w:rFonts w:asciiTheme="minorHAnsi" w:hAnsiTheme="minorHAnsi"/>
          <w:sz w:val="22"/>
          <w:szCs w:val="22"/>
        </w:rPr>
        <w:t xml:space="preserve"> effective tax rate </w:t>
      </w:r>
      <w:r>
        <w:rPr>
          <w:rFonts w:asciiTheme="minorHAnsi" w:hAnsiTheme="minorHAnsi"/>
          <w:sz w:val="22"/>
          <w:szCs w:val="22"/>
        </w:rPr>
        <w:t>to</w:t>
      </w:r>
      <w:r w:rsidRPr="008277C2">
        <w:rPr>
          <w:rFonts w:asciiTheme="minorHAnsi" w:hAnsiTheme="minorHAnsi"/>
          <w:sz w:val="22"/>
          <w:szCs w:val="22"/>
        </w:rPr>
        <w:t xml:space="preserve"> 1</w:t>
      </w:r>
      <w:r>
        <w:rPr>
          <w:rFonts w:asciiTheme="minorHAnsi" w:hAnsiTheme="minorHAnsi"/>
          <w:sz w:val="22"/>
          <w:szCs w:val="22"/>
        </w:rPr>
        <w:t>5</w:t>
      </w:r>
      <w:r w:rsidRPr="008277C2">
        <w:rPr>
          <w:rFonts w:asciiTheme="minorHAnsi" w:hAnsiTheme="minorHAnsi"/>
          <w:sz w:val="22"/>
          <w:szCs w:val="22"/>
        </w:rPr>
        <w:t>.9% (2018: 14.9%)</w:t>
      </w:r>
      <w:r>
        <w:rPr>
          <w:rFonts w:asciiTheme="minorHAnsi" w:hAnsiTheme="minorHAnsi"/>
          <w:sz w:val="22"/>
          <w:szCs w:val="22"/>
        </w:rPr>
        <w:t>. The underlying</w:t>
      </w:r>
      <w:r w:rsidR="003D5E9F" w:rsidRPr="00676F2F">
        <w:rPr>
          <w:rFonts w:asciiTheme="minorHAnsi" w:hAnsiTheme="minorHAnsi"/>
          <w:sz w:val="22"/>
          <w:szCs w:val="22"/>
          <w:vertAlign w:val="superscript"/>
        </w:rPr>
        <w:t>1</w:t>
      </w:r>
      <w:r>
        <w:rPr>
          <w:rFonts w:asciiTheme="minorHAnsi" w:hAnsiTheme="minorHAnsi"/>
          <w:sz w:val="22"/>
          <w:szCs w:val="22"/>
        </w:rPr>
        <w:t xml:space="preserve"> effective tax rate is materially impacted by the geographic mix of profits within the Group and the incremental US loss incurred during 2019 which is not recognised for deferred tax purposes. </w:t>
      </w:r>
      <w:r w:rsidR="006F1C5D">
        <w:rPr>
          <w:rFonts w:asciiTheme="minorHAnsi" w:hAnsiTheme="minorHAnsi"/>
          <w:sz w:val="22"/>
          <w:szCs w:val="22"/>
        </w:rPr>
        <w:t>Excluding the US, the effective tax rate was 12.8% (201</w:t>
      </w:r>
      <w:r w:rsidR="0048050D">
        <w:rPr>
          <w:rFonts w:asciiTheme="minorHAnsi" w:hAnsiTheme="minorHAnsi"/>
          <w:sz w:val="22"/>
          <w:szCs w:val="22"/>
        </w:rPr>
        <w:t>8</w:t>
      </w:r>
      <w:r w:rsidR="006F1C5D">
        <w:rPr>
          <w:rFonts w:asciiTheme="minorHAnsi" w:hAnsiTheme="minorHAnsi"/>
          <w:sz w:val="22"/>
          <w:szCs w:val="22"/>
        </w:rPr>
        <w:t xml:space="preserve">: </w:t>
      </w:r>
      <w:r w:rsidR="0040554E">
        <w:rPr>
          <w:rFonts w:asciiTheme="minorHAnsi" w:hAnsiTheme="minorHAnsi"/>
          <w:sz w:val="22"/>
          <w:szCs w:val="22"/>
        </w:rPr>
        <w:t>13.7</w:t>
      </w:r>
      <w:r w:rsidR="006F1C5D">
        <w:rPr>
          <w:rFonts w:asciiTheme="minorHAnsi" w:hAnsiTheme="minorHAnsi"/>
          <w:sz w:val="22"/>
          <w:szCs w:val="22"/>
        </w:rPr>
        <w:t>%).</w:t>
      </w:r>
    </w:p>
    <w:bookmarkEnd w:id="5"/>
    <w:p w14:paraId="56FF2153" w14:textId="14AE3EE7" w:rsidR="00F12E99" w:rsidRDefault="00F12E99" w:rsidP="00A028FD">
      <w:pPr>
        <w:widowControl/>
        <w:autoSpaceDE/>
        <w:autoSpaceDN/>
        <w:adjustRightInd/>
        <w:spacing w:after="120"/>
        <w:jc w:val="both"/>
        <w:rPr>
          <w:rFonts w:asciiTheme="minorHAnsi" w:hAnsiTheme="minorHAnsi"/>
          <w:b/>
          <w:sz w:val="22"/>
          <w:szCs w:val="22"/>
        </w:rPr>
      </w:pPr>
    </w:p>
    <w:p w14:paraId="7EAC2358" w14:textId="2AE5F8E3" w:rsidR="00BF74EB" w:rsidRPr="00755766" w:rsidRDefault="00F12E99" w:rsidP="00A028FD">
      <w:pPr>
        <w:widowControl/>
        <w:autoSpaceDE/>
        <w:autoSpaceDN/>
        <w:adjustRightInd/>
        <w:spacing w:after="120"/>
        <w:jc w:val="both"/>
        <w:rPr>
          <w:rFonts w:asciiTheme="minorHAnsi" w:hAnsiTheme="minorHAnsi"/>
          <w:i/>
          <w:sz w:val="22"/>
        </w:rPr>
      </w:pPr>
      <w:r w:rsidRPr="002008F7">
        <w:rPr>
          <w:rFonts w:asciiTheme="minorHAnsi" w:hAnsiTheme="minorHAnsi"/>
          <w:i/>
          <w:sz w:val="22"/>
          <w:szCs w:val="22"/>
        </w:rPr>
        <w:t>Indirect tax</w:t>
      </w:r>
      <w:r w:rsidRPr="00755766">
        <w:rPr>
          <w:rFonts w:asciiTheme="minorHAnsi" w:hAnsiTheme="minorHAnsi"/>
          <w:i/>
          <w:sz w:val="22"/>
        </w:rPr>
        <w:t xml:space="preserve"> updates – key markets</w:t>
      </w:r>
    </w:p>
    <w:p w14:paraId="28EACF81" w14:textId="1D044A50" w:rsidR="004F7990" w:rsidRPr="00A028FD" w:rsidRDefault="004F7990" w:rsidP="00A028FD">
      <w:pPr>
        <w:widowControl/>
        <w:autoSpaceDE/>
        <w:autoSpaceDN/>
        <w:adjustRightInd/>
        <w:spacing w:after="120"/>
        <w:jc w:val="both"/>
        <w:rPr>
          <w:rFonts w:asciiTheme="minorHAnsi" w:hAnsiTheme="minorHAnsi"/>
          <w:i/>
          <w:sz w:val="22"/>
        </w:rPr>
      </w:pPr>
      <w:r w:rsidRPr="002008F7">
        <w:rPr>
          <w:rFonts w:asciiTheme="minorHAnsi" w:hAnsiTheme="minorHAnsi"/>
          <w:sz w:val="22"/>
          <w:szCs w:val="22"/>
        </w:rPr>
        <w:t xml:space="preserve">The following </w:t>
      </w:r>
      <w:r w:rsidR="001A00D2">
        <w:rPr>
          <w:rFonts w:asciiTheme="minorHAnsi" w:hAnsiTheme="minorHAnsi"/>
          <w:sz w:val="22"/>
          <w:szCs w:val="22"/>
        </w:rPr>
        <w:t xml:space="preserve">tax </w:t>
      </w:r>
      <w:r w:rsidRPr="002008F7">
        <w:rPr>
          <w:rFonts w:asciiTheme="minorHAnsi" w:hAnsiTheme="minorHAnsi"/>
          <w:sz w:val="22"/>
          <w:szCs w:val="22"/>
        </w:rPr>
        <w:t xml:space="preserve">changes </w:t>
      </w:r>
      <w:r w:rsidR="001A00D2">
        <w:rPr>
          <w:rFonts w:asciiTheme="minorHAnsi" w:hAnsiTheme="minorHAnsi"/>
          <w:sz w:val="22"/>
          <w:szCs w:val="22"/>
        </w:rPr>
        <w:t>which</w:t>
      </w:r>
      <w:r w:rsidRPr="002008F7">
        <w:rPr>
          <w:rFonts w:asciiTheme="minorHAnsi" w:hAnsiTheme="minorHAnsi"/>
          <w:sz w:val="22"/>
          <w:szCs w:val="22"/>
        </w:rPr>
        <w:t xml:space="preserve"> impact the profitability of the Group</w:t>
      </w:r>
      <w:r>
        <w:rPr>
          <w:rFonts w:asciiTheme="minorHAnsi" w:hAnsiTheme="minorHAnsi"/>
          <w:sz w:val="22"/>
          <w:szCs w:val="22"/>
        </w:rPr>
        <w:t xml:space="preserve"> were implemented or announced during 2019:</w:t>
      </w:r>
    </w:p>
    <w:p w14:paraId="1D9A9E51" w14:textId="4F6B9779" w:rsidR="00CE5CB2" w:rsidRPr="004A316F" w:rsidRDefault="004A316F" w:rsidP="00A028FD">
      <w:pPr>
        <w:widowControl/>
        <w:autoSpaceDE/>
        <w:autoSpaceDN/>
        <w:adjustRightInd/>
        <w:spacing w:after="120"/>
        <w:jc w:val="both"/>
        <w:rPr>
          <w:rFonts w:asciiTheme="minorHAnsi" w:hAnsiTheme="minorHAnsi"/>
          <w:i/>
          <w:sz w:val="22"/>
          <w:szCs w:val="22"/>
        </w:rPr>
      </w:pPr>
      <w:r>
        <w:rPr>
          <w:rFonts w:asciiTheme="minorHAnsi" w:hAnsiTheme="minorHAnsi"/>
          <w:i/>
          <w:sz w:val="22"/>
          <w:szCs w:val="22"/>
        </w:rPr>
        <w:t xml:space="preserve">1) </w:t>
      </w:r>
      <w:r w:rsidR="00CE5CB2" w:rsidRPr="004A316F">
        <w:rPr>
          <w:rFonts w:asciiTheme="minorHAnsi" w:hAnsiTheme="minorHAnsi"/>
          <w:i/>
          <w:sz w:val="22"/>
          <w:szCs w:val="22"/>
        </w:rPr>
        <w:t xml:space="preserve">UK  </w:t>
      </w:r>
    </w:p>
    <w:p w14:paraId="2464EF52" w14:textId="48A38E7E" w:rsidR="004A316F" w:rsidRPr="00E56186" w:rsidRDefault="00391509" w:rsidP="00A028FD">
      <w:pPr>
        <w:widowControl/>
        <w:autoSpaceDE/>
        <w:autoSpaceDN/>
        <w:adjustRightInd/>
        <w:spacing w:after="120"/>
        <w:jc w:val="both"/>
        <w:rPr>
          <w:rFonts w:asciiTheme="minorHAnsi" w:hAnsiTheme="minorHAnsi"/>
          <w:sz w:val="22"/>
          <w:szCs w:val="22"/>
        </w:rPr>
      </w:pPr>
      <w:r w:rsidRPr="00E56186">
        <w:rPr>
          <w:rFonts w:asciiTheme="minorHAnsi" w:hAnsiTheme="minorHAnsi"/>
          <w:sz w:val="22"/>
          <w:szCs w:val="22"/>
        </w:rPr>
        <w:t xml:space="preserve">Following publication by the UK Government of its Review of Gaming Machines and Social Responsibility Measures in May 2018 the rate of remote gaming duty </w:t>
      </w:r>
      <w:r w:rsidR="00332CE0" w:rsidRPr="00E56186">
        <w:rPr>
          <w:rFonts w:asciiTheme="minorHAnsi" w:hAnsiTheme="minorHAnsi"/>
          <w:sz w:val="22"/>
          <w:szCs w:val="22"/>
        </w:rPr>
        <w:t xml:space="preserve">increased from 15% to 21% on 1 April 2019 </w:t>
      </w:r>
      <w:r w:rsidRPr="00E56186">
        <w:rPr>
          <w:rFonts w:asciiTheme="minorHAnsi" w:hAnsiTheme="minorHAnsi"/>
          <w:sz w:val="22"/>
          <w:szCs w:val="22"/>
        </w:rPr>
        <w:t xml:space="preserve">(payable on gross online gaming revenues from UK customers). </w:t>
      </w:r>
    </w:p>
    <w:p w14:paraId="16EF4941" w14:textId="2C6B7C2A" w:rsidR="00665CE3" w:rsidRPr="004A316F" w:rsidRDefault="004A316F" w:rsidP="00A028FD">
      <w:pPr>
        <w:widowControl/>
        <w:autoSpaceDE/>
        <w:autoSpaceDN/>
        <w:adjustRightInd/>
        <w:spacing w:after="120"/>
        <w:jc w:val="both"/>
        <w:rPr>
          <w:rFonts w:asciiTheme="minorHAnsi" w:hAnsiTheme="minorHAnsi"/>
          <w:i/>
          <w:sz w:val="22"/>
          <w:szCs w:val="22"/>
        </w:rPr>
      </w:pPr>
      <w:bookmarkStart w:id="6" w:name="_Hlk519536214"/>
      <w:r>
        <w:rPr>
          <w:rFonts w:asciiTheme="minorHAnsi" w:hAnsiTheme="minorHAnsi"/>
          <w:i/>
          <w:sz w:val="22"/>
          <w:szCs w:val="22"/>
        </w:rPr>
        <w:t xml:space="preserve">2) </w:t>
      </w:r>
      <w:r w:rsidR="00665CE3" w:rsidRPr="004A316F">
        <w:rPr>
          <w:rFonts w:asciiTheme="minorHAnsi" w:hAnsiTheme="minorHAnsi"/>
          <w:i/>
          <w:sz w:val="22"/>
          <w:szCs w:val="22"/>
        </w:rPr>
        <w:t xml:space="preserve">Ireland </w:t>
      </w:r>
    </w:p>
    <w:p w14:paraId="74D9F796" w14:textId="5389E2AC" w:rsidR="00665CE3" w:rsidRPr="00E56186" w:rsidRDefault="00665CE3" w:rsidP="00A028FD">
      <w:pPr>
        <w:spacing w:after="120"/>
        <w:jc w:val="both"/>
        <w:rPr>
          <w:rFonts w:asciiTheme="minorHAnsi" w:hAnsiTheme="minorHAnsi"/>
          <w:sz w:val="22"/>
          <w:szCs w:val="22"/>
        </w:rPr>
      </w:pPr>
      <w:r w:rsidRPr="00E56186">
        <w:rPr>
          <w:rFonts w:asciiTheme="minorHAnsi" w:hAnsiTheme="minorHAnsi"/>
          <w:sz w:val="22"/>
          <w:szCs w:val="22"/>
        </w:rPr>
        <w:t xml:space="preserve">From 1 January 2019, the betting duty payable by Irish customers on sports betting stakes increased from 1% to 2% while the duty on betting exchange revenues increased from 15% to 25%.  </w:t>
      </w:r>
    </w:p>
    <w:p w14:paraId="497286D7" w14:textId="4F0EF4FD" w:rsidR="00391509" w:rsidRPr="004A316F" w:rsidRDefault="004A316F" w:rsidP="00A028FD">
      <w:pPr>
        <w:widowControl/>
        <w:autoSpaceDE/>
        <w:autoSpaceDN/>
        <w:adjustRightInd/>
        <w:spacing w:after="120"/>
        <w:jc w:val="both"/>
        <w:rPr>
          <w:rFonts w:asciiTheme="minorHAnsi" w:hAnsiTheme="minorHAnsi"/>
          <w:i/>
          <w:sz w:val="22"/>
          <w:szCs w:val="22"/>
        </w:rPr>
      </w:pPr>
      <w:r>
        <w:rPr>
          <w:rFonts w:asciiTheme="minorHAnsi" w:hAnsiTheme="minorHAnsi"/>
          <w:i/>
          <w:sz w:val="22"/>
          <w:szCs w:val="22"/>
        </w:rPr>
        <w:t xml:space="preserve">3) </w:t>
      </w:r>
      <w:r w:rsidR="00391509" w:rsidRPr="004A316F">
        <w:rPr>
          <w:rFonts w:asciiTheme="minorHAnsi" w:hAnsiTheme="minorHAnsi"/>
          <w:i/>
          <w:sz w:val="22"/>
          <w:szCs w:val="22"/>
        </w:rPr>
        <w:t xml:space="preserve">Australia  </w:t>
      </w:r>
    </w:p>
    <w:bookmarkEnd w:id="6"/>
    <w:p w14:paraId="49ABAFC2" w14:textId="7336F214" w:rsidR="00391509" w:rsidRDefault="00391509" w:rsidP="00A028FD">
      <w:pPr>
        <w:widowControl/>
        <w:autoSpaceDE/>
        <w:autoSpaceDN/>
        <w:adjustRightInd/>
        <w:spacing w:after="120"/>
        <w:jc w:val="both"/>
        <w:rPr>
          <w:rFonts w:asciiTheme="minorHAnsi" w:hAnsiTheme="minorHAnsi"/>
          <w:sz w:val="22"/>
          <w:szCs w:val="22"/>
        </w:rPr>
      </w:pPr>
      <w:r w:rsidRPr="00E56186">
        <w:rPr>
          <w:rFonts w:asciiTheme="minorHAnsi" w:hAnsiTheme="minorHAnsi"/>
          <w:sz w:val="22"/>
          <w:szCs w:val="22"/>
        </w:rPr>
        <w:t xml:space="preserve">Throughout 2018, various state governments announced the introduction of point of consumption taxes (‘POC’) and from 1 January 2019 these came into effect in New South Wales, Victoria, Western Australia and Australian Capital Territory. The overall impact of </w:t>
      </w:r>
      <w:r w:rsidR="000E56B0" w:rsidRPr="00E56186">
        <w:rPr>
          <w:rFonts w:asciiTheme="minorHAnsi" w:hAnsiTheme="minorHAnsi"/>
          <w:sz w:val="22"/>
          <w:szCs w:val="22"/>
        </w:rPr>
        <w:t>additional</w:t>
      </w:r>
      <w:r w:rsidRPr="00E56186">
        <w:rPr>
          <w:rFonts w:asciiTheme="minorHAnsi" w:hAnsiTheme="minorHAnsi"/>
          <w:sz w:val="22"/>
          <w:szCs w:val="22"/>
        </w:rPr>
        <w:t xml:space="preserve"> taxes </w:t>
      </w:r>
      <w:r w:rsidR="006E41E4">
        <w:rPr>
          <w:rFonts w:asciiTheme="minorHAnsi" w:hAnsiTheme="minorHAnsi"/>
          <w:sz w:val="22"/>
          <w:szCs w:val="22"/>
        </w:rPr>
        <w:t>in</w:t>
      </w:r>
      <w:r w:rsidRPr="00E56186">
        <w:rPr>
          <w:rFonts w:asciiTheme="minorHAnsi" w:hAnsiTheme="minorHAnsi"/>
          <w:sz w:val="22"/>
          <w:szCs w:val="22"/>
        </w:rPr>
        <w:t xml:space="preserve"> </w:t>
      </w:r>
      <w:r w:rsidR="004A316F">
        <w:rPr>
          <w:rFonts w:asciiTheme="minorHAnsi" w:hAnsiTheme="minorHAnsi"/>
          <w:sz w:val="22"/>
          <w:szCs w:val="22"/>
        </w:rPr>
        <w:t>2019</w:t>
      </w:r>
      <w:r w:rsidR="00154BB7">
        <w:rPr>
          <w:rFonts w:asciiTheme="minorHAnsi" w:hAnsiTheme="minorHAnsi"/>
          <w:sz w:val="22"/>
          <w:szCs w:val="22"/>
        </w:rPr>
        <w:t xml:space="preserve"> for</w:t>
      </w:r>
      <w:r w:rsidR="004A316F">
        <w:rPr>
          <w:rFonts w:asciiTheme="minorHAnsi" w:hAnsiTheme="minorHAnsi"/>
          <w:sz w:val="22"/>
          <w:szCs w:val="22"/>
        </w:rPr>
        <w:t xml:space="preserve"> </w:t>
      </w:r>
      <w:r w:rsidRPr="00E56186">
        <w:rPr>
          <w:rFonts w:asciiTheme="minorHAnsi" w:hAnsiTheme="minorHAnsi"/>
          <w:sz w:val="22"/>
          <w:szCs w:val="22"/>
        </w:rPr>
        <w:t>the Group</w:t>
      </w:r>
      <w:r w:rsidR="000E56B0" w:rsidRPr="00E56186">
        <w:rPr>
          <w:rFonts w:asciiTheme="minorHAnsi" w:hAnsiTheme="minorHAnsi"/>
          <w:sz w:val="22"/>
          <w:szCs w:val="22"/>
        </w:rPr>
        <w:t xml:space="preserve"> was an almost 11</w:t>
      </w:r>
      <w:r w:rsidR="00881508">
        <w:rPr>
          <w:rFonts w:asciiTheme="minorHAnsi" w:hAnsiTheme="minorHAnsi"/>
          <w:sz w:val="22"/>
          <w:szCs w:val="22"/>
        </w:rPr>
        <w:t xml:space="preserve"> percentage point</w:t>
      </w:r>
      <w:r w:rsidR="000E56B0" w:rsidRPr="00E56186">
        <w:rPr>
          <w:rFonts w:asciiTheme="minorHAnsi" w:hAnsiTheme="minorHAnsi"/>
          <w:sz w:val="22"/>
          <w:szCs w:val="22"/>
        </w:rPr>
        <w:t xml:space="preserve"> </w:t>
      </w:r>
      <w:r w:rsidRPr="00E56186">
        <w:rPr>
          <w:rFonts w:asciiTheme="minorHAnsi" w:hAnsiTheme="minorHAnsi"/>
          <w:sz w:val="22"/>
          <w:szCs w:val="22"/>
        </w:rPr>
        <w:t>increase in cost of sales as a % of net revenue in Australia.</w:t>
      </w:r>
    </w:p>
    <w:p w14:paraId="6A2F2797" w14:textId="12502A9A" w:rsidR="004A316F" w:rsidRPr="00E56186" w:rsidRDefault="004A316F">
      <w:pPr>
        <w:spacing w:before="120" w:after="120"/>
        <w:jc w:val="both"/>
        <w:rPr>
          <w:rFonts w:asciiTheme="minorHAnsi" w:hAnsiTheme="minorHAnsi"/>
          <w:sz w:val="22"/>
          <w:szCs w:val="22"/>
        </w:rPr>
      </w:pPr>
      <w:r w:rsidRPr="00E56186">
        <w:rPr>
          <w:rFonts w:asciiTheme="minorHAnsi" w:hAnsiTheme="minorHAnsi"/>
          <w:sz w:val="22"/>
          <w:szCs w:val="22"/>
        </w:rPr>
        <w:t>During 2019 Tasmania also announced a new POC which came into effect on 1 January 2020</w:t>
      </w:r>
      <w:r w:rsidR="004E5A4C">
        <w:rPr>
          <w:rFonts w:asciiTheme="minorHAnsi" w:hAnsiTheme="minorHAnsi"/>
          <w:sz w:val="22"/>
          <w:szCs w:val="22"/>
        </w:rPr>
        <w:t>.</w:t>
      </w:r>
    </w:p>
    <w:p w14:paraId="4B0E729C" w14:textId="17F4C616" w:rsidR="00391509" w:rsidRPr="004A316F" w:rsidRDefault="004A316F" w:rsidP="00A028FD">
      <w:pPr>
        <w:widowControl/>
        <w:autoSpaceDE/>
        <w:autoSpaceDN/>
        <w:adjustRightInd/>
        <w:spacing w:after="120"/>
        <w:jc w:val="both"/>
        <w:rPr>
          <w:rFonts w:asciiTheme="minorHAnsi" w:hAnsiTheme="minorHAnsi"/>
          <w:i/>
          <w:sz w:val="22"/>
          <w:szCs w:val="22"/>
        </w:rPr>
      </w:pPr>
      <w:bookmarkStart w:id="7" w:name="_Hlk519782802"/>
      <w:r>
        <w:rPr>
          <w:rFonts w:asciiTheme="minorHAnsi" w:hAnsiTheme="minorHAnsi"/>
          <w:i/>
          <w:sz w:val="22"/>
          <w:szCs w:val="22"/>
        </w:rPr>
        <w:t xml:space="preserve">4) </w:t>
      </w:r>
      <w:r w:rsidR="00391509" w:rsidRPr="004A316F">
        <w:rPr>
          <w:rFonts w:asciiTheme="minorHAnsi" w:hAnsiTheme="minorHAnsi"/>
          <w:i/>
          <w:sz w:val="22"/>
          <w:szCs w:val="22"/>
        </w:rPr>
        <w:t>Other regulated markets</w:t>
      </w:r>
    </w:p>
    <w:p w14:paraId="15C792B8" w14:textId="51AE9FA9" w:rsidR="000E56B0" w:rsidRPr="00E56186" w:rsidRDefault="000E56B0">
      <w:pPr>
        <w:spacing w:after="120"/>
        <w:jc w:val="both"/>
        <w:rPr>
          <w:rFonts w:asciiTheme="minorHAnsi" w:hAnsiTheme="minorHAnsi"/>
          <w:sz w:val="22"/>
          <w:szCs w:val="22"/>
        </w:rPr>
      </w:pPr>
      <w:bookmarkStart w:id="8" w:name="_Hlk521062111"/>
      <w:r w:rsidRPr="00E56186">
        <w:rPr>
          <w:rFonts w:asciiTheme="minorHAnsi" w:hAnsiTheme="minorHAnsi"/>
          <w:sz w:val="22"/>
          <w:szCs w:val="22"/>
        </w:rPr>
        <w:t xml:space="preserve">The following tax increases were effective 1 January 2019 in </w:t>
      </w:r>
      <w:r w:rsidR="00B17B33">
        <w:rPr>
          <w:rFonts w:asciiTheme="minorHAnsi" w:hAnsiTheme="minorHAnsi"/>
          <w:sz w:val="22"/>
          <w:szCs w:val="22"/>
        </w:rPr>
        <w:t>less material Flutter</w:t>
      </w:r>
      <w:r w:rsidR="00B17B33" w:rsidRPr="00E56186">
        <w:rPr>
          <w:rFonts w:asciiTheme="minorHAnsi" w:hAnsiTheme="minorHAnsi"/>
          <w:sz w:val="22"/>
          <w:szCs w:val="22"/>
        </w:rPr>
        <w:t xml:space="preserve"> </w:t>
      </w:r>
      <w:r w:rsidRPr="00E56186">
        <w:rPr>
          <w:rFonts w:asciiTheme="minorHAnsi" w:hAnsiTheme="minorHAnsi"/>
          <w:sz w:val="22"/>
          <w:szCs w:val="22"/>
        </w:rPr>
        <w:t xml:space="preserve">markets: </w:t>
      </w:r>
    </w:p>
    <w:p w14:paraId="044F9B13" w14:textId="1198339F" w:rsidR="00391509" w:rsidRPr="00E56186" w:rsidRDefault="00A534D5">
      <w:pPr>
        <w:pStyle w:val="ListParagraph"/>
        <w:numPr>
          <w:ilvl w:val="0"/>
          <w:numId w:val="22"/>
        </w:numPr>
        <w:spacing w:after="120"/>
        <w:jc w:val="both"/>
        <w:rPr>
          <w:rFonts w:asciiTheme="minorHAnsi" w:hAnsiTheme="minorHAnsi"/>
        </w:rPr>
      </w:pPr>
      <w:r>
        <w:rPr>
          <w:rFonts w:asciiTheme="minorHAnsi" w:hAnsiTheme="minorHAnsi"/>
        </w:rPr>
        <w:t>O</w:t>
      </w:r>
      <w:r w:rsidR="00391509" w:rsidRPr="00E56186">
        <w:rPr>
          <w:rFonts w:asciiTheme="minorHAnsi" w:hAnsiTheme="minorHAnsi"/>
        </w:rPr>
        <w:t>nline tax on sports betting</w:t>
      </w:r>
      <w:r w:rsidR="000E56B0" w:rsidRPr="00E56186">
        <w:rPr>
          <w:rFonts w:asciiTheme="minorHAnsi" w:hAnsiTheme="minorHAnsi"/>
        </w:rPr>
        <w:t xml:space="preserve"> in Italy</w:t>
      </w:r>
      <w:r w:rsidR="00391509" w:rsidRPr="00E56186">
        <w:rPr>
          <w:rFonts w:asciiTheme="minorHAnsi" w:hAnsiTheme="minorHAnsi"/>
        </w:rPr>
        <w:t xml:space="preserve"> increased from 22% to 24% and from 20% to 25% on online gaming</w:t>
      </w:r>
    </w:p>
    <w:p w14:paraId="7CFCD78E" w14:textId="2E8567E1" w:rsidR="00391509" w:rsidRPr="00E56186" w:rsidRDefault="000E56B0">
      <w:pPr>
        <w:pStyle w:val="ListParagraph"/>
        <w:numPr>
          <w:ilvl w:val="0"/>
          <w:numId w:val="22"/>
        </w:numPr>
        <w:spacing w:after="120"/>
        <w:jc w:val="both"/>
        <w:rPr>
          <w:rFonts w:asciiTheme="minorHAnsi" w:hAnsiTheme="minorHAnsi"/>
        </w:rPr>
      </w:pPr>
      <w:r w:rsidRPr="00E56186">
        <w:rPr>
          <w:rFonts w:asciiTheme="minorHAnsi" w:hAnsiTheme="minorHAnsi"/>
        </w:rPr>
        <w:t xml:space="preserve">An online gambling tax </w:t>
      </w:r>
      <w:r w:rsidR="00D67830">
        <w:rPr>
          <w:rFonts w:asciiTheme="minorHAnsi" w:hAnsiTheme="minorHAnsi"/>
        </w:rPr>
        <w:t xml:space="preserve">of 18% </w:t>
      </w:r>
      <w:r w:rsidRPr="00E56186">
        <w:rPr>
          <w:rFonts w:asciiTheme="minorHAnsi" w:hAnsiTheme="minorHAnsi"/>
        </w:rPr>
        <w:t>was introduced in Sweden</w:t>
      </w:r>
    </w:p>
    <w:p w14:paraId="0AE65082" w14:textId="17011D9A" w:rsidR="00391509" w:rsidRPr="00E56186" w:rsidRDefault="00391509">
      <w:pPr>
        <w:pStyle w:val="ListParagraph"/>
        <w:numPr>
          <w:ilvl w:val="0"/>
          <w:numId w:val="22"/>
        </w:numPr>
        <w:spacing w:after="120"/>
        <w:jc w:val="both"/>
        <w:rPr>
          <w:rFonts w:asciiTheme="minorHAnsi" w:hAnsiTheme="minorHAnsi"/>
        </w:rPr>
      </w:pPr>
      <w:r w:rsidRPr="00E56186">
        <w:rPr>
          <w:rFonts w:asciiTheme="minorHAnsi" w:hAnsiTheme="minorHAnsi"/>
        </w:rPr>
        <w:t>Romania introduced a new 2% tax on deposits along with the 16% online revenue tax already payable</w:t>
      </w:r>
    </w:p>
    <w:p w14:paraId="0AEDC974" w14:textId="3A79A963" w:rsidR="00903308" w:rsidRDefault="00903308" w:rsidP="00903308">
      <w:pPr>
        <w:spacing w:after="120"/>
        <w:jc w:val="both"/>
        <w:rPr>
          <w:rFonts w:asciiTheme="minorHAnsi" w:hAnsiTheme="minorHAnsi"/>
          <w:sz w:val="21"/>
          <w:szCs w:val="21"/>
        </w:rPr>
      </w:pPr>
    </w:p>
    <w:p w14:paraId="6863FB1A" w14:textId="72ED1E12" w:rsidR="00903308" w:rsidRDefault="00903308" w:rsidP="00903308">
      <w:pPr>
        <w:spacing w:after="120"/>
        <w:jc w:val="both"/>
        <w:rPr>
          <w:rFonts w:asciiTheme="minorHAnsi" w:hAnsiTheme="minorHAnsi"/>
          <w:sz w:val="21"/>
          <w:szCs w:val="21"/>
        </w:rPr>
      </w:pPr>
    </w:p>
    <w:p w14:paraId="0DA79D64" w14:textId="245FED52" w:rsidR="00903308" w:rsidRDefault="00903308" w:rsidP="00903308">
      <w:pPr>
        <w:spacing w:after="120"/>
        <w:jc w:val="both"/>
        <w:rPr>
          <w:rFonts w:asciiTheme="minorHAnsi" w:hAnsiTheme="minorHAnsi"/>
          <w:sz w:val="21"/>
          <w:szCs w:val="21"/>
        </w:rPr>
      </w:pPr>
    </w:p>
    <w:p w14:paraId="0F202687" w14:textId="08EEC6EF" w:rsidR="004A316F" w:rsidRDefault="004A316F" w:rsidP="00903308">
      <w:pPr>
        <w:spacing w:after="120"/>
        <w:jc w:val="both"/>
        <w:rPr>
          <w:rFonts w:asciiTheme="minorHAnsi" w:hAnsiTheme="minorHAnsi"/>
          <w:sz w:val="21"/>
          <w:szCs w:val="21"/>
        </w:rPr>
      </w:pPr>
    </w:p>
    <w:p w14:paraId="4B526749" w14:textId="77777777" w:rsidR="004A316F" w:rsidRDefault="004A316F" w:rsidP="00903308">
      <w:pPr>
        <w:spacing w:after="120"/>
        <w:jc w:val="both"/>
        <w:rPr>
          <w:rFonts w:asciiTheme="minorHAnsi" w:hAnsiTheme="minorHAnsi"/>
          <w:sz w:val="21"/>
          <w:szCs w:val="21"/>
        </w:rPr>
      </w:pPr>
    </w:p>
    <w:p w14:paraId="199CECE6" w14:textId="26B2F861" w:rsidR="00903308" w:rsidRDefault="00903308" w:rsidP="00903308">
      <w:pPr>
        <w:spacing w:after="120"/>
        <w:jc w:val="both"/>
        <w:rPr>
          <w:rFonts w:asciiTheme="minorHAnsi" w:hAnsiTheme="minorHAnsi"/>
          <w:sz w:val="21"/>
          <w:szCs w:val="21"/>
        </w:rPr>
      </w:pPr>
    </w:p>
    <w:p w14:paraId="3AEF784E" w14:textId="7C76AB7C" w:rsidR="00903308" w:rsidRDefault="00903308" w:rsidP="00903308">
      <w:pPr>
        <w:spacing w:after="120"/>
        <w:jc w:val="both"/>
        <w:rPr>
          <w:rFonts w:asciiTheme="minorHAnsi" w:hAnsiTheme="minorHAnsi"/>
          <w:sz w:val="21"/>
          <w:szCs w:val="21"/>
        </w:rPr>
      </w:pPr>
    </w:p>
    <w:p w14:paraId="6F9DB55F" w14:textId="57DC278B" w:rsidR="00903308" w:rsidRDefault="00903308" w:rsidP="00903308">
      <w:pPr>
        <w:spacing w:after="120"/>
        <w:jc w:val="both"/>
        <w:rPr>
          <w:rFonts w:asciiTheme="minorHAnsi" w:hAnsiTheme="minorHAnsi"/>
          <w:sz w:val="21"/>
          <w:szCs w:val="21"/>
        </w:rPr>
      </w:pPr>
    </w:p>
    <w:p w14:paraId="33E5DFC8" w14:textId="30FA9BB8" w:rsidR="00903308" w:rsidRDefault="00903308" w:rsidP="00903308">
      <w:pPr>
        <w:spacing w:after="120"/>
        <w:jc w:val="both"/>
        <w:rPr>
          <w:rFonts w:asciiTheme="minorHAnsi" w:hAnsiTheme="minorHAnsi"/>
          <w:sz w:val="21"/>
          <w:szCs w:val="21"/>
        </w:rPr>
      </w:pPr>
    </w:p>
    <w:p w14:paraId="4065316E" w14:textId="77777777" w:rsidR="00252379" w:rsidRDefault="00252379" w:rsidP="00252379">
      <w:pPr>
        <w:spacing w:after="120"/>
        <w:jc w:val="both"/>
        <w:rPr>
          <w:rFonts w:asciiTheme="minorHAnsi" w:hAnsiTheme="minorHAnsi"/>
          <w:b/>
          <w:sz w:val="22"/>
          <w:szCs w:val="22"/>
        </w:rPr>
      </w:pPr>
      <w:r>
        <w:rPr>
          <w:rFonts w:asciiTheme="minorHAnsi" w:hAnsiTheme="minorHAnsi"/>
          <w:b/>
          <w:sz w:val="22"/>
          <w:szCs w:val="22"/>
        </w:rPr>
        <w:lastRenderedPageBreak/>
        <w:t>Separately disclosed items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21"/>
        <w:gridCol w:w="1134"/>
        <w:gridCol w:w="1134"/>
      </w:tblGrid>
      <w:tr w:rsidR="00252379" w:rsidRPr="00443C47" w14:paraId="044B74C2" w14:textId="77777777" w:rsidTr="00A028FD">
        <w:trPr>
          <w:trHeight w:val="615"/>
        </w:trPr>
        <w:tc>
          <w:tcPr>
            <w:tcW w:w="6521" w:type="dxa"/>
          </w:tcPr>
          <w:p w14:paraId="0526255A" w14:textId="77777777" w:rsidR="00252379" w:rsidRPr="00443C47"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62"/>
              <w:jc w:val="both"/>
              <w:rPr>
                <w:rFonts w:asciiTheme="minorHAnsi" w:hAnsiTheme="minorHAnsi" w:cs="Times New Roman"/>
                <w:b/>
                <w:lang w:eastAsia="en-IE"/>
              </w:rPr>
            </w:pPr>
            <w:r>
              <w:rPr>
                <w:rFonts w:asciiTheme="minorHAnsi" w:hAnsiTheme="minorHAnsi" w:cs="Times New Roman"/>
                <w:b/>
                <w:lang w:eastAsia="en-IE"/>
              </w:rPr>
              <w:t>£m</w:t>
            </w:r>
          </w:p>
          <w:p w14:paraId="23739FC0" w14:textId="77777777" w:rsidR="00252379" w:rsidRPr="00220D66"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i/>
                <w:sz w:val="18"/>
                <w:szCs w:val="18"/>
                <w:lang w:eastAsia="en-IE"/>
              </w:rPr>
            </w:pPr>
          </w:p>
        </w:tc>
        <w:tc>
          <w:tcPr>
            <w:tcW w:w="1134" w:type="dxa"/>
            <w:shd w:val="clear" w:color="auto" w:fill="auto"/>
          </w:tcPr>
          <w:p w14:paraId="25C4491E" w14:textId="77777777" w:rsidR="00252379"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lang w:eastAsia="en-IE"/>
              </w:rPr>
            </w:pPr>
          </w:p>
          <w:p w14:paraId="7635B87F" w14:textId="77777777" w:rsidR="00252379"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lang w:eastAsia="en-IE"/>
              </w:rPr>
            </w:pPr>
            <w:r w:rsidRPr="00443C47">
              <w:rPr>
                <w:rFonts w:asciiTheme="minorHAnsi" w:hAnsiTheme="minorHAnsi" w:cs="Times New Roman"/>
                <w:b/>
                <w:lang w:eastAsia="en-IE"/>
              </w:rPr>
              <w:t>201</w:t>
            </w:r>
            <w:r>
              <w:rPr>
                <w:rFonts w:asciiTheme="minorHAnsi" w:hAnsiTheme="minorHAnsi" w:cs="Times New Roman"/>
                <w:b/>
                <w:lang w:eastAsia="en-IE"/>
              </w:rPr>
              <w:t>9</w:t>
            </w:r>
          </w:p>
          <w:p w14:paraId="05F3CD9C" w14:textId="77777777" w:rsidR="00252379" w:rsidRPr="00443C47"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Pr>
                <w:rFonts w:asciiTheme="minorHAnsi" w:hAnsiTheme="minorHAnsi" w:cs="Times New Roman"/>
                <w:b/>
                <w:lang w:eastAsia="en-IE"/>
              </w:rPr>
              <w:t>£m</w:t>
            </w:r>
          </w:p>
        </w:tc>
        <w:tc>
          <w:tcPr>
            <w:tcW w:w="1134" w:type="dxa"/>
            <w:shd w:val="clear" w:color="auto" w:fill="auto"/>
          </w:tcPr>
          <w:p w14:paraId="75239BAE" w14:textId="77777777" w:rsidR="00252379"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lang w:eastAsia="en-IE"/>
              </w:rPr>
            </w:pPr>
          </w:p>
          <w:p w14:paraId="72186362" w14:textId="77777777" w:rsidR="00252379"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lang w:eastAsia="en-IE"/>
              </w:rPr>
            </w:pPr>
            <w:r w:rsidRPr="00443C47">
              <w:rPr>
                <w:rFonts w:asciiTheme="minorHAnsi" w:hAnsiTheme="minorHAnsi" w:cs="Times New Roman"/>
                <w:b/>
                <w:lang w:eastAsia="en-IE"/>
              </w:rPr>
              <w:t>201</w:t>
            </w:r>
            <w:r>
              <w:rPr>
                <w:rFonts w:asciiTheme="minorHAnsi" w:hAnsiTheme="minorHAnsi" w:cs="Times New Roman"/>
                <w:b/>
                <w:lang w:eastAsia="en-IE"/>
              </w:rPr>
              <w:t>8</w:t>
            </w:r>
          </w:p>
          <w:p w14:paraId="2CA9AC80" w14:textId="77777777" w:rsidR="00252379" w:rsidRPr="00443C47"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Pr>
                <w:rFonts w:asciiTheme="minorHAnsi" w:hAnsiTheme="minorHAnsi" w:cs="Times New Roman"/>
                <w:b/>
                <w:lang w:eastAsia="en-IE"/>
              </w:rPr>
              <w:t>£m</w:t>
            </w:r>
          </w:p>
        </w:tc>
      </w:tr>
      <w:tr w:rsidR="00252379" w:rsidRPr="00443C47" w14:paraId="27997469" w14:textId="77777777" w:rsidTr="00A028FD">
        <w:trPr>
          <w:trHeight w:val="334"/>
        </w:trPr>
        <w:tc>
          <w:tcPr>
            <w:tcW w:w="6521" w:type="dxa"/>
            <w:tcBorders>
              <w:top w:val="single" w:sz="4" w:space="0" w:color="auto"/>
              <w:left w:val="single" w:sz="4" w:space="0" w:color="auto"/>
              <w:bottom w:val="nil"/>
              <w:right w:val="single" w:sz="4" w:space="0" w:color="auto"/>
            </w:tcBorders>
          </w:tcPr>
          <w:p w14:paraId="395F8612" w14:textId="1C186530" w:rsidR="00252379" w:rsidRDefault="00252379" w:rsidP="002744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 xml:space="preserve">Amortisation </w:t>
            </w:r>
            <w:r w:rsidR="00421591">
              <w:rPr>
                <w:rFonts w:asciiTheme="minorHAnsi" w:hAnsiTheme="minorHAnsi" w:cs="Times New Roman"/>
                <w:lang w:eastAsia="en-IE"/>
              </w:rPr>
              <w:t xml:space="preserve">of </w:t>
            </w:r>
            <w:r>
              <w:rPr>
                <w:rFonts w:asciiTheme="minorHAnsi" w:hAnsiTheme="minorHAnsi" w:cs="Times New Roman"/>
                <w:lang w:eastAsia="en-IE"/>
              </w:rPr>
              <w:t>acqui</w:t>
            </w:r>
            <w:r w:rsidR="00421591">
              <w:rPr>
                <w:rFonts w:asciiTheme="minorHAnsi" w:hAnsiTheme="minorHAnsi" w:cs="Times New Roman"/>
                <w:lang w:eastAsia="en-IE"/>
              </w:rPr>
              <w:t>sition related</w:t>
            </w:r>
            <w:r>
              <w:rPr>
                <w:rFonts w:asciiTheme="minorHAnsi" w:hAnsiTheme="minorHAnsi" w:cs="Times New Roman"/>
                <w:lang w:eastAsia="en-IE"/>
              </w:rPr>
              <w:t xml:space="preserve"> intangible assets</w:t>
            </w:r>
          </w:p>
        </w:tc>
        <w:tc>
          <w:tcPr>
            <w:tcW w:w="1134" w:type="dxa"/>
            <w:tcBorders>
              <w:top w:val="single" w:sz="4" w:space="0" w:color="auto"/>
              <w:left w:val="single" w:sz="4" w:space="0" w:color="auto"/>
              <w:bottom w:val="nil"/>
              <w:right w:val="single" w:sz="4" w:space="0" w:color="auto"/>
            </w:tcBorders>
            <w:shd w:val="clear" w:color="auto" w:fill="auto"/>
          </w:tcPr>
          <w:p w14:paraId="20A73762" w14:textId="77777777" w:rsidR="00252379" w:rsidRPr="00191F7C"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Pr>
                <w:rFonts w:asciiTheme="minorHAnsi" w:hAnsiTheme="minorHAnsi" w:cs="Times New Roman"/>
                <w:lang w:eastAsia="en-IE"/>
              </w:rPr>
              <w:t>(113)</w:t>
            </w:r>
          </w:p>
        </w:tc>
        <w:tc>
          <w:tcPr>
            <w:tcW w:w="1134" w:type="dxa"/>
            <w:tcBorders>
              <w:top w:val="single" w:sz="4" w:space="0" w:color="auto"/>
              <w:left w:val="single" w:sz="4" w:space="0" w:color="auto"/>
              <w:bottom w:val="nil"/>
              <w:right w:val="single" w:sz="4" w:space="0" w:color="auto"/>
            </w:tcBorders>
            <w:shd w:val="clear" w:color="auto" w:fill="auto"/>
          </w:tcPr>
          <w:p w14:paraId="4A047215" w14:textId="77777777" w:rsidR="00252379" w:rsidRPr="00191F7C"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sidRPr="00191F7C">
              <w:rPr>
                <w:rFonts w:asciiTheme="minorHAnsi" w:hAnsiTheme="minorHAnsi" w:cs="Times New Roman"/>
                <w:lang w:eastAsia="en-IE"/>
              </w:rPr>
              <w:t>(10</w:t>
            </w:r>
            <w:r>
              <w:rPr>
                <w:rFonts w:asciiTheme="minorHAnsi" w:hAnsiTheme="minorHAnsi" w:cs="Times New Roman"/>
                <w:lang w:eastAsia="en-IE"/>
              </w:rPr>
              <w:t>1</w:t>
            </w:r>
            <w:r w:rsidRPr="00191F7C">
              <w:rPr>
                <w:rFonts w:asciiTheme="minorHAnsi" w:hAnsiTheme="minorHAnsi" w:cs="Times New Roman"/>
                <w:lang w:eastAsia="en-IE"/>
              </w:rPr>
              <w:t>)</w:t>
            </w:r>
          </w:p>
        </w:tc>
      </w:tr>
      <w:tr w:rsidR="000E2D6A" w:rsidRPr="00443C47" w14:paraId="0CA9A92F" w14:textId="77777777" w:rsidTr="00A028FD">
        <w:trPr>
          <w:trHeight w:val="336"/>
        </w:trPr>
        <w:tc>
          <w:tcPr>
            <w:tcW w:w="6521" w:type="dxa"/>
            <w:tcBorders>
              <w:top w:val="nil"/>
              <w:left w:val="single" w:sz="4" w:space="0" w:color="auto"/>
              <w:bottom w:val="nil"/>
              <w:right w:val="single" w:sz="4" w:space="0" w:color="auto"/>
            </w:tcBorders>
          </w:tcPr>
          <w:p w14:paraId="7CC0046D" w14:textId="6EEEAC2A" w:rsidR="000E2D6A" w:rsidDel="006333B6" w:rsidRDefault="000E2D6A" w:rsidP="006333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Transaction fees</w:t>
            </w:r>
          </w:p>
        </w:tc>
        <w:tc>
          <w:tcPr>
            <w:tcW w:w="1134" w:type="dxa"/>
            <w:tcBorders>
              <w:top w:val="nil"/>
              <w:left w:val="single" w:sz="4" w:space="0" w:color="auto"/>
              <w:bottom w:val="nil"/>
              <w:right w:val="single" w:sz="4" w:space="0" w:color="auto"/>
            </w:tcBorders>
            <w:shd w:val="clear" w:color="auto" w:fill="auto"/>
          </w:tcPr>
          <w:p w14:paraId="6D76B172" w14:textId="3726FD43" w:rsidR="000E2D6A" w:rsidRDefault="000E2D6A" w:rsidP="006333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Pr>
                <w:rFonts w:asciiTheme="minorHAnsi" w:hAnsiTheme="minorHAnsi" w:cs="Times New Roman"/>
                <w:lang w:eastAsia="en-IE"/>
              </w:rPr>
              <w:t>(18)</w:t>
            </w:r>
          </w:p>
        </w:tc>
        <w:tc>
          <w:tcPr>
            <w:tcW w:w="1134" w:type="dxa"/>
            <w:tcBorders>
              <w:top w:val="nil"/>
              <w:left w:val="single" w:sz="4" w:space="0" w:color="auto"/>
              <w:bottom w:val="nil"/>
              <w:right w:val="single" w:sz="4" w:space="0" w:color="auto"/>
            </w:tcBorders>
            <w:shd w:val="clear" w:color="auto" w:fill="auto"/>
          </w:tcPr>
          <w:p w14:paraId="7D825952" w14:textId="18A971EE" w:rsidR="000E2D6A" w:rsidRPr="00191F7C" w:rsidRDefault="00FE5BFD" w:rsidP="006333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Pr>
                <w:rFonts w:asciiTheme="minorHAnsi" w:hAnsiTheme="minorHAnsi" w:cs="Times New Roman"/>
                <w:lang w:eastAsia="en-IE"/>
              </w:rPr>
              <w:t>-</w:t>
            </w:r>
          </w:p>
        </w:tc>
      </w:tr>
      <w:tr w:rsidR="00252379" w:rsidRPr="00443C47" w14:paraId="5E366760" w14:textId="77777777" w:rsidTr="00A028FD">
        <w:trPr>
          <w:trHeight w:val="336"/>
        </w:trPr>
        <w:tc>
          <w:tcPr>
            <w:tcW w:w="6521" w:type="dxa"/>
            <w:tcBorders>
              <w:top w:val="nil"/>
              <w:left w:val="single" w:sz="4" w:space="0" w:color="auto"/>
              <w:bottom w:val="nil"/>
              <w:right w:val="single" w:sz="4" w:space="0" w:color="auto"/>
            </w:tcBorders>
          </w:tcPr>
          <w:p w14:paraId="21B8E171" w14:textId="6F1CDD33" w:rsidR="00252379" w:rsidRDefault="00252379" w:rsidP="002744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Impairment of goodwill &amp; intangible assets</w:t>
            </w:r>
          </w:p>
        </w:tc>
        <w:tc>
          <w:tcPr>
            <w:tcW w:w="1134" w:type="dxa"/>
            <w:tcBorders>
              <w:top w:val="nil"/>
              <w:left w:val="single" w:sz="4" w:space="0" w:color="auto"/>
              <w:bottom w:val="nil"/>
              <w:right w:val="single" w:sz="4" w:space="0" w:color="auto"/>
            </w:tcBorders>
            <w:shd w:val="clear" w:color="auto" w:fill="auto"/>
          </w:tcPr>
          <w:p w14:paraId="4CAD6B84" w14:textId="77777777" w:rsidR="00252379" w:rsidRPr="00191F7C" w:rsidRDefault="00252379" w:rsidP="002744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Pr>
                <w:rFonts w:asciiTheme="minorHAnsi" w:hAnsiTheme="minorHAnsi" w:cs="Times New Roman"/>
                <w:lang w:eastAsia="en-IE"/>
              </w:rPr>
              <w:t>-</w:t>
            </w:r>
          </w:p>
        </w:tc>
        <w:tc>
          <w:tcPr>
            <w:tcW w:w="1134" w:type="dxa"/>
            <w:tcBorders>
              <w:top w:val="nil"/>
              <w:left w:val="single" w:sz="4" w:space="0" w:color="auto"/>
              <w:bottom w:val="nil"/>
              <w:right w:val="single" w:sz="4" w:space="0" w:color="auto"/>
            </w:tcBorders>
            <w:shd w:val="clear" w:color="auto" w:fill="auto"/>
          </w:tcPr>
          <w:p w14:paraId="34027B06" w14:textId="77777777" w:rsidR="00252379" w:rsidRPr="00191F7C" w:rsidRDefault="00252379" w:rsidP="002744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sidRPr="00191F7C">
              <w:rPr>
                <w:rFonts w:asciiTheme="minorHAnsi" w:hAnsiTheme="minorHAnsi" w:cs="Times New Roman"/>
                <w:lang w:eastAsia="en-IE"/>
              </w:rPr>
              <w:t>(27)</w:t>
            </w:r>
          </w:p>
        </w:tc>
      </w:tr>
      <w:tr w:rsidR="00252379" w:rsidRPr="00443C47" w14:paraId="287A254B" w14:textId="77777777" w:rsidTr="00A028FD">
        <w:trPr>
          <w:trHeight w:val="334"/>
        </w:trPr>
        <w:tc>
          <w:tcPr>
            <w:tcW w:w="6521" w:type="dxa"/>
            <w:tcBorders>
              <w:top w:val="nil"/>
              <w:left w:val="single" w:sz="4" w:space="0" w:color="auto"/>
              <w:bottom w:val="nil"/>
              <w:right w:val="single" w:sz="4" w:space="0" w:color="auto"/>
            </w:tcBorders>
          </w:tcPr>
          <w:p w14:paraId="6828B1AD" w14:textId="415EE543" w:rsidR="00252379" w:rsidRDefault="006333B6"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G</w:t>
            </w:r>
            <w:r w:rsidR="00252379">
              <w:rPr>
                <w:rFonts w:asciiTheme="minorHAnsi" w:hAnsiTheme="minorHAnsi" w:cs="Times New Roman"/>
                <w:lang w:eastAsia="en-IE"/>
              </w:rPr>
              <w:t xml:space="preserve">ain on contingent consideration </w:t>
            </w:r>
          </w:p>
        </w:tc>
        <w:tc>
          <w:tcPr>
            <w:tcW w:w="1134" w:type="dxa"/>
            <w:tcBorders>
              <w:top w:val="nil"/>
              <w:left w:val="single" w:sz="4" w:space="0" w:color="auto"/>
              <w:bottom w:val="nil"/>
              <w:right w:val="single" w:sz="4" w:space="0" w:color="auto"/>
            </w:tcBorders>
            <w:shd w:val="clear" w:color="auto" w:fill="auto"/>
          </w:tcPr>
          <w:p w14:paraId="7C3537F3" w14:textId="77777777" w:rsidR="00252379" w:rsidRPr="00191F7C"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Pr>
                <w:rFonts w:asciiTheme="minorHAnsi" w:hAnsiTheme="minorHAnsi" w:cs="Times New Roman"/>
                <w:lang w:eastAsia="en-IE"/>
              </w:rPr>
              <w:t>-</w:t>
            </w:r>
          </w:p>
        </w:tc>
        <w:tc>
          <w:tcPr>
            <w:tcW w:w="1134" w:type="dxa"/>
            <w:tcBorders>
              <w:top w:val="nil"/>
              <w:left w:val="single" w:sz="4" w:space="0" w:color="auto"/>
              <w:bottom w:val="nil"/>
              <w:right w:val="single" w:sz="4" w:space="0" w:color="auto"/>
            </w:tcBorders>
            <w:shd w:val="clear" w:color="auto" w:fill="auto"/>
          </w:tcPr>
          <w:p w14:paraId="20B05A05" w14:textId="77777777" w:rsidR="00252379" w:rsidRPr="00191F7C"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sidRPr="00191F7C">
              <w:rPr>
                <w:rFonts w:asciiTheme="minorHAnsi" w:hAnsiTheme="minorHAnsi" w:cs="Times New Roman"/>
                <w:lang w:eastAsia="en-IE"/>
              </w:rPr>
              <w:t>11</w:t>
            </w:r>
          </w:p>
        </w:tc>
      </w:tr>
      <w:tr w:rsidR="00252379" w:rsidRPr="00443C47" w14:paraId="27F0CDCD" w14:textId="77777777" w:rsidTr="00A028FD">
        <w:trPr>
          <w:trHeight w:val="334"/>
        </w:trPr>
        <w:tc>
          <w:tcPr>
            <w:tcW w:w="6521" w:type="dxa"/>
            <w:tcBorders>
              <w:top w:val="nil"/>
              <w:left w:val="single" w:sz="4" w:space="0" w:color="auto"/>
              <w:bottom w:val="nil"/>
              <w:right w:val="single" w:sz="4" w:space="0" w:color="auto"/>
            </w:tcBorders>
          </w:tcPr>
          <w:p w14:paraId="70F57FEA" w14:textId="77777777" w:rsidR="00252379"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Restructuring and strategic initiatives</w:t>
            </w:r>
          </w:p>
        </w:tc>
        <w:tc>
          <w:tcPr>
            <w:tcW w:w="1134" w:type="dxa"/>
            <w:tcBorders>
              <w:top w:val="nil"/>
              <w:left w:val="single" w:sz="4" w:space="0" w:color="auto"/>
              <w:bottom w:val="nil"/>
              <w:right w:val="single" w:sz="4" w:space="0" w:color="auto"/>
            </w:tcBorders>
            <w:shd w:val="clear" w:color="auto" w:fill="auto"/>
          </w:tcPr>
          <w:p w14:paraId="153933C3" w14:textId="378483F7" w:rsidR="00252379" w:rsidRPr="00191F7C" w:rsidRDefault="00FE5BFD"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Pr>
                <w:rFonts w:asciiTheme="minorHAnsi" w:hAnsiTheme="minorHAnsi" w:cs="Times New Roman"/>
                <w:lang w:eastAsia="en-IE"/>
              </w:rPr>
              <w:t>-</w:t>
            </w:r>
          </w:p>
        </w:tc>
        <w:tc>
          <w:tcPr>
            <w:tcW w:w="1134" w:type="dxa"/>
            <w:tcBorders>
              <w:top w:val="nil"/>
              <w:left w:val="single" w:sz="4" w:space="0" w:color="auto"/>
              <w:bottom w:val="nil"/>
              <w:right w:val="single" w:sz="4" w:space="0" w:color="auto"/>
            </w:tcBorders>
            <w:shd w:val="clear" w:color="auto" w:fill="auto"/>
          </w:tcPr>
          <w:p w14:paraId="4E838E24" w14:textId="77777777" w:rsidR="00252379" w:rsidRPr="00191F7C"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sidRPr="00191F7C">
              <w:rPr>
                <w:rFonts w:asciiTheme="minorHAnsi" w:hAnsiTheme="minorHAnsi" w:cs="Times New Roman"/>
                <w:lang w:eastAsia="en-IE"/>
              </w:rPr>
              <w:t>(28)</w:t>
            </w:r>
          </w:p>
        </w:tc>
      </w:tr>
      <w:tr w:rsidR="00252379" w:rsidRPr="00443C47" w14:paraId="46CCC380" w14:textId="77777777" w:rsidTr="00A028FD">
        <w:trPr>
          <w:trHeight w:val="334"/>
        </w:trPr>
        <w:tc>
          <w:tcPr>
            <w:tcW w:w="6521" w:type="dxa"/>
            <w:tcBorders>
              <w:top w:val="nil"/>
              <w:left w:val="single" w:sz="4" w:space="0" w:color="auto"/>
              <w:bottom w:val="nil"/>
              <w:right w:val="single" w:sz="4" w:space="0" w:color="auto"/>
            </w:tcBorders>
          </w:tcPr>
          <w:p w14:paraId="5C13F954" w14:textId="77777777" w:rsidR="00252379"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Profit on sale of investment</w:t>
            </w:r>
          </w:p>
        </w:tc>
        <w:tc>
          <w:tcPr>
            <w:tcW w:w="1134" w:type="dxa"/>
            <w:tcBorders>
              <w:top w:val="nil"/>
              <w:left w:val="single" w:sz="4" w:space="0" w:color="auto"/>
              <w:bottom w:val="nil"/>
              <w:right w:val="single" w:sz="4" w:space="0" w:color="auto"/>
            </w:tcBorders>
            <w:shd w:val="clear" w:color="auto" w:fill="auto"/>
          </w:tcPr>
          <w:p w14:paraId="0550ECC7" w14:textId="77777777" w:rsidR="00252379" w:rsidRPr="00191F7C"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Pr>
                <w:rFonts w:asciiTheme="minorHAnsi" w:hAnsiTheme="minorHAnsi" w:cs="Times New Roman"/>
                <w:lang w:eastAsia="en-IE"/>
              </w:rPr>
              <w:t>-</w:t>
            </w:r>
          </w:p>
        </w:tc>
        <w:tc>
          <w:tcPr>
            <w:tcW w:w="1134" w:type="dxa"/>
            <w:tcBorders>
              <w:top w:val="nil"/>
              <w:left w:val="single" w:sz="4" w:space="0" w:color="auto"/>
              <w:bottom w:val="nil"/>
              <w:right w:val="single" w:sz="4" w:space="0" w:color="auto"/>
            </w:tcBorders>
            <w:shd w:val="clear" w:color="auto" w:fill="auto"/>
          </w:tcPr>
          <w:p w14:paraId="0C9838EE" w14:textId="77777777" w:rsidR="00252379" w:rsidRPr="00191F7C"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sidRPr="00191F7C">
              <w:rPr>
                <w:rFonts w:asciiTheme="minorHAnsi" w:hAnsiTheme="minorHAnsi" w:cs="Times New Roman"/>
                <w:lang w:eastAsia="en-IE"/>
              </w:rPr>
              <w:t>7</w:t>
            </w:r>
          </w:p>
        </w:tc>
      </w:tr>
      <w:tr w:rsidR="00252379" w:rsidRPr="00443C47" w14:paraId="3060AD80" w14:textId="77777777" w:rsidTr="00A028FD">
        <w:trPr>
          <w:trHeight w:val="340"/>
        </w:trPr>
        <w:tc>
          <w:tcPr>
            <w:tcW w:w="6521" w:type="dxa"/>
            <w:tcBorders>
              <w:top w:val="nil"/>
              <w:left w:val="single" w:sz="4" w:space="0" w:color="auto"/>
              <w:bottom w:val="single" w:sz="4" w:space="0" w:color="auto"/>
              <w:right w:val="single" w:sz="4" w:space="0" w:color="auto"/>
            </w:tcBorders>
          </w:tcPr>
          <w:p w14:paraId="3874D274" w14:textId="77777777" w:rsidR="00252379" w:rsidRPr="00220D66"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lang w:eastAsia="en-IE"/>
              </w:rPr>
            </w:pPr>
            <w:r>
              <w:rPr>
                <w:rFonts w:asciiTheme="minorHAnsi" w:hAnsiTheme="minorHAnsi" w:cs="Times New Roman"/>
                <w:lang w:eastAsia="en-IE"/>
              </w:rPr>
              <w:t>Total separately disclosed items</w:t>
            </w:r>
          </w:p>
        </w:tc>
        <w:tc>
          <w:tcPr>
            <w:tcW w:w="1134" w:type="dxa"/>
            <w:tcBorders>
              <w:top w:val="nil"/>
              <w:left w:val="single" w:sz="4" w:space="0" w:color="auto"/>
              <w:bottom w:val="single" w:sz="4" w:space="0" w:color="auto"/>
              <w:right w:val="single" w:sz="4" w:space="0" w:color="auto"/>
            </w:tcBorders>
            <w:shd w:val="clear" w:color="auto" w:fill="auto"/>
          </w:tcPr>
          <w:p w14:paraId="74BA7485" w14:textId="77777777" w:rsidR="00252379" w:rsidRPr="00191F7C"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Pr>
                <w:rFonts w:asciiTheme="minorHAnsi" w:hAnsiTheme="minorHAnsi" w:cs="Times New Roman"/>
                <w:lang w:eastAsia="en-IE"/>
              </w:rPr>
              <w:t>(131)</w:t>
            </w:r>
          </w:p>
        </w:tc>
        <w:tc>
          <w:tcPr>
            <w:tcW w:w="1134" w:type="dxa"/>
            <w:tcBorders>
              <w:top w:val="nil"/>
              <w:left w:val="single" w:sz="4" w:space="0" w:color="auto"/>
              <w:bottom w:val="single" w:sz="4" w:space="0" w:color="auto"/>
              <w:right w:val="single" w:sz="4" w:space="0" w:color="auto"/>
            </w:tcBorders>
            <w:shd w:val="clear" w:color="auto" w:fill="auto"/>
          </w:tcPr>
          <w:p w14:paraId="3014FDFD" w14:textId="77777777" w:rsidR="00252379" w:rsidRPr="00191F7C"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lang w:eastAsia="en-IE"/>
              </w:rPr>
            </w:pPr>
            <w:r w:rsidRPr="00191F7C">
              <w:rPr>
                <w:rFonts w:asciiTheme="minorHAnsi" w:hAnsiTheme="minorHAnsi" w:cs="Times New Roman"/>
                <w:lang w:eastAsia="en-IE"/>
              </w:rPr>
              <w:t>(138)</w:t>
            </w:r>
          </w:p>
        </w:tc>
      </w:tr>
    </w:tbl>
    <w:p w14:paraId="002F688B" w14:textId="5429F4C3" w:rsidR="00252379" w:rsidRPr="00E56186" w:rsidRDefault="00252379" w:rsidP="000C7A56">
      <w:pPr>
        <w:spacing w:before="120" w:after="120"/>
        <w:jc w:val="both"/>
        <w:rPr>
          <w:rFonts w:asciiTheme="minorHAnsi" w:hAnsiTheme="minorHAnsi"/>
          <w:sz w:val="22"/>
          <w:szCs w:val="22"/>
        </w:rPr>
      </w:pPr>
      <w:r w:rsidRPr="00E56186">
        <w:rPr>
          <w:rFonts w:asciiTheme="minorHAnsi" w:hAnsiTheme="minorHAnsi"/>
          <w:sz w:val="22"/>
          <w:szCs w:val="22"/>
        </w:rPr>
        <w:t>Separately disclosed items do not relate to the usual business activity of the Group and therefore are excluded from underlying</w:t>
      </w:r>
      <w:r w:rsidR="003D5E9F" w:rsidRPr="00676F2F">
        <w:rPr>
          <w:rFonts w:asciiTheme="minorHAnsi" w:hAnsiTheme="minorHAnsi"/>
          <w:sz w:val="22"/>
          <w:szCs w:val="22"/>
          <w:vertAlign w:val="superscript"/>
        </w:rPr>
        <w:t>1</w:t>
      </w:r>
      <w:r w:rsidRPr="00E56186">
        <w:rPr>
          <w:rFonts w:asciiTheme="minorHAnsi" w:hAnsiTheme="minorHAnsi"/>
          <w:sz w:val="22"/>
          <w:szCs w:val="22"/>
        </w:rPr>
        <w:t xml:space="preserve"> profits. </w:t>
      </w:r>
    </w:p>
    <w:p w14:paraId="35CA5A63" w14:textId="77777777" w:rsidR="00252379" w:rsidRPr="00E56186" w:rsidRDefault="00252379" w:rsidP="00252379">
      <w:pPr>
        <w:spacing w:after="120"/>
        <w:jc w:val="both"/>
        <w:rPr>
          <w:rFonts w:asciiTheme="minorHAnsi" w:hAnsiTheme="minorHAnsi"/>
          <w:sz w:val="22"/>
          <w:szCs w:val="22"/>
        </w:rPr>
      </w:pPr>
      <w:r w:rsidRPr="00E56186">
        <w:rPr>
          <w:rFonts w:asciiTheme="minorHAnsi" w:hAnsiTheme="minorHAnsi"/>
          <w:sz w:val="22"/>
          <w:szCs w:val="22"/>
        </w:rPr>
        <w:t>During 2019, these included £113m of amortisation of acquired intangible assets recognised on accounting for the 2016 merger of Paddy Power and Betfair, the 2018 combination of the Group’s US assets with FanDuel and the 2019 acquisition of Adjarabet.</w:t>
      </w:r>
    </w:p>
    <w:p w14:paraId="2EFA6328" w14:textId="175645CC" w:rsidR="00252379" w:rsidRPr="00E56186" w:rsidRDefault="000E2D6A" w:rsidP="00252379">
      <w:pPr>
        <w:spacing w:after="120"/>
        <w:jc w:val="both"/>
        <w:rPr>
          <w:rFonts w:asciiTheme="minorHAnsi" w:hAnsiTheme="minorHAnsi"/>
          <w:sz w:val="22"/>
          <w:szCs w:val="22"/>
        </w:rPr>
      </w:pPr>
      <w:r>
        <w:rPr>
          <w:rFonts w:asciiTheme="minorHAnsi" w:hAnsiTheme="minorHAnsi"/>
          <w:sz w:val="22"/>
          <w:szCs w:val="22"/>
        </w:rPr>
        <w:t xml:space="preserve">Transaction fees </w:t>
      </w:r>
      <w:r w:rsidR="00881508">
        <w:rPr>
          <w:rFonts w:asciiTheme="minorHAnsi" w:hAnsiTheme="minorHAnsi"/>
          <w:sz w:val="22"/>
          <w:szCs w:val="22"/>
        </w:rPr>
        <w:t>during</w:t>
      </w:r>
      <w:r>
        <w:rPr>
          <w:rFonts w:asciiTheme="minorHAnsi" w:hAnsiTheme="minorHAnsi"/>
          <w:sz w:val="22"/>
          <w:szCs w:val="22"/>
        </w:rPr>
        <w:t xml:space="preserve"> 2019 </w:t>
      </w:r>
      <w:r w:rsidR="00252379">
        <w:rPr>
          <w:rFonts w:asciiTheme="minorHAnsi" w:hAnsiTheme="minorHAnsi"/>
          <w:sz w:val="22"/>
          <w:szCs w:val="22"/>
        </w:rPr>
        <w:t>relate to costs</w:t>
      </w:r>
      <w:r w:rsidR="00252379" w:rsidRPr="00E56186">
        <w:rPr>
          <w:rFonts w:asciiTheme="minorHAnsi" w:hAnsiTheme="minorHAnsi"/>
          <w:sz w:val="22"/>
          <w:szCs w:val="22"/>
        </w:rPr>
        <w:t xml:space="preserve"> associated with the proposed combination with The Stars Group.</w:t>
      </w:r>
    </w:p>
    <w:p w14:paraId="56BAB991" w14:textId="77777777" w:rsidR="00252379" w:rsidRDefault="00252379" w:rsidP="00252379">
      <w:pPr>
        <w:spacing w:after="120"/>
        <w:jc w:val="both"/>
        <w:rPr>
          <w:rFonts w:asciiTheme="minorHAnsi" w:hAnsiTheme="minorHAnsi"/>
          <w:b/>
          <w:sz w:val="22"/>
          <w:szCs w:val="22"/>
        </w:rPr>
      </w:pPr>
    </w:p>
    <w:p w14:paraId="546DC6D1" w14:textId="77777777" w:rsidR="00252379" w:rsidRDefault="00252379" w:rsidP="00252379">
      <w:pPr>
        <w:spacing w:after="120"/>
        <w:jc w:val="both"/>
        <w:rPr>
          <w:rFonts w:asciiTheme="minorHAnsi" w:hAnsiTheme="minorHAnsi"/>
          <w:b/>
          <w:sz w:val="22"/>
          <w:szCs w:val="22"/>
        </w:rPr>
      </w:pPr>
    </w:p>
    <w:p w14:paraId="12712349" w14:textId="77777777" w:rsidR="00252379" w:rsidRDefault="00252379" w:rsidP="00252379">
      <w:pPr>
        <w:spacing w:after="120"/>
        <w:jc w:val="both"/>
        <w:rPr>
          <w:rFonts w:asciiTheme="minorHAnsi" w:hAnsiTheme="minorHAnsi"/>
          <w:b/>
          <w:sz w:val="22"/>
          <w:szCs w:val="22"/>
        </w:rPr>
      </w:pPr>
    </w:p>
    <w:p w14:paraId="19635574" w14:textId="77777777" w:rsidR="00252379" w:rsidRDefault="00252379" w:rsidP="00252379">
      <w:pPr>
        <w:spacing w:after="120"/>
        <w:jc w:val="both"/>
        <w:rPr>
          <w:rFonts w:asciiTheme="minorHAnsi" w:hAnsiTheme="minorHAnsi"/>
          <w:b/>
          <w:sz w:val="22"/>
          <w:szCs w:val="22"/>
        </w:rPr>
      </w:pPr>
    </w:p>
    <w:p w14:paraId="12D203E2" w14:textId="77777777" w:rsidR="00252379" w:rsidRDefault="00252379" w:rsidP="00252379">
      <w:pPr>
        <w:spacing w:after="120"/>
        <w:jc w:val="both"/>
        <w:rPr>
          <w:rFonts w:asciiTheme="minorHAnsi" w:hAnsiTheme="minorHAnsi"/>
          <w:b/>
          <w:sz w:val="22"/>
          <w:szCs w:val="22"/>
        </w:rPr>
      </w:pPr>
    </w:p>
    <w:p w14:paraId="1DEBA62F" w14:textId="77777777" w:rsidR="00252379" w:rsidRDefault="00252379" w:rsidP="00252379">
      <w:pPr>
        <w:spacing w:after="120"/>
        <w:jc w:val="both"/>
        <w:rPr>
          <w:rFonts w:asciiTheme="minorHAnsi" w:hAnsiTheme="minorHAnsi"/>
          <w:b/>
          <w:sz w:val="22"/>
          <w:szCs w:val="22"/>
        </w:rPr>
      </w:pPr>
    </w:p>
    <w:p w14:paraId="74530B93" w14:textId="77777777" w:rsidR="00252379" w:rsidRDefault="00252379" w:rsidP="00252379">
      <w:pPr>
        <w:spacing w:after="120"/>
        <w:jc w:val="both"/>
        <w:rPr>
          <w:rFonts w:asciiTheme="minorHAnsi" w:hAnsiTheme="minorHAnsi"/>
          <w:b/>
          <w:sz w:val="22"/>
          <w:szCs w:val="22"/>
        </w:rPr>
      </w:pPr>
    </w:p>
    <w:p w14:paraId="30EFF094" w14:textId="77777777" w:rsidR="00252379" w:rsidRDefault="00252379" w:rsidP="00252379">
      <w:pPr>
        <w:spacing w:after="120"/>
        <w:jc w:val="both"/>
        <w:rPr>
          <w:rFonts w:asciiTheme="minorHAnsi" w:hAnsiTheme="minorHAnsi"/>
          <w:b/>
          <w:sz w:val="22"/>
          <w:szCs w:val="22"/>
        </w:rPr>
      </w:pPr>
    </w:p>
    <w:p w14:paraId="7FED2013" w14:textId="77777777" w:rsidR="00252379" w:rsidRDefault="00252379" w:rsidP="00252379">
      <w:pPr>
        <w:spacing w:after="120"/>
        <w:jc w:val="both"/>
        <w:rPr>
          <w:rFonts w:asciiTheme="minorHAnsi" w:hAnsiTheme="minorHAnsi"/>
          <w:b/>
          <w:sz w:val="22"/>
          <w:szCs w:val="22"/>
        </w:rPr>
      </w:pPr>
    </w:p>
    <w:p w14:paraId="46F46F97" w14:textId="77777777" w:rsidR="00252379" w:rsidRDefault="00252379" w:rsidP="00252379">
      <w:pPr>
        <w:spacing w:after="120"/>
        <w:jc w:val="both"/>
        <w:rPr>
          <w:rFonts w:asciiTheme="minorHAnsi" w:hAnsiTheme="minorHAnsi"/>
          <w:b/>
          <w:sz w:val="22"/>
          <w:szCs w:val="22"/>
        </w:rPr>
      </w:pPr>
    </w:p>
    <w:p w14:paraId="2A69C2E8" w14:textId="77777777" w:rsidR="00252379" w:rsidRDefault="00252379" w:rsidP="00252379">
      <w:pPr>
        <w:spacing w:after="120"/>
        <w:jc w:val="both"/>
        <w:rPr>
          <w:rFonts w:asciiTheme="minorHAnsi" w:hAnsiTheme="minorHAnsi"/>
          <w:b/>
          <w:sz w:val="22"/>
          <w:szCs w:val="22"/>
        </w:rPr>
      </w:pPr>
    </w:p>
    <w:p w14:paraId="366709F6" w14:textId="77777777" w:rsidR="00252379" w:rsidRDefault="00252379" w:rsidP="00252379">
      <w:pPr>
        <w:spacing w:after="120"/>
        <w:jc w:val="both"/>
        <w:rPr>
          <w:rFonts w:asciiTheme="minorHAnsi" w:hAnsiTheme="minorHAnsi"/>
          <w:b/>
          <w:sz w:val="22"/>
          <w:szCs w:val="22"/>
        </w:rPr>
      </w:pPr>
    </w:p>
    <w:p w14:paraId="29F5E761" w14:textId="77777777" w:rsidR="00252379" w:rsidRDefault="00252379" w:rsidP="00252379">
      <w:pPr>
        <w:spacing w:after="120"/>
        <w:jc w:val="both"/>
        <w:rPr>
          <w:rFonts w:asciiTheme="minorHAnsi" w:hAnsiTheme="minorHAnsi"/>
          <w:b/>
          <w:sz w:val="22"/>
          <w:szCs w:val="22"/>
        </w:rPr>
      </w:pPr>
    </w:p>
    <w:p w14:paraId="59BA32E1" w14:textId="77777777" w:rsidR="00252379" w:rsidRDefault="00252379" w:rsidP="00252379">
      <w:pPr>
        <w:spacing w:after="120"/>
        <w:jc w:val="both"/>
        <w:rPr>
          <w:rFonts w:asciiTheme="minorHAnsi" w:hAnsiTheme="minorHAnsi"/>
          <w:b/>
          <w:sz w:val="22"/>
          <w:szCs w:val="22"/>
        </w:rPr>
      </w:pPr>
    </w:p>
    <w:p w14:paraId="573EB5E2" w14:textId="77777777" w:rsidR="00252379" w:rsidRDefault="00252379" w:rsidP="00252379">
      <w:pPr>
        <w:spacing w:after="120"/>
        <w:jc w:val="both"/>
        <w:rPr>
          <w:rFonts w:asciiTheme="minorHAnsi" w:hAnsiTheme="minorHAnsi"/>
          <w:b/>
          <w:sz w:val="22"/>
          <w:szCs w:val="22"/>
        </w:rPr>
      </w:pPr>
    </w:p>
    <w:p w14:paraId="1BD47845" w14:textId="77777777" w:rsidR="00252379" w:rsidRDefault="00252379" w:rsidP="00252379">
      <w:pPr>
        <w:spacing w:after="120"/>
        <w:jc w:val="both"/>
        <w:rPr>
          <w:rFonts w:asciiTheme="minorHAnsi" w:hAnsiTheme="minorHAnsi"/>
          <w:b/>
          <w:sz w:val="22"/>
          <w:szCs w:val="22"/>
        </w:rPr>
      </w:pPr>
    </w:p>
    <w:p w14:paraId="4116A863" w14:textId="77777777" w:rsidR="00252379" w:rsidRDefault="00252379" w:rsidP="00252379">
      <w:pPr>
        <w:spacing w:after="120"/>
        <w:jc w:val="both"/>
        <w:rPr>
          <w:rFonts w:asciiTheme="minorHAnsi" w:hAnsiTheme="minorHAnsi"/>
          <w:b/>
          <w:sz w:val="22"/>
          <w:szCs w:val="22"/>
        </w:rPr>
      </w:pPr>
    </w:p>
    <w:p w14:paraId="1D46B615" w14:textId="77777777" w:rsidR="00252379" w:rsidRDefault="00252379" w:rsidP="00252379">
      <w:pPr>
        <w:widowControl/>
        <w:autoSpaceDE/>
        <w:autoSpaceDN/>
        <w:adjustRightInd/>
        <w:rPr>
          <w:rFonts w:asciiTheme="minorHAnsi" w:hAnsiTheme="minorHAnsi"/>
          <w:b/>
          <w:sz w:val="22"/>
          <w:szCs w:val="22"/>
        </w:rPr>
      </w:pPr>
      <w:r>
        <w:rPr>
          <w:rFonts w:asciiTheme="minorHAnsi" w:hAnsiTheme="minorHAnsi"/>
          <w:b/>
          <w:sz w:val="22"/>
          <w:szCs w:val="22"/>
        </w:rPr>
        <w:br w:type="page"/>
      </w:r>
    </w:p>
    <w:p w14:paraId="3CC40E7C" w14:textId="77777777" w:rsidR="00252379" w:rsidRDefault="00252379" w:rsidP="00252379">
      <w:pPr>
        <w:spacing w:after="120"/>
        <w:jc w:val="both"/>
        <w:rPr>
          <w:rFonts w:asciiTheme="minorHAnsi" w:hAnsiTheme="minorHAnsi"/>
          <w:b/>
          <w:sz w:val="22"/>
          <w:szCs w:val="22"/>
        </w:rPr>
      </w:pPr>
      <w:r>
        <w:rPr>
          <w:rFonts w:asciiTheme="minorHAnsi" w:hAnsiTheme="minorHAnsi"/>
          <w:b/>
          <w:sz w:val="22"/>
          <w:szCs w:val="22"/>
        </w:rPr>
        <w:lastRenderedPageBreak/>
        <w:t>Cash flow and financial position</w:t>
      </w:r>
    </w:p>
    <w:p w14:paraId="486C7021" w14:textId="1D985938" w:rsidR="00252379" w:rsidRPr="00FF2520" w:rsidRDefault="00252379" w:rsidP="00252379">
      <w:pPr>
        <w:spacing w:after="120"/>
        <w:jc w:val="both"/>
        <w:rPr>
          <w:rFonts w:asciiTheme="minorHAnsi" w:hAnsiTheme="minorHAnsi"/>
          <w:b/>
          <w:sz w:val="22"/>
          <w:szCs w:val="22"/>
        </w:rPr>
      </w:pPr>
      <w:r>
        <w:rPr>
          <w:rFonts w:asciiTheme="minorHAnsi" w:hAnsiTheme="minorHAnsi"/>
          <w:sz w:val="21"/>
          <w:szCs w:val="21"/>
        </w:rPr>
        <w:t>As at 31</w:t>
      </w:r>
      <w:r w:rsidRPr="00E52EBA">
        <w:rPr>
          <w:rFonts w:asciiTheme="minorHAnsi" w:hAnsiTheme="minorHAnsi"/>
          <w:sz w:val="21"/>
          <w:szCs w:val="21"/>
        </w:rPr>
        <w:t xml:space="preserve"> </w:t>
      </w:r>
      <w:r>
        <w:rPr>
          <w:rFonts w:asciiTheme="minorHAnsi" w:hAnsiTheme="minorHAnsi"/>
          <w:sz w:val="21"/>
          <w:szCs w:val="21"/>
        </w:rPr>
        <w:t>December</w:t>
      </w:r>
      <w:r w:rsidRPr="00E52EBA">
        <w:rPr>
          <w:rFonts w:asciiTheme="minorHAnsi" w:hAnsiTheme="minorHAnsi"/>
          <w:sz w:val="21"/>
          <w:szCs w:val="21"/>
        </w:rPr>
        <w:t xml:space="preserve"> 201</w:t>
      </w:r>
      <w:r>
        <w:rPr>
          <w:rFonts w:asciiTheme="minorHAnsi" w:hAnsiTheme="minorHAnsi"/>
          <w:sz w:val="21"/>
          <w:szCs w:val="21"/>
        </w:rPr>
        <w:t>9</w:t>
      </w:r>
      <w:r w:rsidRPr="00E52EBA">
        <w:rPr>
          <w:rFonts w:asciiTheme="minorHAnsi" w:hAnsiTheme="minorHAnsi"/>
          <w:sz w:val="21"/>
          <w:szCs w:val="21"/>
        </w:rPr>
        <w:t xml:space="preserve">, the Group had net </w:t>
      </w:r>
      <w:r w:rsidRPr="005E703E">
        <w:rPr>
          <w:rFonts w:asciiTheme="minorHAnsi" w:hAnsiTheme="minorHAnsi"/>
          <w:sz w:val="21"/>
          <w:szCs w:val="21"/>
        </w:rPr>
        <w:t>debt of £</w:t>
      </w:r>
      <w:r w:rsidR="00FF0FD0" w:rsidRPr="005E703E">
        <w:rPr>
          <w:rFonts w:asciiTheme="minorHAnsi" w:hAnsiTheme="minorHAnsi"/>
          <w:sz w:val="21"/>
          <w:szCs w:val="21"/>
        </w:rPr>
        <w:t>26</w:t>
      </w:r>
      <w:r w:rsidR="00FF0FD0">
        <w:rPr>
          <w:rFonts w:asciiTheme="minorHAnsi" w:hAnsiTheme="minorHAnsi"/>
          <w:sz w:val="21"/>
          <w:szCs w:val="21"/>
        </w:rPr>
        <w:t>5</w:t>
      </w:r>
      <w:r w:rsidR="00FF0FD0" w:rsidRPr="005E703E">
        <w:rPr>
          <w:rFonts w:asciiTheme="minorHAnsi" w:hAnsiTheme="minorHAnsi"/>
          <w:sz w:val="21"/>
          <w:szCs w:val="21"/>
        </w:rPr>
        <w:t>m</w:t>
      </w:r>
      <w:r w:rsidRPr="005E703E">
        <w:rPr>
          <w:rFonts w:asciiTheme="minorHAnsi" w:hAnsiTheme="minorHAnsi"/>
          <w:sz w:val="21"/>
          <w:szCs w:val="21"/>
        </w:rPr>
        <w:t>, excluding customer balances</w:t>
      </w:r>
      <w:r w:rsidRPr="00E52EBA">
        <w:rPr>
          <w:rFonts w:asciiTheme="minorHAnsi" w:hAnsiTheme="minorHAnsi"/>
          <w:sz w:val="21"/>
          <w:szCs w:val="21"/>
        </w:rPr>
        <w:t xml:space="preserve">. </w:t>
      </w:r>
      <w:r>
        <w:rPr>
          <w:rFonts w:asciiTheme="minorHAnsi" w:hAnsiTheme="minorHAnsi"/>
          <w:b/>
          <w:sz w:val="22"/>
          <w:szCs w:val="22"/>
        </w:rPr>
        <w:t xml:space="preserve"> </w:t>
      </w:r>
    </w:p>
    <w:tbl>
      <w:tblPr>
        <w:tblW w:w="6237" w:type="dxa"/>
        <w:tblLayout w:type="fixed"/>
        <w:tblCellMar>
          <w:left w:w="57" w:type="dxa"/>
          <w:right w:w="57" w:type="dxa"/>
        </w:tblCellMar>
        <w:tblLook w:val="04A0" w:firstRow="1" w:lastRow="0" w:firstColumn="1" w:lastColumn="0" w:noHBand="0" w:noVBand="1"/>
      </w:tblPr>
      <w:tblGrid>
        <w:gridCol w:w="3969"/>
        <w:gridCol w:w="1134"/>
        <w:gridCol w:w="1134"/>
      </w:tblGrid>
      <w:tr w:rsidR="00252379" w:rsidRPr="00443C47" w14:paraId="50E73393" w14:textId="77777777" w:rsidTr="00F91068">
        <w:trPr>
          <w:trHeight w:val="615"/>
        </w:trPr>
        <w:tc>
          <w:tcPr>
            <w:tcW w:w="3969" w:type="dxa"/>
            <w:tcBorders>
              <w:top w:val="single" w:sz="4" w:space="0" w:color="auto"/>
              <w:left w:val="single" w:sz="4" w:space="0" w:color="auto"/>
              <w:bottom w:val="single" w:sz="4" w:space="0" w:color="auto"/>
              <w:right w:val="nil"/>
            </w:tcBorders>
          </w:tcPr>
          <w:p w14:paraId="03168DF7" w14:textId="77777777" w:rsidR="00252379" w:rsidRPr="003945C3"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jc w:val="both"/>
              <w:rPr>
                <w:rFonts w:asciiTheme="minorHAnsi" w:hAnsiTheme="minorHAnsi" w:cs="Times New Roman"/>
                <w:b/>
                <w:lang w:eastAsia="en-IE"/>
              </w:rPr>
            </w:pPr>
            <w:r w:rsidRPr="003945C3">
              <w:rPr>
                <w:rFonts w:asciiTheme="minorHAnsi" w:hAnsiTheme="minorHAnsi" w:cs="Times New Roman"/>
                <w:b/>
                <w:lang w:eastAsia="en-IE"/>
              </w:rPr>
              <w:t>£m</w:t>
            </w:r>
          </w:p>
          <w:p w14:paraId="1350E665" w14:textId="77777777" w:rsidR="00252379" w:rsidRPr="003945C3"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i/>
                <w:sz w:val="18"/>
                <w:szCs w:val="18"/>
                <w:lang w:eastAsia="en-IE"/>
              </w:rPr>
            </w:pPr>
            <w:r>
              <w:rPr>
                <w:rFonts w:asciiTheme="minorHAnsi" w:hAnsiTheme="minorHAnsi" w:cs="Times New Roman"/>
                <w:i/>
                <w:sz w:val="18"/>
                <w:szCs w:val="18"/>
                <w:lang w:eastAsia="en-IE"/>
              </w:rPr>
              <w:t>Pre IFRS 16 adjustments</w:t>
            </w:r>
          </w:p>
        </w:tc>
        <w:tc>
          <w:tcPr>
            <w:tcW w:w="1134" w:type="dxa"/>
            <w:tcBorders>
              <w:top w:val="single" w:sz="4" w:space="0" w:color="auto"/>
              <w:left w:val="nil"/>
              <w:bottom w:val="single" w:sz="4" w:space="0" w:color="auto"/>
              <w:right w:val="nil"/>
            </w:tcBorders>
            <w:shd w:val="clear" w:color="auto" w:fill="auto"/>
          </w:tcPr>
          <w:p w14:paraId="21A363DF" w14:textId="77777777" w:rsidR="00252379" w:rsidRPr="006D3B6C"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6D3B6C">
              <w:rPr>
                <w:rFonts w:asciiTheme="minorHAnsi" w:hAnsiTheme="minorHAnsi" w:cs="Times New Roman"/>
                <w:b/>
                <w:lang w:eastAsia="en-IE"/>
              </w:rPr>
              <w:t>201</w:t>
            </w:r>
            <w:r>
              <w:rPr>
                <w:rFonts w:asciiTheme="minorHAnsi" w:hAnsiTheme="minorHAnsi" w:cs="Times New Roman"/>
                <w:b/>
                <w:lang w:eastAsia="en-IE"/>
              </w:rPr>
              <w:t>9</w:t>
            </w:r>
          </w:p>
          <w:p w14:paraId="143B2ED1" w14:textId="77777777" w:rsidR="00252379" w:rsidRPr="006D3B6C" w:rsidRDefault="00252379" w:rsidP="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6D3B6C">
              <w:rPr>
                <w:rFonts w:asciiTheme="minorHAnsi" w:hAnsiTheme="minorHAnsi" w:cs="Times New Roman"/>
                <w:b/>
                <w:lang w:eastAsia="en-IE"/>
              </w:rPr>
              <w:t>£m</w:t>
            </w:r>
          </w:p>
        </w:tc>
        <w:tc>
          <w:tcPr>
            <w:tcW w:w="1134" w:type="dxa"/>
            <w:tcBorders>
              <w:top w:val="single" w:sz="4" w:space="0" w:color="auto"/>
              <w:left w:val="nil"/>
              <w:bottom w:val="single" w:sz="4" w:space="0" w:color="auto"/>
              <w:right w:val="single" w:sz="4" w:space="0" w:color="auto"/>
            </w:tcBorders>
            <w:shd w:val="clear" w:color="auto" w:fill="auto"/>
          </w:tcPr>
          <w:p w14:paraId="3D7FC25F" w14:textId="77777777" w:rsidR="00252379" w:rsidRPr="006D3B6C"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6D3B6C">
              <w:rPr>
                <w:rFonts w:asciiTheme="minorHAnsi" w:hAnsiTheme="minorHAnsi" w:cs="Times New Roman"/>
                <w:b/>
                <w:lang w:eastAsia="en-IE"/>
              </w:rPr>
              <w:t>201</w:t>
            </w:r>
            <w:r>
              <w:rPr>
                <w:rFonts w:asciiTheme="minorHAnsi" w:hAnsiTheme="minorHAnsi" w:cs="Times New Roman"/>
                <w:b/>
                <w:lang w:eastAsia="en-IE"/>
              </w:rPr>
              <w:t>8</w:t>
            </w:r>
          </w:p>
          <w:p w14:paraId="6950840F" w14:textId="77777777" w:rsidR="00252379" w:rsidRPr="006D3B6C"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6D3B6C">
              <w:rPr>
                <w:rFonts w:asciiTheme="minorHAnsi" w:hAnsiTheme="minorHAnsi" w:cs="Times New Roman"/>
                <w:b/>
                <w:lang w:eastAsia="en-IE"/>
              </w:rPr>
              <w:t>£m</w:t>
            </w:r>
          </w:p>
        </w:tc>
      </w:tr>
      <w:tr w:rsidR="008C17B5" w:rsidRPr="00CA2404" w14:paraId="02A66A3B" w14:textId="77777777" w:rsidTr="00A028FD">
        <w:trPr>
          <w:trHeight w:val="334"/>
        </w:trPr>
        <w:tc>
          <w:tcPr>
            <w:tcW w:w="3969" w:type="dxa"/>
            <w:tcBorders>
              <w:top w:val="single" w:sz="4" w:space="0" w:color="auto"/>
              <w:left w:val="single" w:sz="4" w:space="0" w:color="auto"/>
            </w:tcBorders>
            <w:vAlign w:val="center"/>
          </w:tcPr>
          <w:p w14:paraId="477407A6" w14:textId="77777777" w:rsidR="00252379" w:rsidRPr="00A028FD"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rPr>
            </w:pPr>
            <w:r w:rsidRPr="003945C3">
              <w:rPr>
                <w:rFonts w:asciiTheme="minorHAnsi" w:hAnsiTheme="minorHAnsi" w:cs="Times New Roman"/>
                <w:lang w:eastAsia="en-IE"/>
              </w:rPr>
              <w:t>Underlying EBITDA</w:t>
            </w:r>
            <w:r w:rsidRPr="00A028FD">
              <w:rPr>
                <w:rFonts w:asciiTheme="minorHAnsi" w:hAnsiTheme="minorHAnsi"/>
                <w:vertAlign w:val="superscript"/>
              </w:rPr>
              <w:t>1,2</w:t>
            </w:r>
          </w:p>
        </w:tc>
        <w:tc>
          <w:tcPr>
            <w:tcW w:w="1134" w:type="dxa"/>
            <w:tcBorders>
              <w:top w:val="single" w:sz="4" w:space="0" w:color="auto"/>
            </w:tcBorders>
            <w:shd w:val="clear" w:color="auto" w:fill="auto"/>
          </w:tcPr>
          <w:p w14:paraId="49564D29"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sidRPr="00793431">
              <w:rPr>
                <w:rFonts w:asciiTheme="minorHAnsi" w:hAnsiTheme="minorHAnsi" w:cs="Times New Roman"/>
                <w:lang w:eastAsia="en-IE"/>
              </w:rPr>
              <w:t>385</w:t>
            </w:r>
          </w:p>
        </w:tc>
        <w:tc>
          <w:tcPr>
            <w:tcW w:w="1134" w:type="dxa"/>
            <w:tcBorders>
              <w:top w:val="single" w:sz="4" w:space="0" w:color="auto"/>
              <w:right w:val="single" w:sz="4" w:space="0" w:color="auto"/>
            </w:tcBorders>
            <w:shd w:val="clear" w:color="auto" w:fill="auto"/>
          </w:tcPr>
          <w:p w14:paraId="0EDB0047"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sidRPr="00065279">
              <w:rPr>
                <w:rFonts w:asciiTheme="minorHAnsi" w:hAnsiTheme="minorHAnsi" w:cs="Times New Roman"/>
                <w:lang w:eastAsia="en-IE"/>
              </w:rPr>
              <w:t>451</w:t>
            </w:r>
          </w:p>
        </w:tc>
      </w:tr>
      <w:tr w:rsidR="00252379" w:rsidRPr="00CA2404" w14:paraId="0AB835F3" w14:textId="77777777" w:rsidTr="00A028FD">
        <w:trPr>
          <w:trHeight w:val="334"/>
        </w:trPr>
        <w:tc>
          <w:tcPr>
            <w:tcW w:w="3969" w:type="dxa"/>
            <w:tcBorders>
              <w:left w:val="single" w:sz="4" w:space="0" w:color="auto"/>
            </w:tcBorders>
            <w:vAlign w:val="center"/>
          </w:tcPr>
          <w:p w14:paraId="1AD887A6" w14:textId="77777777" w:rsidR="00252379" w:rsidRPr="003945C3"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6"/>
                <w:szCs w:val="6"/>
                <w:lang w:eastAsia="en-IE"/>
              </w:rPr>
            </w:pPr>
            <w:r w:rsidRPr="003945C3">
              <w:rPr>
                <w:rFonts w:asciiTheme="minorHAnsi" w:hAnsiTheme="minorHAnsi" w:cs="Times New Roman"/>
                <w:lang w:eastAsia="en-IE"/>
              </w:rPr>
              <w:t>Capex</w:t>
            </w:r>
          </w:p>
        </w:tc>
        <w:tc>
          <w:tcPr>
            <w:tcW w:w="1134" w:type="dxa"/>
            <w:shd w:val="clear" w:color="auto" w:fill="auto"/>
          </w:tcPr>
          <w:p w14:paraId="7FD8B34F" w14:textId="78A38445"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sidRPr="00793431">
              <w:rPr>
                <w:rFonts w:asciiTheme="minorHAnsi" w:hAnsiTheme="minorHAnsi" w:cs="Times New Roman"/>
                <w:lang w:eastAsia="en-IE"/>
              </w:rPr>
              <w:t>(</w:t>
            </w:r>
            <w:r w:rsidR="009A743E" w:rsidRPr="00793431">
              <w:rPr>
                <w:rFonts w:asciiTheme="minorHAnsi" w:hAnsiTheme="minorHAnsi" w:cs="Times New Roman"/>
                <w:lang w:eastAsia="en-IE"/>
              </w:rPr>
              <w:t>13</w:t>
            </w:r>
            <w:r w:rsidR="009A743E">
              <w:rPr>
                <w:rFonts w:asciiTheme="minorHAnsi" w:hAnsiTheme="minorHAnsi" w:cs="Times New Roman"/>
                <w:lang w:eastAsia="en-IE"/>
              </w:rPr>
              <w:t>6</w:t>
            </w:r>
            <w:r w:rsidRPr="00793431">
              <w:rPr>
                <w:rFonts w:asciiTheme="minorHAnsi" w:hAnsiTheme="minorHAnsi" w:cs="Times New Roman"/>
                <w:lang w:eastAsia="en-IE"/>
              </w:rPr>
              <w:t>)</w:t>
            </w:r>
          </w:p>
        </w:tc>
        <w:tc>
          <w:tcPr>
            <w:tcW w:w="1134" w:type="dxa"/>
            <w:tcBorders>
              <w:right w:val="single" w:sz="4" w:space="0" w:color="auto"/>
            </w:tcBorders>
            <w:shd w:val="clear" w:color="auto" w:fill="auto"/>
          </w:tcPr>
          <w:p w14:paraId="3763CCE5"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sidRPr="00065279">
              <w:rPr>
                <w:rFonts w:asciiTheme="minorHAnsi" w:hAnsiTheme="minorHAnsi" w:cs="Times New Roman"/>
                <w:lang w:eastAsia="en-IE"/>
              </w:rPr>
              <w:t>(</w:t>
            </w:r>
            <w:r>
              <w:rPr>
                <w:rFonts w:asciiTheme="minorHAnsi" w:hAnsiTheme="minorHAnsi" w:cs="Times New Roman"/>
                <w:lang w:eastAsia="en-IE"/>
              </w:rPr>
              <w:t>107</w:t>
            </w:r>
            <w:r w:rsidRPr="00065279">
              <w:rPr>
                <w:rFonts w:asciiTheme="minorHAnsi" w:hAnsiTheme="minorHAnsi" w:cs="Times New Roman"/>
                <w:lang w:eastAsia="en-IE"/>
              </w:rPr>
              <w:t>)</w:t>
            </w:r>
          </w:p>
        </w:tc>
      </w:tr>
      <w:tr w:rsidR="00252379" w:rsidRPr="002E4E9D" w14:paraId="223B967F" w14:textId="77777777" w:rsidTr="00A028FD">
        <w:trPr>
          <w:trHeight w:val="334"/>
        </w:trPr>
        <w:tc>
          <w:tcPr>
            <w:tcW w:w="3969" w:type="dxa"/>
            <w:tcBorders>
              <w:left w:val="single" w:sz="4" w:space="0" w:color="auto"/>
            </w:tcBorders>
            <w:vAlign w:val="center"/>
          </w:tcPr>
          <w:p w14:paraId="727C00D1" w14:textId="77777777" w:rsidR="00252379" w:rsidRPr="003945C3"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sidRPr="003945C3">
              <w:rPr>
                <w:rFonts w:asciiTheme="minorHAnsi" w:hAnsiTheme="minorHAnsi" w:cs="Times New Roman"/>
                <w:lang w:eastAsia="en-IE"/>
              </w:rPr>
              <w:t xml:space="preserve">Working capital </w:t>
            </w:r>
          </w:p>
        </w:tc>
        <w:tc>
          <w:tcPr>
            <w:tcW w:w="1134" w:type="dxa"/>
            <w:shd w:val="clear" w:color="auto" w:fill="auto"/>
          </w:tcPr>
          <w:p w14:paraId="1A3834AF" w14:textId="34163D7C" w:rsidR="00252379" w:rsidRPr="00065279" w:rsidRDefault="00FF0F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86</w:t>
            </w:r>
          </w:p>
        </w:tc>
        <w:tc>
          <w:tcPr>
            <w:tcW w:w="1134" w:type="dxa"/>
            <w:tcBorders>
              <w:right w:val="single" w:sz="4" w:space="0" w:color="auto"/>
            </w:tcBorders>
            <w:shd w:val="clear" w:color="auto" w:fill="auto"/>
          </w:tcPr>
          <w:p w14:paraId="7949E0A2"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(38</w:t>
            </w:r>
            <w:r w:rsidRPr="00065279">
              <w:rPr>
                <w:rFonts w:asciiTheme="minorHAnsi" w:hAnsiTheme="minorHAnsi" w:cs="Times New Roman"/>
                <w:lang w:eastAsia="en-IE"/>
              </w:rPr>
              <w:t>)</w:t>
            </w:r>
          </w:p>
        </w:tc>
      </w:tr>
      <w:tr w:rsidR="00252379" w:rsidRPr="002E4E9D" w14:paraId="19BD0710" w14:textId="77777777" w:rsidTr="00A028FD">
        <w:trPr>
          <w:trHeight w:val="334"/>
        </w:trPr>
        <w:tc>
          <w:tcPr>
            <w:tcW w:w="3969" w:type="dxa"/>
            <w:tcBorders>
              <w:left w:val="single" w:sz="4" w:space="0" w:color="auto"/>
            </w:tcBorders>
            <w:vAlign w:val="center"/>
          </w:tcPr>
          <w:p w14:paraId="6309527D" w14:textId="77777777" w:rsidR="00252379" w:rsidRPr="003945C3"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6"/>
                <w:szCs w:val="6"/>
                <w:lang w:eastAsia="en-IE"/>
              </w:rPr>
            </w:pPr>
            <w:r>
              <w:rPr>
                <w:rFonts w:asciiTheme="minorHAnsi" w:hAnsiTheme="minorHAnsi" w:cs="Times New Roman"/>
                <w:lang w:eastAsia="en-IE"/>
              </w:rPr>
              <w:t>Corporation</w:t>
            </w:r>
            <w:r w:rsidRPr="003945C3">
              <w:rPr>
                <w:rFonts w:asciiTheme="minorHAnsi" w:hAnsiTheme="minorHAnsi" w:cs="Times New Roman"/>
                <w:lang w:eastAsia="en-IE"/>
              </w:rPr>
              <w:t xml:space="preserve"> tax  </w:t>
            </w:r>
          </w:p>
        </w:tc>
        <w:tc>
          <w:tcPr>
            <w:tcW w:w="1134" w:type="dxa"/>
            <w:tcBorders>
              <w:bottom w:val="single" w:sz="4" w:space="0" w:color="auto"/>
            </w:tcBorders>
            <w:shd w:val="clear" w:color="auto" w:fill="auto"/>
          </w:tcPr>
          <w:p w14:paraId="77AE62C5"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(41)</w:t>
            </w:r>
          </w:p>
        </w:tc>
        <w:tc>
          <w:tcPr>
            <w:tcW w:w="1134" w:type="dxa"/>
            <w:tcBorders>
              <w:bottom w:val="single" w:sz="4" w:space="0" w:color="auto"/>
              <w:right w:val="single" w:sz="4" w:space="0" w:color="auto"/>
            </w:tcBorders>
            <w:shd w:val="clear" w:color="auto" w:fill="auto"/>
          </w:tcPr>
          <w:p w14:paraId="781005D7"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65279">
              <w:rPr>
                <w:rFonts w:asciiTheme="minorHAnsi" w:hAnsiTheme="minorHAnsi" w:cs="Times New Roman"/>
                <w:lang w:eastAsia="en-IE"/>
              </w:rPr>
              <w:t>(</w:t>
            </w:r>
            <w:r>
              <w:rPr>
                <w:rFonts w:asciiTheme="minorHAnsi" w:hAnsiTheme="minorHAnsi" w:cs="Times New Roman"/>
                <w:lang w:eastAsia="en-IE"/>
              </w:rPr>
              <w:t>60</w:t>
            </w:r>
            <w:r w:rsidRPr="00065279">
              <w:rPr>
                <w:rFonts w:asciiTheme="minorHAnsi" w:hAnsiTheme="minorHAnsi" w:cs="Times New Roman"/>
                <w:lang w:eastAsia="en-IE"/>
              </w:rPr>
              <w:t>)</w:t>
            </w:r>
          </w:p>
        </w:tc>
      </w:tr>
      <w:tr w:rsidR="00252379" w:rsidRPr="00CA2404" w14:paraId="620A6651" w14:textId="77777777" w:rsidTr="00A028FD">
        <w:trPr>
          <w:trHeight w:val="334"/>
        </w:trPr>
        <w:tc>
          <w:tcPr>
            <w:tcW w:w="3969" w:type="dxa"/>
            <w:tcBorders>
              <w:left w:val="single" w:sz="4" w:space="0" w:color="auto"/>
            </w:tcBorders>
            <w:vAlign w:val="center"/>
          </w:tcPr>
          <w:p w14:paraId="718A9777" w14:textId="689FD1CD" w:rsidR="00252379" w:rsidRPr="003945C3"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6"/>
                <w:szCs w:val="6"/>
                <w:lang w:eastAsia="en-IE"/>
              </w:rPr>
            </w:pPr>
            <w:r w:rsidRPr="003945C3">
              <w:rPr>
                <w:rFonts w:asciiTheme="minorHAnsi" w:hAnsiTheme="minorHAnsi" w:cs="Times New Roman"/>
                <w:b/>
                <w:lang w:eastAsia="en-IE"/>
              </w:rPr>
              <w:t>Underlying</w:t>
            </w:r>
            <w:r w:rsidR="003D5E9F" w:rsidRPr="00676F2F">
              <w:rPr>
                <w:rFonts w:asciiTheme="minorHAnsi" w:hAnsiTheme="minorHAnsi" w:cs="Times New Roman"/>
                <w:b/>
                <w:vertAlign w:val="superscript"/>
                <w:lang w:eastAsia="en-IE"/>
              </w:rPr>
              <w:t>1</w:t>
            </w:r>
            <w:r w:rsidRPr="003945C3">
              <w:rPr>
                <w:rFonts w:asciiTheme="minorHAnsi" w:hAnsiTheme="minorHAnsi" w:cs="Times New Roman"/>
                <w:b/>
                <w:lang w:eastAsia="en-IE"/>
              </w:rPr>
              <w:t xml:space="preserve"> free cash flow</w:t>
            </w:r>
          </w:p>
        </w:tc>
        <w:tc>
          <w:tcPr>
            <w:tcW w:w="1134" w:type="dxa"/>
            <w:shd w:val="clear" w:color="auto" w:fill="auto"/>
          </w:tcPr>
          <w:p w14:paraId="6CE19EF9" w14:textId="54417F9C" w:rsidR="00252379" w:rsidRPr="00065279" w:rsidRDefault="00FF0F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Pr>
                <w:rFonts w:asciiTheme="minorHAnsi" w:hAnsiTheme="minorHAnsi" w:cs="Times New Roman"/>
                <w:b/>
                <w:lang w:eastAsia="en-IE"/>
              </w:rPr>
              <w:t>295</w:t>
            </w:r>
          </w:p>
        </w:tc>
        <w:tc>
          <w:tcPr>
            <w:tcW w:w="1134" w:type="dxa"/>
            <w:tcBorders>
              <w:right w:val="single" w:sz="4" w:space="0" w:color="auto"/>
            </w:tcBorders>
            <w:shd w:val="clear" w:color="auto" w:fill="auto"/>
          </w:tcPr>
          <w:p w14:paraId="269CA248"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Pr>
                <w:rFonts w:asciiTheme="minorHAnsi" w:hAnsiTheme="minorHAnsi" w:cs="Times New Roman"/>
                <w:b/>
                <w:lang w:eastAsia="en-IE"/>
              </w:rPr>
              <w:t>247</w:t>
            </w:r>
          </w:p>
        </w:tc>
      </w:tr>
      <w:tr w:rsidR="00252379" w:rsidRPr="00E40E55" w14:paraId="0CEE81B0" w14:textId="77777777" w:rsidTr="00A028FD">
        <w:trPr>
          <w:trHeight w:val="334"/>
        </w:trPr>
        <w:tc>
          <w:tcPr>
            <w:tcW w:w="3969" w:type="dxa"/>
            <w:tcBorders>
              <w:left w:val="single" w:sz="4" w:space="0" w:color="auto"/>
            </w:tcBorders>
            <w:vAlign w:val="center"/>
          </w:tcPr>
          <w:p w14:paraId="59B147A4" w14:textId="77777777" w:rsidR="00252379" w:rsidRPr="003945C3"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sidRPr="003945C3">
              <w:rPr>
                <w:rFonts w:asciiTheme="minorHAnsi" w:hAnsiTheme="minorHAnsi" w:cs="Times New Roman"/>
                <w:lang w:eastAsia="en-IE"/>
              </w:rPr>
              <w:t>Cash flow from separately disclosed items</w:t>
            </w:r>
          </w:p>
        </w:tc>
        <w:tc>
          <w:tcPr>
            <w:tcW w:w="1134" w:type="dxa"/>
            <w:tcBorders>
              <w:bottom w:val="single" w:sz="4" w:space="0" w:color="auto"/>
            </w:tcBorders>
            <w:shd w:val="clear" w:color="auto" w:fill="auto"/>
          </w:tcPr>
          <w:p w14:paraId="01165558"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(13)</w:t>
            </w:r>
          </w:p>
        </w:tc>
        <w:tc>
          <w:tcPr>
            <w:tcW w:w="1134" w:type="dxa"/>
            <w:tcBorders>
              <w:bottom w:val="single" w:sz="4" w:space="0" w:color="auto"/>
              <w:right w:val="single" w:sz="4" w:space="0" w:color="auto"/>
            </w:tcBorders>
            <w:shd w:val="clear" w:color="auto" w:fill="auto"/>
          </w:tcPr>
          <w:p w14:paraId="50D4C09F"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65279">
              <w:rPr>
                <w:rFonts w:asciiTheme="minorHAnsi" w:hAnsiTheme="minorHAnsi" w:cs="Times New Roman"/>
                <w:lang w:eastAsia="en-IE"/>
              </w:rPr>
              <w:t>(</w:t>
            </w:r>
            <w:r>
              <w:rPr>
                <w:rFonts w:asciiTheme="minorHAnsi" w:hAnsiTheme="minorHAnsi" w:cs="Times New Roman"/>
                <w:lang w:eastAsia="en-IE"/>
              </w:rPr>
              <w:t>1</w:t>
            </w:r>
            <w:r w:rsidRPr="00065279">
              <w:rPr>
                <w:rFonts w:asciiTheme="minorHAnsi" w:hAnsiTheme="minorHAnsi" w:cs="Times New Roman"/>
                <w:lang w:eastAsia="en-IE"/>
              </w:rPr>
              <w:t>)</w:t>
            </w:r>
          </w:p>
        </w:tc>
      </w:tr>
      <w:tr w:rsidR="00252379" w:rsidRPr="00E40E55" w14:paraId="48E6F75E" w14:textId="77777777" w:rsidTr="00A028FD">
        <w:trPr>
          <w:trHeight w:val="334"/>
        </w:trPr>
        <w:tc>
          <w:tcPr>
            <w:tcW w:w="3969" w:type="dxa"/>
            <w:tcBorders>
              <w:left w:val="single" w:sz="4" w:space="0" w:color="auto"/>
            </w:tcBorders>
            <w:vAlign w:val="center"/>
          </w:tcPr>
          <w:p w14:paraId="486F46F5" w14:textId="77777777" w:rsidR="00252379" w:rsidRPr="00EC083E"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lang w:eastAsia="en-IE"/>
              </w:rPr>
            </w:pPr>
            <w:r w:rsidRPr="00EC083E">
              <w:rPr>
                <w:rFonts w:asciiTheme="minorHAnsi" w:hAnsiTheme="minorHAnsi" w:cs="Times New Roman"/>
                <w:b/>
                <w:lang w:eastAsia="en-IE"/>
              </w:rPr>
              <w:t>Free cash flow</w:t>
            </w:r>
          </w:p>
        </w:tc>
        <w:tc>
          <w:tcPr>
            <w:tcW w:w="1134" w:type="dxa"/>
            <w:shd w:val="clear" w:color="auto" w:fill="auto"/>
          </w:tcPr>
          <w:p w14:paraId="70020270" w14:textId="1AB66088" w:rsidR="00252379" w:rsidRPr="00065279" w:rsidRDefault="00FF0F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282</w:t>
            </w:r>
          </w:p>
        </w:tc>
        <w:tc>
          <w:tcPr>
            <w:tcW w:w="1134" w:type="dxa"/>
            <w:tcBorders>
              <w:right w:val="single" w:sz="4" w:space="0" w:color="auto"/>
            </w:tcBorders>
            <w:shd w:val="clear" w:color="auto" w:fill="auto"/>
          </w:tcPr>
          <w:p w14:paraId="18246FF0"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065279">
              <w:rPr>
                <w:rFonts w:asciiTheme="minorHAnsi" w:hAnsiTheme="minorHAnsi" w:cs="Times New Roman"/>
                <w:b/>
                <w:lang w:eastAsia="en-IE"/>
              </w:rPr>
              <w:t>2</w:t>
            </w:r>
            <w:r>
              <w:rPr>
                <w:rFonts w:asciiTheme="minorHAnsi" w:hAnsiTheme="minorHAnsi" w:cs="Times New Roman"/>
                <w:b/>
                <w:lang w:eastAsia="en-IE"/>
              </w:rPr>
              <w:t>46</w:t>
            </w:r>
          </w:p>
        </w:tc>
      </w:tr>
      <w:tr w:rsidR="00252379" w:rsidRPr="00443C47" w14:paraId="7815377F" w14:textId="77777777" w:rsidTr="00A028FD">
        <w:trPr>
          <w:trHeight w:val="334"/>
        </w:trPr>
        <w:tc>
          <w:tcPr>
            <w:tcW w:w="3969" w:type="dxa"/>
            <w:tcBorders>
              <w:left w:val="single" w:sz="4" w:space="0" w:color="auto"/>
            </w:tcBorders>
            <w:vAlign w:val="center"/>
          </w:tcPr>
          <w:p w14:paraId="4F7BBABF" w14:textId="77777777" w:rsidR="00252379" w:rsidRPr="003945C3"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sidRPr="003945C3">
              <w:rPr>
                <w:rFonts w:asciiTheme="minorHAnsi" w:hAnsiTheme="minorHAnsi" w:cs="Times New Roman"/>
                <w:lang w:eastAsia="en-IE"/>
              </w:rPr>
              <w:t>Dividends paid</w:t>
            </w:r>
          </w:p>
        </w:tc>
        <w:tc>
          <w:tcPr>
            <w:tcW w:w="1134" w:type="dxa"/>
            <w:shd w:val="clear" w:color="auto" w:fill="auto"/>
          </w:tcPr>
          <w:p w14:paraId="58B81CFC"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(156)</w:t>
            </w:r>
          </w:p>
        </w:tc>
        <w:tc>
          <w:tcPr>
            <w:tcW w:w="1134" w:type="dxa"/>
            <w:tcBorders>
              <w:right w:val="single" w:sz="4" w:space="0" w:color="auto"/>
            </w:tcBorders>
            <w:shd w:val="clear" w:color="auto" w:fill="auto"/>
          </w:tcPr>
          <w:p w14:paraId="2A3CC318"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65279">
              <w:rPr>
                <w:rFonts w:asciiTheme="minorHAnsi" w:hAnsiTheme="minorHAnsi" w:cs="Times New Roman"/>
                <w:lang w:eastAsia="en-IE"/>
              </w:rPr>
              <w:t>(169)</w:t>
            </w:r>
          </w:p>
        </w:tc>
      </w:tr>
      <w:tr w:rsidR="00252379" w:rsidRPr="001F75A8" w14:paraId="4C898F68" w14:textId="77777777" w:rsidTr="00A028FD">
        <w:trPr>
          <w:trHeight w:val="334"/>
        </w:trPr>
        <w:tc>
          <w:tcPr>
            <w:tcW w:w="3969" w:type="dxa"/>
            <w:tcBorders>
              <w:left w:val="single" w:sz="4" w:space="0" w:color="auto"/>
            </w:tcBorders>
            <w:vAlign w:val="center"/>
          </w:tcPr>
          <w:p w14:paraId="60FF03C9" w14:textId="77777777" w:rsidR="00252379"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Pr>
                <w:rFonts w:asciiTheme="minorHAnsi" w:hAnsiTheme="minorHAnsi" w:cs="Times New Roman"/>
                <w:lang w:eastAsia="en-IE"/>
              </w:rPr>
              <w:t>Share buyback</w:t>
            </w:r>
          </w:p>
        </w:tc>
        <w:tc>
          <w:tcPr>
            <w:tcW w:w="1134" w:type="dxa"/>
            <w:shd w:val="clear" w:color="auto" w:fill="auto"/>
          </w:tcPr>
          <w:p w14:paraId="32413194"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(87)</w:t>
            </w:r>
          </w:p>
        </w:tc>
        <w:tc>
          <w:tcPr>
            <w:tcW w:w="1134" w:type="dxa"/>
            <w:tcBorders>
              <w:right w:val="single" w:sz="4" w:space="0" w:color="auto"/>
            </w:tcBorders>
            <w:shd w:val="clear" w:color="auto" w:fill="auto"/>
          </w:tcPr>
          <w:p w14:paraId="0A17C267"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(415</w:t>
            </w:r>
            <w:r w:rsidRPr="00065279">
              <w:rPr>
                <w:rFonts w:asciiTheme="minorHAnsi" w:hAnsiTheme="minorHAnsi" w:cs="Times New Roman"/>
                <w:lang w:eastAsia="en-IE"/>
              </w:rPr>
              <w:t>)</w:t>
            </w:r>
          </w:p>
        </w:tc>
      </w:tr>
      <w:tr w:rsidR="00252379" w:rsidRPr="001F75A8" w14:paraId="58D61A3C" w14:textId="77777777" w:rsidTr="00A028FD">
        <w:trPr>
          <w:trHeight w:val="334"/>
        </w:trPr>
        <w:tc>
          <w:tcPr>
            <w:tcW w:w="3969" w:type="dxa"/>
            <w:tcBorders>
              <w:left w:val="single" w:sz="4" w:space="0" w:color="auto"/>
            </w:tcBorders>
            <w:vAlign w:val="center"/>
          </w:tcPr>
          <w:p w14:paraId="544F6624" w14:textId="77777777" w:rsidR="00252379" w:rsidRPr="003945C3"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Pr>
                <w:rFonts w:asciiTheme="minorHAnsi" w:hAnsiTheme="minorHAnsi" w:cs="Times New Roman"/>
                <w:lang w:eastAsia="en-IE"/>
              </w:rPr>
              <w:t xml:space="preserve">Acquisitions (2019 Adjarabet; 2018 </w:t>
            </w:r>
            <w:proofErr w:type="spellStart"/>
            <w:r>
              <w:rPr>
                <w:rFonts w:asciiTheme="minorHAnsi" w:hAnsiTheme="minorHAnsi" w:cs="Times New Roman"/>
                <w:lang w:eastAsia="en-IE"/>
              </w:rPr>
              <w:t>FanDuel</w:t>
            </w:r>
            <w:proofErr w:type="spellEnd"/>
            <w:r>
              <w:rPr>
                <w:rFonts w:asciiTheme="minorHAnsi" w:hAnsiTheme="minorHAnsi" w:cs="Times New Roman"/>
                <w:lang w:eastAsia="en-IE"/>
              </w:rPr>
              <w:t>)</w:t>
            </w:r>
          </w:p>
        </w:tc>
        <w:tc>
          <w:tcPr>
            <w:tcW w:w="1134" w:type="dxa"/>
            <w:shd w:val="clear" w:color="auto" w:fill="auto"/>
          </w:tcPr>
          <w:p w14:paraId="050E595C"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(102)</w:t>
            </w:r>
          </w:p>
        </w:tc>
        <w:tc>
          <w:tcPr>
            <w:tcW w:w="1134" w:type="dxa"/>
            <w:tcBorders>
              <w:right w:val="single" w:sz="4" w:space="0" w:color="auto"/>
            </w:tcBorders>
            <w:shd w:val="clear" w:color="auto" w:fill="auto"/>
          </w:tcPr>
          <w:p w14:paraId="1286CF94"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(71</w:t>
            </w:r>
            <w:r w:rsidRPr="00065279">
              <w:rPr>
                <w:rFonts w:asciiTheme="minorHAnsi" w:hAnsiTheme="minorHAnsi" w:cs="Times New Roman"/>
                <w:lang w:eastAsia="en-IE"/>
              </w:rPr>
              <w:t>)</w:t>
            </w:r>
          </w:p>
        </w:tc>
      </w:tr>
      <w:tr w:rsidR="00252379" w:rsidRPr="00B03B43" w14:paraId="19A9AF31" w14:textId="77777777" w:rsidTr="00A028FD">
        <w:trPr>
          <w:trHeight w:val="334"/>
        </w:trPr>
        <w:tc>
          <w:tcPr>
            <w:tcW w:w="3969" w:type="dxa"/>
            <w:tcBorders>
              <w:left w:val="single" w:sz="4" w:space="0" w:color="auto"/>
            </w:tcBorders>
            <w:vAlign w:val="center"/>
          </w:tcPr>
          <w:p w14:paraId="728322FE" w14:textId="77777777" w:rsidR="00252379" w:rsidRPr="003945C3"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Pr>
                <w:rFonts w:asciiTheme="minorHAnsi" w:hAnsiTheme="minorHAnsi" w:cs="Times New Roman"/>
                <w:lang w:eastAsia="en-IE"/>
              </w:rPr>
              <w:t>Legacy Greek and German tax</w:t>
            </w:r>
          </w:p>
        </w:tc>
        <w:tc>
          <w:tcPr>
            <w:tcW w:w="1134" w:type="dxa"/>
            <w:shd w:val="clear" w:color="auto" w:fill="auto"/>
          </w:tcPr>
          <w:p w14:paraId="2BE24E87" w14:textId="77777777" w:rsidR="002523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(40)</w:t>
            </w:r>
          </w:p>
        </w:tc>
        <w:tc>
          <w:tcPr>
            <w:tcW w:w="1134" w:type="dxa"/>
            <w:tcBorders>
              <w:right w:val="single" w:sz="4" w:space="0" w:color="auto"/>
            </w:tcBorders>
            <w:shd w:val="clear" w:color="auto" w:fill="auto"/>
          </w:tcPr>
          <w:p w14:paraId="23EB6C62" w14:textId="77777777" w:rsidR="002523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w:t>
            </w:r>
          </w:p>
        </w:tc>
      </w:tr>
      <w:tr w:rsidR="00252379" w:rsidRPr="00B03B43" w14:paraId="30651A5C" w14:textId="77777777" w:rsidTr="00A028FD">
        <w:trPr>
          <w:trHeight w:val="334"/>
        </w:trPr>
        <w:tc>
          <w:tcPr>
            <w:tcW w:w="3969" w:type="dxa"/>
            <w:tcBorders>
              <w:left w:val="single" w:sz="4" w:space="0" w:color="auto"/>
            </w:tcBorders>
            <w:vAlign w:val="center"/>
          </w:tcPr>
          <w:p w14:paraId="1DB29823" w14:textId="77777777" w:rsidR="00252379" w:rsidRPr="003945C3"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sidRPr="003945C3">
              <w:rPr>
                <w:rFonts w:asciiTheme="minorHAnsi" w:hAnsiTheme="minorHAnsi" w:cs="Times New Roman"/>
                <w:lang w:eastAsia="en-IE"/>
              </w:rPr>
              <w:t xml:space="preserve">Interest </w:t>
            </w:r>
            <w:r>
              <w:rPr>
                <w:rFonts w:asciiTheme="minorHAnsi" w:hAnsiTheme="minorHAnsi" w:cs="Times New Roman"/>
                <w:lang w:eastAsia="en-IE"/>
              </w:rPr>
              <w:t>and other borrowing costs</w:t>
            </w:r>
          </w:p>
        </w:tc>
        <w:tc>
          <w:tcPr>
            <w:tcW w:w="1134" w:type="dxa"/>
            <w:shd w:val="clear" w:color="auto" w:fill="auto"/>
          </w:tcPr>
          <w:p w14:paraId="67832611" w14:textId="7F466A01"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w:t>
            </w:r>
            <w:r w:rsidR="00CA1816">
              <w:rPr>
                <w:rFonts w:asciiTheme="minorHAnsi" w:hAnsiTheme="minorHAnsi" w:cs="Times New Roman"/>
                <w:lang w:eastAsia="en-IE"/>
              </w:rPr>
              <w:t>7</w:t>
            </w:r>
            <w:r>
              <w:rPr>
                <w:rFonts w:asciiTheme="minorHAnsi" w:hAnsiTheme="minorHAnsi" w:cs="Times New Roman"/>
                <w:lang w:eastAsia="en-IE"/>
              </w:rPr>
              <w:t>)</w:t>
            </w:r>
          </w:p>
        </w:tc>
        <w:tc>
          <w:tcPr>
            <w:tcW w:w="1134" w:type="dxa"/>
            <w:tcBorders>
              <w:right w:val="single" w:sz="4" w:space="0" w:color="auto"/>
            </w:tcBorders>
            <w:shd w:val="clear" w:color="auto" w:fill="auto"/>
          </w:tcPr>
          <w:p w14:paraId="2D585296"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(4</w:t>
            </w:r>
            <w:r w:rsidRPr="00065279">
              <w:rPr>
                <w:rFonts w:asciiTheme="minorHAnsi" w:hAnsiTheme="minorHAnsi" w:cs="Times New Roman"/>
                <w:lang w:eastAsia="en-IE"/>
              </w:rPr>
              <w:t>)</w:t>
            </w:r>
          </w:p>
        </w:tc>
      </w:tr>
      <w:tr w:rsidR="00252379" w:rsidRPr="001F75A8" w14:paraId="012CD3F8" w14:textId="77777777" w:rsidTr="00A028FD">
        <w:trPr>
          <w:trHeight w:val="334"/>
        </w:trPr>
        <w:tc>
          <w:tcPr>
            <w:tcW w:w="3969" w:type="dxa"/>
            <w:tcBorders>
              <w:left w:val="single" w:sz="4" w:space="0" w:color="auto"/>
            </w:tcBorders>
            <w:vAlign w:val="center"/>
          </w:tcPr>
          <w:p w14:paraId="22DC7B87" w14:textId="77777777" w:rsidR="00252379"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Pr>
                <w:rFonts w:asciiTheme="minorHAnsi" w:hAnsiTheme="minorHAnsi" w:cs="Times New Roman"/>
                <w:lang w:eastAsia="en-IE"/>
              </w:rPr>
              <w:t>Net p</w:t>
            </w:r>
            <w:r w:rsidRPr="009B6F58">
              <w:rPr>
                <w:rFonts w:asciiTheme="minorHAnsi" w:hAnsiTheme="minorHAnsi" w:cs="Times New Roman"/>
                <w:lang w:eastAsia="en-IE"/>
              </w:rPr>
              <w:t>roceeds from issue of shares</w:t>
            </w:r>
          </w:p>
        </w:tc>
        <w:tc>
          <w:tcPr>
            <w:tcW w:w="1134" w:type="dxa"/>
            <w:shd w:val="clear" w:color="auto" w:fill="auto"/>
          </w:tcPr>
          <w:p w14:paraId="7F7BB03F" w14:textId="4B5DA51E" w:rsidR="00252379" w:rsidRPr="00065279" w:rsidRDefault="00CA18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Pr>
                <w:rFonts w:asciiTheme="minorHAnsi" w:hAnsiTheme="minorHAnsi" w:cs="Times New Roman"/>
                <w:lang w:eastAsia="en-IE"/>
              </w:rPr>
              <w:t>4</w:t>
            </w:r>
          </w:p>
        </w:tc>
        <w:tc>
          <w:tcPr>
            <w:tcW w:w="1134" w:type="dxa"/>
            <w:tcBorders>
              <w:right w:val="single" w:sz="4" w:space="0" w:color="auto"/>
            </w:tcBorders>
            <w:shd w:val="clear" w:color="auto" w:fill="auto"/>
          </w:tcPr>
          <w:p w14:paraId="472568A8"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065279">
              <w:rPr>
                <w:rFonts w:asciiTheme="minorHAnsi" w:hAnsiTheme="minorHAnsi" w:cs="Times New Roman"/>
                <w:lang w:eastAsia="en-IE"/>
              </w:rPr>
              <w:t>10</w:t>
            </w:r>
          </w:p>
        </w:tc>
      </w:tr>
      <w:tr w:rsidR="00252379" w:rsidRPr="001F75A8" w14:paraId="14F75CF6" w14:textId="77777777" w:rsidTr="00A028FD">
        <w:trPr>
          <w:trHeight w:val="334"/>
        </w:trPr>
        <w:tc>
          <w:tcPr>
            <w:tcW w:w="3969" w:type="dxa"/>
            <w:tcBorders>
              <w:left w:val="single" w:sz="4" w:space="0" w:color="auto"/>
            </w:tcBorders>
            <w:vAlign w:val="center"/>
          </w:tcPr>
          <w:p w14:paraId="2FCC89E4" w14:textId="77777777" w:rsidR="00252379" w:rsidRPr="003945C3"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Pr>
                <w:rFonts w:asciiTheme="minorHAnsi" w:hAnsiTheme="minorHAnsi" w:cs="Times New Roman"/>
                <w:lang w:eastAsia="en-IE"/>
              </w:rPr>
              <w:t>Other</w:t>
            </w:r>
          </w:p>
        </w:tc>
        <w:tc>
          <w:tcPr>
            <w:tcW w:w="1134" w:type="dxa"/>
            <w:tcBorders>
              <w:bottom w:val="single" w:sz="4" w:space="0" w:color="auto"/>
            </w:tcBorders>
            <w:shd w:val="clear" w:color="auto" w:fill="auto"/>
          </w:tcPr>
          <w:p w14:paraId="54D2BD87" w14:textId="62945A5F" w:rsidR="00252379" w:rsidRPr="00065279" w:rsidRDefault="00CA18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6"/>
                <w:szCs w:val="6"/>
                <w:lang w:eastAsia="en-IE"/>
              </w:rPr>
            </w:pPr>
            <w:r>
              <w:rPr>
                <w:rFonts w:asciiTheme="minorHAnsi" w:hAnsiTheme="minorHAnsi" w:cs="Times New Roman"/>
                <w:lang w:eastAsia="en-IE"/>
              </w:rPr>
              <w:t>3</w:t>
            </w:r>
          </w:p>
        </w:tc>
        <w:tc>
          <w:tcPr>
            <w:tcW w:w="1134" w:type="dxa"/>
            <w:tcBorders>
              <w:bottom w:val="single" w:sz="4" w:space="0" w:color="auto"/>
              <w:right w:val="single" w:sz="4" w:space="0" w:color="auto"/>
            </w:tcBorders>
            <w:shd w:val="clear" w:color="auto" w:fill="auto"/>
          </w:tcPr>
          <w:p w14:paraId="33BDD73F" w14:textId="77777777" w:rsidR="00252379" w:rsidRPr="00065279"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w:t>
            </w:r>
          </w:p>
        </w:tc>
      </w:tr>
      <w:tr w:rsidR="00252379" w:rsidRPr="00ED2B3C" w14:paraId="1CABA80F" w14:textId="77777777" w:rsidTr="00A028FD">
        <w:trPr>
          <w:trHeight w:val="334"/>
        </w:trPr>
        <w:tc>
          <w:tcPr>
            <w:tcW w:w="3969" w:type="dxa"/>
            <w:tcBorders>
              <w:left w:val="single" w:sz="4" w:space="0" w:color="auto"/>
            </w:tcBorders>
            <w:vAlign w:val="center"/>
          </w:tcPr>
          <w:p w14:paraId="3CC92626" w14:textId="77777777" w:rsidR="00252379" w:rsidRPr="003945C3"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lang w:eastAsia="en-IE"/>
              </w:rPr>
            </w:pPr>
            <w:r w:rsidRPr="003945C3">
              <w:rPr>
                <w:rFonts w:asciiTheme="minorHAnsi" w:hAnsiTheme="minorHAnsi" w:cs="Times New Roman"/>
                <w:b/>
                <w:lang w:eastAsia="en-IE"/>
              </w:rPr>
              <w:t>Net</w:t>
            </w:r>
            <w:r>
              <w:rPr>
                <w:rFonts w:asciiTheme="minorHAnsi" w:hAnsiTheme="minorHAnsi" w:cs="Times New Roman"/>
                <w:b/>
                <w:lang w:eastAsia="en-IE"/>
              </w:rPr>
              <w:t xml:space="preserve"> </w:t>
            </w:r>
            <w:r w:rsidRPr="003945C3">
              <w:rPr>
                <w:rFonts w:asciiTheme="minorHAnsi" w:hAnsiTheme="minorHAnsi" w:cs="Times New Roman"/>
                <w:b/>
                <w:lang w:eastAsia="en-IE"/>
              </w:rPr>
              <w:t>decrease in cash</w:t>
            </w:r>
          </w:p>
        </w:tc>
        <w:tc>
          <w:tcPr>
            <w:tcW w:w="1134" w:type="dxa"/>
            <w:shd w:val="clear" w:color="auto" w:fill="auto"/>
          </w:tcPr>
          <w:p w14:paraId="0BC94557" w14:textId="61A20969" w:rsidR="00252379" w:rsidRPr="00BE12DB"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w:t>
            </w:r>
            <w:r w:rsidR="00FF0FD0">
              <w:rPr>
                <w:rFonts w:asciiTheme="minorHAnsi" w:hAnsiTheme="minorHAnsi" w:cs="Times New Roman"/>
                <w:b/>
                <w:lang w:eastAsia="en-IE"/>
              </w:rPr>
              <w:t>104</w:t>
            </w:r>
            <w:r>
              <w:rPr>
                <w:rFonts w:asciiTheme="minorHAnsi" w:hAnsiTheme="minorHAnsi" w:cs="Times New Roman"/>
                <w:b/>
                <w:lang w:eastAsia="en-IE"/>
              </w:rPr>
              <w:t>)</w:t>
            </w:r>
          </w:p>
        </w:tc>
        <w:tc>
          <w:tcPr>
            <w:tcW w:w="1134" w:type="dxa"/>
            <w:tcBorders>
              <w:right w:val="single" w:sz="4" w:space="0" w:color="auto"/>
            </w:tcBorders>
            <w:shd w:val="clear" w:color="auto" w:fill="auto"/>
          </w:tcPr>
          <w:p w14:paraId="4375E3A9" w14:textId="1DF1CECC" w:rsidR="00252379" w:rsidRPr="003945C3"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BE12DB">
              <w:rPr>
                <w:rFonts w:asciiTheme="minorHAnsi" w:hAnsiTheme="minorHAnsi" w:cs="Times New Roman"/>
                <w:b/>
                <w:lang w:eastAsia="en-IE"/>
              </w:rPr>
              <w:t>(</w:t>
            </w:r>
            <w:r>
              <w:rPr>
                <w:rFonts w:asciiTheme="minorHAnsi" w:hAnsiTheme="minorHAnsi" w:cs="Times New Roman"/>
                <w:b/>
                <w:lang w:eastAsia="en-IE"/>
              </w:rPr>
              <w:t>403</w:t>
            </w:r>
            <w:r w:rsidRPr="00BE12DB">
              <w:rPr>
                <w:rFonts w:asciiTheme="minorHAnsi" w:hAnsiTheme="minorHAnsi" w:cs="Times New Roman"/>
                <w:b/>
                <w:lang w:eastAsia="en-IE"/>
              </w:rPr>
              <w:t>)</w:t>
            </w:r>
          </w:p>
        </w:tc>
      </w:tr>
      <w:tr w:rsidR="00252379" w:rsidRPr="00443C47" w14:paraId="26CF63EE" w14:textId="77777777" w:rsidTr="00A028FD">
        <w:trPr>
          <w:trHeight w:val="334"/>
        </w:trPr>
        <w:tc>
          <w:tcPr>
            <w:tcW w:w="3969" w:type="dxa"/>
            <w:tcBorders>
              <w:left w:val="single" w:sz="4" w:space="0" w:color="auto"/>
            </w:tcBorders>
            <w:vAlign w:val="center"/>
          </w:tcPr>
          <w:p w14:paraId="20811042" w14:textId="77777777" w:rsidR="00252379" w:rsidRPr="003945C3"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lang w:eastAsia="en-IE"/>
              </w:rPr>
            </w:pPr>
            <w:r w:rsidRPr="003945C3">
              <w:rPr>
                <w:rFonts w:asciiTheme="minorHAnsi" w:hAnsiTheme="minorHAnsi" w:cs="Times New Roman"/>
                <w:b/>
                <w:lang w:eastAsia="en-IE"/>
              </w:rPr>
              <w:t xml:space="preserve">Net </w:t>
            </w:r>
            <w:r>
              <w:rPr>
                <w:rFonts w:asciiTheme="minorHAnsi" w:hAnsiTheme="minorHAnsi" w:cs="Times New Roman"/>
                <w:b/>
                <w:lang w:eastAsia="en-IE"/>
              </w:rPr>
              <w:t>(debt)/cash</w:t>
            </w:r>
            <w:r w:rsidRPr="003945C3">
              <w:rPr>
                <w:rFonts w:asciiTheme="minorHAnsi" w:hAnsiTheme="minorHAnsi" w:cs="Times New Roman"/>
                <w:b/>
                <w:lang w:eastAsia="en-IE"/>
              </w:rPr>
              <w:t xml:space="preserve"> at start of</w:t>
            </w:r>
            <w:r>
              <w:rPr>
                <w:rFonts w:asciiTheme="minorHAnsi" w:hAnsiTheme="minorHAnsi" w:cs="Times New Roman"/>
                <w:b/>
                <w:lang w:eastAsia="en-IE"/>
              </w:rPr>
              <w:t xml:space="preserve"> year</w:t>
            </w:r>
          </w:p>
        </w:tc>
        <w:tc>
          <w:tcPr>
            <w:tcW w:w="1134" w:type="dxa"/>
            <w:shd w:val="clear" w:color="auto" w:fill="auto"/>
          </w:tcPr>
          <w:p w14:paraId="1259747E" w14:textId="77777777" w:rsidR="00252379" w:rsidRPr="00BE12DB"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(162)</w:t>
            </w:r>
          </w:p>
        </w:tc>
        <w:tc>
          <w:tcPr>
            <w:tcW w:w="1134" w:type="dxa"/>
            <w:tcBorders>
              <w:right w:val="single" w:sz="4" w:space="0" w:color="auto"/>
            </w:tcBorders>
            <w:shd w:val="clear" w:color="auto" w:fill="auto"/>
          </w:tcPr>
          <w:p w14:paraId="0CD6C850" w14:textId="77777777" w:rsidR="00252379" w:rsidRPr="003945C3"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sidRPr="00BE12DB">
              <w:rPr>
                <w:rFonts w:asciiTheme="minorHAnsi" w:hAnsiTheme="minorHAnsi" w:cs="Times New Roman"/>
                <w:b/>
                <w:lang w:eastAsia="en-IE"/>
              </w:rPr>
              <w:t>244</w:t>
            </w:r>
          </w:p>
        </w:tc>
      </w:tr>
      <w:tr w:rsidR="00252379" w:rsidRPr="00443C47" w14:paraId="351CFAC7" w14:textId="77777777" w:rsidTr="00A028FD">
        <w:trPr>
          <w:trHeight w:val="334"/>
        </w:trPr>
        <w:tc>
          <w:tcPr>
            <w:tcW w:w="3969" w:type="dxa"/>
            <w:tcBorders>
              <w:left w:val="single" w:sz="4" w:space="0" w:color="auto"/>
            </w:tcBorders>
            <w:vAlign w:val="center"/>
          </w:tcPr>
          <w:p w14:paraId="7644B87E" w14:textId="77777777" w:rsidR="00252379" w:rsidRPr="003945C3"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lang w:eastAsia="en-IE"/>
              </w:rPr>
            </w:pPr>
            <w:r w:rsidRPr="003945C3">
              <w:rPr>
                <w:rFonts w:asciiTheme="minorHAnsi" w:hAnsiTheme="minorHAnsi" w:cs="Times New Roman"/>
                <w:lang w:eastAsia="en-IE"/>
              </w:rPr>
              <w:t>Foreign currency exchange translation</w:t>
            </w:r>
          </w:p>
        </w:tc>
        <w:tc>
          <w:tcPr>
            <w:tcW w:w="1134" w:type="dxa"/>
            <w:tcBorders>
              <w:bottom w:val="single" w:sz="4" w:space="0" w:color="auto"/>
            </w:tcBorders>
            <w:shd w:val="clear" w:color="auto" w:fill="auto"/>
          </w:tcPr>
          <w:p w14:paraId="4566AA64" w14:textId="35C4025D" w:rsidR="00252379" w:rsidRPr="00BE12DB" w:rsidRDefault="00CA18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Pr>
                <w:rFonts w:asciiTheme="minorHAnsi" w:hAnsiTheme="minorHAnsi" w:cs="Times New Roman"/>
                <w:lang w:eastAsia="en-IE"/>
              </w:rPr>
              <w:t>1</w:t>
            </w:r>
          </w:p>
        </w:tc>
        <w:tc>
          <w:tcPr>
            <w:tcW w:w="1134" w:type="dxa"/>
            <w:tcBorders>
              <w:bottom w:val="single" w:sz="4" w:space="0" w:color="auto"/>
              <w:right w:val="single" w:sz="4" w:space="0" w:color="auto"/>
            </w:tcBorders>
            <w:shd w:val="clear" w:color="auto" w:fill="auto"/>
          </w:tcPr>
          <w:p w14:paraId="0EA39878" w14:textId="77777777" w:rsidR="00252379" w:rsidRPr="003945C3"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lang w:eastAsia="en-IE"/>
              </w:rPr>
            </w:pPr>
            <w:r w:rsidRPr="00BE12DB">
              <w:rPr>
                <w:rFonts w:asciiTheme="minorHAnsi" w:hAnsiTheme="minorHAnsi" w:cs="Times New Roman"/>
                <w:lang w:eastAsia="en-IE"/>
              </w:rPr>
              <w:t>(</w:t>
            </w:r>
            <w:r>
              <w:rPr>
                <w:rFonts w:asciiTheme="minorHAnsi" w:hAnsiTheme="minorHAnsi" w:cs="Times New Roman"/>
                <w:lang w:eastAsia="en-IE"/>
              </w:rPr>
              <w:t>2</w:t>
            </w:r>
            <w:r w:rsidRPr="00BE12DB">
              <w:rPr>
                <w:rFonts w:asciiTheme="minorHAnsi" w:hAnsiTheme="minorHAnsi" w:cs="Times New Roman"/>
                <w:lang w:eastAsia="en-IE"/>
              </w:rPr>
              <w:t>)</w:t>
            </w:r>
          </w:p>
        </w:tc>
      </w:tr>
      <w:tr w:rsidR="008C17B5" w:rsidRPr="00443C47" w14:paraId="410F105C" w14:textId="77777777" w:rsidTr="00A028FD">
        <w:trPr>
          <w:trHeight w:val="334"/>
        </w:trPr>
        <w:tc>
          <w:tcPr>
            <w:tcW w:w="3969" w:type="dxa"/>
            <w:tcBorders>
              <w:left w:val="single" w:sz="4" w:space="0" w:color="auto"/>
              <w:bottom w:val="single" w:sz="4" w:space="0" w:color="auto"/>
            </w:tcBorders>
            <w:vAlign w:val="center"/>
          </w:tcPr>
          <w:p w14:paraId="22E92C68" w14:textId="77777777" w:rsidR="00252379" w:rsidRPr="003945C3" w:rsidRDefault="00252379" w:rsidP="00A028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lang w:eastAsia="en-IE"/>
              </w:rPr>
            </w:pPr>
            <w:r w:rsidRPr="003945C3">
              <w:rPr>
                <w:rFonts w:asciiTheme="minorHAnsi" w:hAnsiTheme="minorHAnsi" w:cs="Times New Roman"/>
                <w:b/>
                <w:lang w:eastAsia="en-IE"/>
              </w:rPr>
              <w:t xml:space="preserve">Net </w:t>
            </w:r>
            <w:r>
              <w:rPr>
                <w:rFonts w:asciiTheme="minorHAnsi" w:hAnsiTheme="minorHAnsi" w:cs="Times New Roman"/>
                <w:b/>
                <w:lang w:eastAsia="en-IE"/>
              </w:rPr>
              <w:t>debt</w:t>
            </w:r>
            <w:r w:rsidRPr="003945C3">
              <w:rPr>
                <w:rFonts w:asciiTheme="minorHAnsi" w:hAnsiTheme="minorHAnsi" w:cs="Times New Roman"/>
                <w:b/>
                <w:lang w:eastAsia="en-IE"/>
              </w:rPr>
              <w:t xml:space="preserve"> at </w:t>
            </w:r>
            <w:r>
              <w:rPr>
                <w:rFonts w:asciiTheme="minorHAnsi" w:hAnsiTheme="minorHAnsi" w:cs="Times New Roman"/>
                <w:b/>
                <w:lang w:eastAsia="en-IE"/>
              </w:rPr>
              <w:t>year</w:t>
            </w:r>
            <w:r w:rsidRPr="003945C3">
              <w:rPr>
                <w:rFonts w:asciiTheme="minorHAnsi" w:hAnsiTheme="minorHAnsi" w:cs="Times New Roman"/>
                <w:b/>
                <w:lang w:eastAsia="en-IE"/>
              </w:rPr>
              <w:t xml:space="preserve"> end</w:t>
            </w:r>
            <w:r>
              <w:rPr>
                <w:rFonts w:asciiTheme="minorHAnsi" w:hAnsiTheme="minorHAnsi" w:cs="Times New Roman"/>
                <w:b/>
                <w:vertAlign w:val="superscript"/>
                <w:lang w:eastAsia="en-IE"/>
              </w:rPr>
              <w:t>5</w:t>
            </w:r>
          </w:p>
        </w:tc>
        <w:tc>
          <w:tcPr>
            <w:tcW w:w="1134" w:type="dxa"/>
            <w:tcBorders>
              <w:bottom w:val="single" w:sz="4" w:space="0" w:color="auto"/>
            </w:tcBorders>
            <w:shd w:val="clear" w:color="auto" w:fill="auto"/>
          </w:tcPr>
          <w:p w14:paraId="665957FD" w14:textId="547AAC4F" w:rsidR="00252379" w:rsidRPr="00BE12DB"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w:t>
            </w:r>
            <w:r w:rsidR="00E52894">
              <w:rPr>
                <w:rFonts w:asciiTheme="minorHAnsi" w:hAnsiTheme="minorHAnsi" w:cs="Times New Roman"/>
                <w:b/>
                <w:lang w:eastAsia="en-IE"/>
              </w:rPr>
              <w:t>265</w:t>
            </w:r>
            <w:r>
              <w:rPr>
                <w:rFonts w:asciiTheme="minorHAnsi" w:hAnsiTheme="minorHAnsi" w:cs="Times New Roman"/>
                <w:b/>
                <w:lang w:eastAsia="en-IE"/>
              </w:rPr>
              <w:t>)</w:t>
            </w:r>
          </w:p>
        </w:tc>
        <w:tc>
          <w:tcPr>
            <w:tcW w:w="1134" w:type="dxa"/>
            <w:tcBorders>
              <w:bottom w:val="single" w:sz="4" w:space="0" w:color="auto"/>
              <w:right w:val="single" w:sz="4" w:space="0" w:color="auto"/>
            </w:tcBorders>
            <w:shd w:val="clear" w:color="auto" w:fill="auto"/>
          </w:tcPr>
          <w:p w14:paraId="0C916652" w14:textId="77777777" w:rsidR="00252379" w:rsidRPr="00E93EDF" w:rsidRDefault="002523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lang w:eastAsia="en-IE"/>
              </w:rPr>
            </w:pPr>
            <w:r>
              <w:rPr>
                <w:rFonts w:asciiTheme="minorHAnsi" w:hAnsiTheme="minorHAnsi" w:cs="Times New Roman"/>
                <w:b/>
                <w:lang w:eastAsia="en-IE"/>
              </w:rPr>
              <w:t>(162</w:t>
            </w:r>
            <w:r w:rsidRPr="00BE12DB">
              <w:rPr>
                <w:rFonts w:asciiTheme="minorHAnsi" w:hAnsiTheme="minorHAnsi" w:cs="Times New Roman"/>
                <w:b/>
                <w:lang w:eastAsia="en-IE"/>
              </w:rPr>
              <w:t>)</w:t>
            </w:r>
          </w:p>
        </w:tc>
      </w:tr>
    </w:tbl>
    <w:p w14:paraId="79F37894" w14:textId="505B6CA6" w:rsidR="00252379" w:rsidRDefault="00252379" w:rsidP="00252379">
      <w:pPr>
        <w:spacing w:before="120" w:after="120"/>
        <w:jc w:val="both"/>
        <w:rPr>
          <w:rFonts w:asciiTheme="minorHAnsi" w:hAnsiTheme="minorHAnsi"/>
          <w:sz w:val="22"/>
          <w:szCs w:val="22"/>
        </w:rPr>
      </w:pPr>
      <w:r>
        <w:rPr>
          <w:rFonts w:asciiTheme="minorHAnsi" w:hAnsiTheme="minorHAnsi"/>
          <w:sz w:val="22"/>
          <w:szCs w:val="22"/>
        </w:rPr>
        <w:t>Net debt increased by £10</w:t>
      </w:r>
      <w:r w:rsidR="008C17B5">
        <w:rPr>
          <w:rFonts w:asciiTheme="minorHAnsi" w:hAnsiTheme="minorHAnsi"/>
          <w:sz w:val="22"/>
          <w:szCs w:val="22"/>
        </w:rPr>
        <w:t>3</w:t>
      </w:r>
      <w:r>
        <w:rPr>
          <w:rFonts w:asciiTheme="minorHAnsi" w:hAnsiTheme="minorHAnsi"/>
          <w:sz w:val="22"/>
          <w:szCs w:val="22"/>
        </w:rPr>
        <w:t xml:space="preserve">m during 2019, with strong positive cash flows from operations, </w:t>
      </w:r>
      <w:r w:rsidR="00421DD0">
        <w:rPr>
          <w:rFonts w:asciiTheme="minorHAnsi" w:hAnsiTheme="minorHAnsi"/>
          <w:sz w:val="22"/>
          <w:szCs w:val="22"/>
        </w:rPr>
        <w:t xml:space="preserve">primarily </w:t>
      </w:r>
      <w:r>
        <w:rPr>
          <w:rFonts w:asciiTheme="minorHAnsi" w:hAnsiTheme="minorHAnsi"/>
          <w:sz w:val="22"/>
          <w:szCs w:val="22"/>
        </w:rPr>
        <w:t>offset by enhanced shareholder returns and the acquisition of Adjarabet.</w:t>
      </w:r>
    </w:p>
    <w:p w14:paraId="0C65B9D5" w14:textId="3DC105C6" w:rsidR="00252379" w:rsidRPr="00E56186" w:rsidRDefault="00252379" w:rsidP="00252379">
      <w:pPr>
        <w:spacing w:before="120" w:after="120"/>
        <w:jc w:val="both"/>
        <w:rPr>
          <w:rFonts w:asciiTheme="minorHAnsi" w:hAnsiTheme="minorHAnsi"/>
          <w:sz w:val="22"/>
          <w:szCs w:val="22"/>
        </w:rPr>
      </w:pPr>
      <w:r w:rsidRPr="00E56186">
        <w:rPr>
          <w:rFonts w:asciiTheme="minorHAnsi" w:hAnsiTheme="minorHAnsi"/>
          <w:sz w:val="22"/>
          <w:szCs w:val="22"/>
        </w:rPr>
        <w:t>The Group had £</w:t>
      </w:r>
      <w:r w:rsidR="009A743E" w:rsidRPr="00E56186">
        <w:rPr>
          <w:rFonts w:asciiTheme="minorHAnsi" w:hAnsiTheme="minorHAnsi"/>
          <w:sz w:val="22"/>
          <w:szCs w:val="22"/>
        </w:rPr>
        <w:t>13</w:t>
      </w:r>
      <w:r w:rsidR="009A743E">
        <w:rPr>
          <w:rFonts w:asciiTheme="minorHAnsi" w:hAnsiTheme="minorHAnsi"/>
          <w:sz w:val="22"/>
          <w:szCs w:val="22"/>
        </w:rPr>
        <w:t>6</w:t>
      </w:r>
      <w:r w:rsidR="009A743E" w:rsidRPr="00E56186">
        <w:rPr>
          <w:rFonts w:asciiTheme="minorHAnsi" w:hAnsiTheme="minorHAnsi"/>
          <w:sz w:val="22"/>
          <w:szCs w:val="22"/>
        </w:rPr>
        <w:t xml:space="preserve">m </w:t>
      </w:r>
      <w:r w:rsidRPr="00E56186">
        <w:rPr>
          <w:rFonts w:asciiTheme="minorHAnsi" w:hAnsiTheme="minorHAnsi"/>
          <w:sz w:val="22"/>
          <w:szCs w:val="22"/>
        </w:rPr>
        <w:t>of capital expenditure during 2019 (2018: £107m). The year</w:t>
      </w:r>
      <w:r w:rsidR="00012A96">
        <w:rPr>
          <w:rFonts w:asciiTheme="minorHAnsi" w:hAnsiTheme="minorHAnsi"/>
          <w:sz w:val="22"/>
          <w:szCs w:val="22"/>
        </w:rPr>
        <w:t>-</w:t>
      </w:r>
      <w:r w:rsidRPr="00E56186">
        <w:rPr>
          <w:rFonts w:asciiTheme="minorHAnsi" w:hAnsiTheme="minorHAnsi"/>
          <w:sz w:val="22"/>
          <w:szCs w:val="22"/>
        </w:rPr>
        <w:t>on</w:t>
      </w:r>
      <w:r w:rsidR="00012A96">
        <w:rPr>
          <w:rFonts w:asciiTheme="minorHAnsi" w:hAnsiTheme="minorHAnsi"/>
          <w:sz w:val="22"/>
          <w:szCs w:val="22"/>
        </w:rPr>
        <w:t>-</w:t>
      </w:r>
      <w:r w:rsidRPr="00E56186">
        <w:rPr>
          <w:rFonts w:asciiTheme="minorHAnsi" w:hAnsiTheme="minorHAnsi"/>
          <w:sz w:val="22"/>
          <w:szCs w:val="22"/>
        </w:rPr>
        <w:t xml:space="preserve">year increase reflects on-going product development work in our online businesses and </w:t>
      </w:r>
      <w:r>
        <w:rPr>
          <w:rFonts w:asciiTheme="minorHAnsi" w:hAnsiTheme="minorHAnsi"/>
          <w:sz w:val="22"/>
          <w:szCs w:val="22"/>
        </w:rPr>
        <w:t>investment in additional</w:t>
      </w:r>
      <w:r w:rsidRPr="00E56186">
        <w:rPr>
          <w:rFonts w:asciiTheme="minorHAnsi" w:hAnsiTheme="minorHAnsi"/>
          <w:sz w:val="22"/>
          <w:szCs w:val="22"/>
        </w:rPr>
        <w:t xml:space="preserve"> market access in the US</w:t>
      </w:r>
      <w:r>
        <w:rPr>
          <w:rFonts w:asciiTheme="minorHAnsi" w:hAnsiTheme="minorHAnsi"/>
          <w:sz w:val="22"/>
          <w:szCs w:val="22"/>
        </w:rPr>
        <w:t>.</w:t>
      </w:r>
      <w:r w:rsidRPr="00E56186">
        <w:rPr>
          <w:rFonts w:asciiTheme="minorHAnsi" w:hAnsiTheme="minorHAnsi"/>
          <w:sz w:val="22"/>
          <w:szCs w:val="22"/>
        </w:rPr>
        <w:t xml:space="preserve"> </w:t>
      </w:r>
    </w:p>
    <w:p w14:paraId="4447EB28" w14:textId="7A2F2662" w:rsidR="00FA7E78" w:rsidRPr="00FA7E78" w:rsidRDefault="00FA7E78" w:rsidP="00FA7E78">
      <w:pPr>
        <w:spacing w:before="120" w:after="120"/>
        <w:jc w:val="both"/>
        <w:rPr>
          <w:rFonts w:asciiTheme="minorHAnsi" w:hAnsiTheme="minorHAnsi"/>
          <w:sz w:val="22"/>
          <w:szCs w:val="22"/>
        </w:rPr>
      </w:pPr>
      <w:r w:rsidRPr="00FA7E78">
        <w:rPr>
          <w:rFonts w:asciiTheme="minorHAnsi" w:hAnsiTheme="minorHAnsi"/>
          <w:sz w:val="22"/>
          <w:szCs w:val="22"/>
        </w:rPr>
        <w:t>Working capital during 2019 was positively affected by material prepayments in relation to European marketing assets and US sports betting assets (c. £30m) in 2018, the expansion of our US business and the effect of incremental taxes that were introduced or increased in 2019.</w:t>
      </w:r>
    </w:p>
    <w:p w14:paraId="7860F22C" w14:textId="7DE07F99" w:rsidR="00252379" w:rsidRPr="00E56186" w:rsidRDefault="00974743">
      <w:pPr>
        <w:spacing w:before="120" w:after="120"/>
        <w:jc w:val="both"/>
        <w:rPr>
          <w:rFonts w:asciiTheme="minorHAnsi" w:hAnsiTheme="minorHAnsi"/>
          <w:sz w:val="22"/>
          <w:szCs w:val="22"/>
        </w:rPr>
      </w:pPr>
      <w:r>
        <w:rPr>
          <w:rFonts w:asciiTheme="minorHAnsi" w:hAnsiTheme="minorHAnsi"/>
          <w:sz w:val="22"/>
          <w:szCs w:val="22"/>
        </w:rPr>
        <w:t>C</w:t>
      </w:r>
      <w:r w:rsidR="00252379">
        <w:rPr>
          <w:rFonts w:asciiTheme="minorHAnsi" w:hAnsiTheme="minorHAnsi"/>
          <w:sz w:val="22"/>
          <w:szCs w:val="22"/>
        </w:rPr>
        <w:t>orporation tax payment</w:t>
      </w:r>
      <w:r>
        <w:rPr>
          <w:rFonts w:asciiTheme="minorHAnsi" w:hAnsiTheme="minorHAnsi"/>
          <w:sz w:val="22"/>
          <w:szCs w:val="22"/>
        </w:rPr>
        <w:t>s reduced</w:t>
      </w:r>
      <w:r w:rsidR="00252379">
        <w:rPr>
          <w:rFonts w:asciiTheme="minorHAnsi" w:hAnsiTheme="minorHAnsi"/>
          <w:sz w:val="22"/>
          <w:szCs w:val="22"/>
        </w:rPr>
        <w:t xml:space="preserve"> </w:t>
      </w:r>
      <w:r>
        <w:rPr>
          <w:rFonts w:asciiTheme="minorHAnsi" w:hAnsiTheme="minorHAnsi"/>
          <w:sz w:val="22"/>
          <w:szCs w:val="22"/>
        </w:rPr>
        <w:t>during</w:t>
      </w:r>
      <w:r w:rsidR="00252379">
        <w:rPr>
          <w:rFonts w:asciiTheme="minorHAnsi" w:hAnsiTheme="minorHAnsi"/>
          <w:sz w:val="22"/>
          <w:szCs w:val="22"/>
        </w:rPr>
        <w:t xml:space="preserve"> 2019 </w:t>
      </w:r>
      <w:r>
        <w:rPr>
          <w:rFonts w:asciiTheme="minorHAnsi" w:hAnsiTheme="minorHAnsi"/>
          <w:sz w:val="22"/>
          <w:szCs w:val="22"/>
        </w:rPr>
        <w:t>to £41m</w:t>
      </w:r>
      <w:r w:rsidR="00A534D5">
        <w:rPr>
          <w:rFonts w:asciiTheme="minorHAnsi" w:hAnsiTheme="minorHAnsi"/>
          <w:sz w:val="22"/>
          <w:szCs w:val="22"/>
        </w:rPr>
        <w:t>,</w:t>
      </w:r>
      <w:r>
        <w:rPr>
          <w:rFonts w:asciiTheme="minorHAnsi" w:hAnsiTheme="minorHAnsi"/>
          <w:sz w:val="22"/>
          <w:szCs w:val="22"/>
        </w:rPr>
        <w:t xml:space="preserve"> </w:t>
      </w:r>
      <w:r w:rsidR="00252379">
        <w:rPr>
          <w:rFonts w:asciiTheme="minorHAnsi" w:hAnsiTheme="minorHAnsi"/>
          <w:sz w:val="22"/>
          <w:szCs w:val="22"/>
        </w:rPr>
        <w:t>reflect</w:t>
      </w:r>
      <w:r>
        <w:rPr>
          <w:rFonts w:asciiTheme="minorHAnsi" w:hAnsiTheme="minorHAnsi"/>
          <w:sz w:val="22"/>
          <w:szCs w:val="22"/>
        </w:rPr>
        <w:t>ing</w:t>
      </w:r>
      <w:r w:rsidR="00252379">
        <w:rPr>
          <w:rFonts w:asciiTheme="minorHAnsi" w:hAnsiTheme="minorHAnsi"/>
          <w:sz w:val="22"/>
          <w:szCs w:val="22"/>
        </w:rPr>
        <w:t xml:space="preserve"> the timing of </w:t>
      </w:r>
      <w:r w:rsidR="00575634">
        <w:rPr>
          <w:rFonts w:asciiTheme="minorHAnsi" w:hAnsiTheme="minorHAnsi"/>
          <w:sz w:val="22"/>
          <w:szCs w:val="22"/>
        </w:rPr>
        <w:t xml:space="preserve">tax </w:t>
      </w:r>
      <w:r w:rsidR="00252379">
        <w:rPr>
          <w:rFonts w:asciiTheme="minorHAnsi" w:hAnsiTheme="minorHAnsi"/>
          <w:sz w:val="22"/>
          <w:szCs w:val="22"/>
        </w:rPr>
        <w:t>payments</w:t>
      </w:r>
      <w:r>
        <w:rPr>
          <w:rFonts w:asciiTheme="minorHAnsi" w:hAnsiTheme="minorHAnsi"/>
          <w:sz w:val="22"/>
          <w:szCs w:val="22"/>
        </w:rPr>
        <w:t xml:space="preserve"> and the lower taxable profits of the Group</w:t>
      </w:r>
      <w:r w:rsidR="00252379">
        <w:rPr>
          <w:rFonts w:asciiTheme="minorHAnsi" w:hAnsiTheme="minorHAnsi"/>
          <w:sz w:val="22"/>
          <w:szCs w:val="22"/>
        </w:rPr>
        <w:t>.</w:t>
      </w:r>
    </w:p>
    <w:p w14:paraId="3A37827D" w14:textId="77777777" w:rsidR="00252379" w:rsidRDefault="00252379" w:rsidP="00252379">
      <w:pPr>
        <w:spacing w:before="120" w:after="120"/>
        <w:jc w:val="both"/>
        <w:rPr>
          <w:rFonts w:asciiTheme="minorHAnsi" w:hAnsiTheme="minorHAnsi"/>
          <w:sz w:val="22"/>
          <w:szCs w:val="22"/>
        </w:rPr>
      </w:pPr>
      <w:r w:rsidRPr="00E56186">
        <w:rPr>
          <w:rFonts w:asciiTheme="minorHAnsi" w:hAnsiTheme="minorHAnsi"/>
          <w:sz w:val="22"/>
          <w:szCs w:val="22"/>
        </w:rPr>
        <w:t>Cash flow from separately disclosed items relates to costs associated with the proposed combination with The Stars Group.</w:t>
      </w:r>
    </w:p>
    <w:p w14:paraId="7E95BCAA" w14:textId="214736F1" w:rsidR="00252379" w:rsidRPr="00E56186" w:rsidRDefault="00252379" w:rsidP="00252379">
      <w:pPr>
        <w:spacing w:before="120" w:after="120"/>
        <w:jc w:val="both"/>
        <w:rPr>
          <w:rFonts w:asciiTheme="minorHAnsi" w:hAnsiTheme="minorHAnsi"/>
          <w:sz w:val="22"/>
          <w:szCs w:val="22"/>
        </w:rPr>
      </w:pPr>
      <w:r w:rsidRPr="00E56186">
        <w:rPr>
          <w:rFonts w:asciiTheme="minorHAnsi" w:hAnsiTheme="minorHAnsi"/>
          <w:sz w:val="22"/>
          <w:szCs w:val="22"/>
        </w:rPr>
        <w:t xml:space="preserve">During the year, £243m was returned to shareholders via dividends and share buybacks. </w:t>
      </w:r>
    </w:p>
    <w:p w14:paraId="5173BBFE" w14:textId="77777777" w:rsidR="00252379" w:rsidRPr="00E56186" w:rsidRDefault="00252379" w:rsidP="00252379">
      <w:pPr>
        <w:spacing w:before="120" w:after="120"/>
        <w:jc w:val="both"/>
        <w:rPr>
          <w:rFonts w:asciiTheme="minorHAnsi" w:hAnsiTheme="minorHAnsi"/>
          <w:sz w:val="22"/>
          <w:szCs w:val="22"/>
        </w:rPr>
      </w:pPr>
      <w:r w:rsidRPr="00BC2AD4">
        <w:rPr>
          <w:rFonts w:asciiTheme="minorHAnsi" w:hAnsiTheme="minorHAnsi"/>
          <w:sz w:val="22"/>
          <w:szCs w:val="22"/>
        </w:rPr>
        <w:t>Payment was made to the German and Greek tax authorities relating to two contested legacy tax issues. The Group remains confident of our grounds to appeal both of these cases.</w:t>
      </w:r>
    </w:p>
    <w:p w14:paraId="5FFFF163" w14:textId="593B3CA3" w:rsidR="00252379" w:rsidRPr="00E56186" w:rsidRDefault="00252379" w:rsidP="00252379">
      <w:pPr>
        <w:jc w:val="both"/>
        <w:rPr>
          <w:rFonts w:asciiTheme="minorHAnsi" w:hAnsiTheme="minorHAnsi"/>
          <w:sz w:val="22"/>
          <w:szCs w:val="22"/>
        </w:rPr>
      </w:pPr>
      <w:r w:rsidRPr="00E56186">
        <w:rPr>
          <w:rFonts w:asciiTheme="minorHAnsi" w:hAnsiTheme="minorHAnsi"/>
          <w:sz w:val="22"/>
          <w:szCs w:val="22"/>
        </w:rPr>
        <w:t>At 27 February 2019 the Group had net debt of £26</w:t>
      </w:r>
      <w:r w:rsidR="00FF0FD0">
        <w:rPr>
          <w:rFonts w:asciiTheme="minorHAnsi" w:hAnsiTheme="minorHAnsi"/>
          <w:sz w:val="22"/>
          <w:szCs w:val="22"/>
        </w:rPr>
        <w:t>5</w:t>
      </w:r>
      <w:r w:rsidRPr="00E56186">
        <w:rPr>
          <w:rFonts w:asciiTheme="minorHAnsi" w:hAnsiTheme="minorHAnsi"/>
          <w:sz w:val="22"/>
          <w:szCs w:val="22"/>
        </w:rPr>
        <w:t xml:space="preserve">m, </w:t>
      </w:r>
      <w:r w:rsidR="00A534F3">
        <w:rPr>
          <w:rFonts w:asciiTheme="minorHAnsi" w:hAnsiTheme="minorHAnsi"/>
          <w:sz w:val="22"/>
          <w:szCs w:val="22"/>
        </w:rPr>
        <w:t>equivalent to a leverage ratio of</w:t>
      </w:r>
      <w:r w:rsidRPr="00E56186">
        <w:rPr>
          <w:rFonts w:asciiTheme="minorHAnsi" w:hAnsiTheme="minorHAnsi"/>
          <w:sz w:val="22"/>
          <w:szCs w:val="22"/>
        </w:rPr>
        <w:t xml:space="preserve"> 0.</w:t>
      </w:r>
      <w:r w:rsidR="00A534F3">
        <w:rPr>
          <w:rFonts w:asciiTheme="minorHAnsi" w:hAnsiTheme="minorHAnsi"/>
          <w:sz w:val="22"/>
          <w:szCs w:val="22"/>
        </w:rPr>
        <w:t>7</w:t>
      </w:r>
      <w:r w:rsidR="00421DD0">
        <w:rPr>
          <w:rFonts w:asciiTheme="minorHAnsi" w:hAnsiTheme="minorHAnsi"/>
          <w:sz w:val="22"/>
          <w:szCs w:val="22"/>
        </w:rPr>
        <w:t xml:space="preserve"> times</w:t>
      </w:r>
      <w:r w:rsidRPr="00E56186">
        <w:rPr>
          <w:rFonts w:asciiTheme="minorHAnsi" w:hAnsiTheme="minorHAnsi"/>
          <w:sz w:val="22"/>
          <w:szCs w:val="22"/>
        </w:rPr>
        <w:t xml:space="preserve">. </w:t>
      </w:r>
    </w:p>
    <w:bookmarkEnd w:id="7"/>
    <w:bookmarkEnd w:id="8"/>
    <w:p w14:paraId="7CAC88C5" w14:textId="7253484C" w:rsidR="004E5067" w:rsidRDefault="004E5067" w:rsidP="004E5067">
      <w:pPr>
        <w:jc w:val="both"/>
        <w:rPr>
          <w:rFonts w:asciiTheme="minorHAnsi" w:hAnsiTheme="minorHAnsi"/>
          <w:sz w:val="22"/>
          <w:szCs w:val="22"/>
          <w:highlight w:val="yellow"/>
        </w:rPr>
      </w:pPr>
    </w:p>
    <w:p w14:paraId="000970D7" w14:textId="291592E7" w:rsidR="00B17B33" w:rsidRDefault="00B17B33" w:rsidP="004E5067">
      <w:pPr>
        <w:jc w:val="both"/>
        <w:rPr>
          <w:rFonts w:asciiTheme="minorHAnsi" w:hAnsiTheme="minorHAnsi"/>
          <w:sz w:val="22"/>
          <w:szCs w:val="22"/>
          <w:highlight w:val="yellow"/>
        </w:rPr>
      </w:pPr>
    </w:p>
    <w:p w14:paraId="3BB165E2" w14:textId="77777777" w:rsidR="00A049E9" w:rsidRDefault="00A049E9" w:rsidP="004E5067">
      <w:pPr>
        <w:jc w:val="both"/>
        <w:rPr>
          <w:rFonts w:asciiTheme="minorHAnsi" w:hAnsiTheme="minorHAnsi"/>
          <w:sz w:val="22"/>
          <w:szCs w:val="22"/>
          <w:highlight w:val="yellow"/>
        </w:rPr>
      </w:pPr>
    </w:p>
    <w:p w14:paraId="0207F6EA" w14:textId="77777777" w:rsidR="004E5067" w:rsidRPr="00E56186" w:rsidRDefault="004E5067" w:rsidP="004E5067">
      <w:pPr>
        <w:spacing w:after="120"/>
        <w:jc w:val="both"/>
        <w:rPr>
          <w:rFonts w:asciiTheme="minorHAnsi" w:hAnsiTheme="minorHAnsi"/>
          <w:b/>
          <w:sz w:val="22"/>
          <w:szCs w:val="22"/>
        </w:rPr>
      </w:pPr>
      <w:r w:rsidRPr="00E56186">
        <w:rPr>
          <w:rFonts w:asciiTheme="minorHAnsi" w:hAnsiTheme="minorHAnsi"/>
          <w:b/>
          <w:sz w:val="22"/>
          <w:szCs w:val="22"/>
        </w:rPr>
        <w:lastRenderedPageBreak/>
        <w:t>Dividend</w:t>
      </w:r>
    </w:p>
    <w:p w14:paraId="6501F6CB" w14:textId="5525B60D" w:rsidR="00755766" w:rsidRDefault="004E5067" w:rsidP="004E5067">
      <w:pPr>
        <w:spacing w:after="120"/>
        <w:jc w:val="both"/>
        <w:rPr>
          <w:rFonts w:asciiTheme="minorHAnsi" w:eastAsiaTheme="minorHAnsi" w:hAnsiTheme="minorHAnsi" w:cstheme="minorBidi"/>
          <w:sz w:val="22"/>
          <w:szCs w:val="22"/>
        </w:rPr>
      </w:pPr>
      <w:r w:rsidRPr="006E41E4">
        <w:rPr>
          <w:rFonts w:asciiTheme="minorHAnsi" w:eastAsiaTheme="minorHAnsi" w:hAnsiTheme="minorHAnsi"/>
          <w:sz w:val="22"/>
          <w:szCs w:val="22"/>
        </w:rPr>
        <w:t xml:space="preserve">The Board has proposed a final divided of </w:t>
      </w:r>
      <w:r w:rsidRPr="00A028FD">
        <w:rPr>
          <w:rFonts w:asciiTheme="minorHAnsi" w:eastAsiaTheme="minorHAnsi" w:hAnsiTheme="minorHAnsi"/>
          <w:sz w:val="22"/>
        </w:rPr>
        <w:t>133p</w:t>
      </w:r>
      <w:r w:rsidRPr="006E41E4">
        <w:rPr>
          <w:rFonts w:asciiTheme="minorHAnsi" w:eastAsiaTheme="minorHAnsi" w:hAnsiTheme="minorHAnsi"/>
          <w:sz w:val="22"/>
          <w:szCs w:val="22"/>
        </w:rPr>
        <w:t xml:space="preserve"> per</w:t>
      </w:r>
      <w:r w:rsidRPr="00922765">
        <w:rPr>
          <w:rFonts w:asciiTheme="minorHAnsi" w:eastAsiaTheme="minorHAnsi" w:hAnsiTheme="minorHAnsi"/>
          <w:sz w:val="22"/>
          <w:szCs w:val="22"/>
        </w:rPr>
        <w:t xml:space="preserve"> share, </w:t>
      </w:r>
      <w:r w:rsidR="00C36B65">
        <w:rPr>
          <w:rFonts w:asciiTheme="minorHAnsi" w:eastAsiaTheme="minorHAnsi" w:hAnsiTheme="minorHAnsi"/>
          <w:sz w:val="22"/>
          <w:szCs w:val="22"/>
        </w:rPr>
        <w:t>equating to a</w:t>
      </w:r>
      <w:r w:rsidRPr="00922765">
        <w:rPr>
          <w:rFonts w:asciiTheme="minorHAnsi" w:eastAsiaTheme="minorHAnsi" w:hAnsiTheme="minorHAnsi"/>
          <w:sz w:val="22"/>
          <w:szCs w:val="22"/>
        </w:rPr>
        <w:t xml:space="preserve"> full year dividend for </w:t>
      </w:r>
      <w:r w:rsidRPr="006E41E4">
        <w:rPr>
          <w:rFonts w:asciiTheme="minorHAnsi" w:eastAsiaTheme="minorHAnsi" w:hAnsiTheme="minorHAnsi"/>
          <w:sz w:val="22"/>
          <w:szCs w:val="22"/>
        </w:rPr>
        <w:t xml:space="preserve">2019 </w:t>
      </w:r>
      <w:r w:rsidR="00FF0D1A" w:rsidRPr="006E41E4">
        <w:rPr>
          <w:rFonts w:asciiTheme="minorHAnsi" w:eastAsiaTheme="minorHAnsi" w:hAnsiTheme="minorHAnsi"/>
          <w:sz w:val="22"/>
          <w:szCs w:val="22"/>
        </w:rPr>
        <w:t xml:space="preserve">of </w:t>
      </w:r>
      <w:r w:rsidRPr="00A028FD">
        <w:rPr>
          <w:rFonts w:asciiTheme="minorHAnsi" w:eastAsiaTheme="minorHAnsi" w:hAnsiTheme="minorHAnsi"/>
          <w:sz w:val="22"/>
        </w:rPr>
        <w:t>200p</w:t>
      </w:r>
      <w:r w:rsidRPr="00922765">
        <w:rPr>
          <w:rFonts w:asciiTheme="minorHAnsi" w:eastAsiaTheme="minorHAnsi" w:hAnsiTheme="minorHAnsi"/>
          <w:sz w:val="22"/>
          <w:szCs w:val="22"/>
        </w:rPr>
        <w:t xml:space="preserve"> (2018: 200p</w:t>
      </w:r>
      <w:r w:rsidR="000B6C20">
        <w:rPr>
          <w:rFonts w:asciiTheme="minorHAnsi" w:eastAsiaTheme="minorHAnsi" w:hAnsiTheme="minorHAnsi"/>
          <w:sz w:val="22"/>
          <w:szCs w:val="22"/>
        </w:rPr>
        <w:t>)</w:t>
      </w:r>
      <w:r w:rsidRPr="00922765">
        <w:rPr>
          <w:rFonts w:asciiTheme="minorHAnsi" w:eastAsiaTheme="minorHAnsi" w:hAnsiTheme="minorHAnsi"/>
          <w:sz w:val="22"/>
          <w:szCs w:val="22"/>
        </w:rPr>
        <w:t xml:space="preserve">. The ex-dividend date will be </w:t>
      </w:r>
      <w:r w:rsidRPr="00E56186">
        <w:rPr>
          <w:rFonts w:asciiTheme="minorHAnsi" w:eastAsiaTheme="minorHAnsi" w:hAnsiTheme="minorHAnsi" w:cstheme="minorBidi"/>
          <w:sz w:val="22"/>
          <w:szCs w:val="22"/>
        </w:rPr>
        <w:t>9</w:t>
      </w:r>
      <w:r w:rsidRPr="00922765">
        <w:rPr>
          <w:rFonts w:asciiTheme="minorHAnsi" w:eastAsiaTheme="minorHAnsi" w:hAnsiTheme="minorHAnsi"/>
          <w:sz w:val="22"/>
          <w:szCs w:val="22"/>
        </w:rPr>
        <w:t xml:space="preserve"> April </w:t>
      </w:r>
      <w:r w:rsidRPr="00E56186">
        <w:rPr>
          <w:rFonts w:asciiTheme="minorHAnsi" w:eastAsiaTheme="minorHAnsi" w:hAnsiTheme="minorHAnsi" w:cstheme="minorBidi"/>
          <w:sz w:val="22"/>
          <w:szCs w:val="22"/>
        </w:rPr>
        <w:t>2020,</w:t>
      </w:r>
      <w:r w:rsidRPr="00922765">
        <w:rPr>
          <w:rFonts w:asciiTheme="minorHAnsi" w:eastAsiaTheme="minorHAnsi" w:hAnsiTheme="minorHAnsi"/>
          <w:sz w:val="22"/>
          <w:szCs w:val="22"/>
        </w:rPr>
        <w:t xml:space="preserve"> the record date will be </w:t>
      </w:r>
      <w:r w:rsidRPr="00E56186">
        <w:rPr>
          <w:rFonts w:asciiTheme="minorHAnsi" w:eastAsiaTheme="minorHAnsi" w:hAnsiTheme="minorHAnsi" w:cstheme="minorBidi"/>
          <w:sz w:val="22"/>
          <w:szCs w:val="22"/>
        </w:rPr>
        <w:t>14</w:t>
      </w:r>
      <w:r w:rsidRPr="00922765">
        <w:rPr>
          <w:rFonts w:asciiTheme="minorHAnsi" w:eastAsiaTheme="minorHAnsi" w:hAnsiTheme="minorHAnsi"/>
          <w:sz w:val="22"/>
          <w:szCs w:val="22"/>
        </w:rPr>
        <w:t xml:space="preserve"> April </w:t>
      </w:r>
      <w:r w:rsidRPr="00E56186">
        <w:rPr>
          <w:rFonts w:asciiTheme="minorHAnsi" w:eastAsiaTheme="minorHAnsi" w:hAnsiTheme="minorHAnsi" w:cstheme="minorBidi"/>
          <w:sz w:val="22"/>
          <w:szCs w:val="22"/>
        </w:rPr>
        <w:t>2020</w:t>
      </w:r>
      <w:r w:rsidRPr="00922765">
        <w:rPr>
          <w:rFonts w:asciiTheme="minorHAnsi" w:eastAsiaTheme="minorHAnsi" w:hAnsiTheme="minorHAnsi"/>
          <w:sz w:val="22"/>
          <w:szCs w:val="22"/>
        </w:rPr>
        <w:t xml:space="preserve"> and payment will be on </w:t>
      </w:r>
      <w:r w:rsidRPr="00E56186">
        <w:rPr>
          <w:rFonts w:asciiTheme="minorHAnsi" w:eastAsiaTheme="minorHAnsi" w:hAnsiTheme="minorHAnsi" w:cstheme="minorBidi"/>
          <w:sz w:val="22"/>
          <w:szCs w:val="22"/>
        </w:rPr>
        <w:t>22</w:t>
      </w:r>
      <w:r w:rsidRPr="00922765">
        <w:rPr>
          <w:rFonts w:asciiTheme="minorHAnsi" w:eastAsiaTheme="minorHAnsi" w:hAnsiTheme="minorHAnsi"/>
          <w:sz w:val="22"/>
          <w:szCs w:val="22"/>
        </w:rPr>
        <w:t xml:space="preserve"> May </w:t>
      </w:r>
      <w:r w:rsidRPr="00E56186">
        <w:rPr>
          <w:rFonts w:asciiTheme="minorHAnsi" w:eastAsiaTheme="minorHAnsi" w:hAnsiTheme="minorHAnsi" w:cstheme="minorBidi"/>
          <w:sz w:val="22"/>
          <w:szCs w:val="22"/>
        </w:rPr>
        <w:t xml:space="preserve">2020. </w:t>
      </w:r>
    </w:p>
    <w:p w14:paraId="02A1C256" w14:textId="67C7BD80" w:rsidR="000A3D50" w:rsidRPr="009F3EFB" w:rsidRDefault="000A3D50" w:rsidP="00E00DF8">
      <w:pPr>
        <w:spacing w:after="120"/>
        <w:jc w:val="both"/>
        <w:rPr>
          <w:rFonts w:asciiTheme="minorHAnsi" w:eastAsiaTheme="minorHAnsi" w:hAnsiTheme="minorHAnsi"/>
          <w:b/>
          <w:sz w:val="22"/>
        </w:rPr>
      </w:pPr>
      <w:r w:rsidRPr="000C7A56">
        <w:rPr>
          <w:rFonts w:asciiTheme="minorHAnsi" w:eastAsiaTheme="minorHAnsi" w:hAnsiTheme="minorHAnsi"/>
          <w:b/>
          <w:sz w:val="22"/>
        </w:rPr>
        <w:t xml:space="preserve">Outlook </w:t>
      </w:r>
    </w:p>
    <w:p w14:paraId="35FF6159" w14:textId="7BEE8B78" w:rsidR="00FB717B" w:rsidRPr="00F4587F" w:rsidRDefault="00FB717B" w:rsidP="00FB717B">
      <w:pPr>
        <w:spacing w:after="120"/>
        <w:jc w:val="both"/>
        <w:rPr>
          <w:rFonts w:asciiTheme="minorHAnsi" w:eastAsiaTheme="minorHAnsi" w:hAnsiTheme="minorHAnsi"/>
          <w:sz w:val="22"/>
          <w:szCs w:val="22"/>
        </w:rPr>
      </w:pPr>
      <w:bookmarkStart w:id="9" w:name="_Hlk33612044"/>
      <w:r w:rsidRPr="009F3EFB">
        <w:rPr>
          <w:rFonts w:asciiTheme="minorHAnsi" w:eastAsiaTheme="minorHAnsi" w:hAnsiTheme="minorHAnsi"/>
          <w:sz w:val="22"/>
        </w:rPr>
        <w:t xml:space="preserve">2020 has begun strongly, with good </w:t>
      </w:r>
      <w:r w:rsidR="00653E82">
        <w:rPr>
          <w:rFonts w:asciiTheme="minorHAnsi" w:eastAsiaTheme="minorHAnsi" w:hAnsiTheme="minorHAnsi"/>
          <w:sz w:val="22"/>
        </w:rPr>
        <w:t xml:space="preserve">customer and revenue </w:t>
      </w:r>
      <w:r w:rsidRPr="009F3EFB">
        <w:rPr>
          <w:rFonts w:asciiTheme="minorHAnsi" w:eastAsiaTheme="minorHAnsi" w:hAnsiTheme="minorHAnsi"/>
          <w:sz w:val="22"/>
        </w:rPr>
        <w:t xml:space="preserve">momentum across all of our divisions. </w:t>
      </w:r>
    </w:p>
    <w:p w14:paraId="214665C1" w14:textId="77777777" w:rsidR="00FB717B" w:rsidRPr="00F4587F" w:rsidRDefault="00FB717B" w:rsidP="00D9348E">
      <w:pPr>
        <w:spacing w:after="120"/>
        <w:jc w:val="both"/>
        <w:rPr>
          <w:rFonts w:asciiTheme="minorHAnsi" w:eastAsiaTheme="minorHAnsi" w:hAnsiTheme="minorHAnsi"/>
          <w:sz w:val="22"/>
          <w:szCs w:val="22"/>
        </w:rPr>
      </w:pPr>
      <w:r w:rsidRPr="00E877C8">
        <w:rPr>
          <w:rFonts w:asciiTheme="minorHAnsi" w:eastAsiaTheme="minorHAnsi" w:hAnsiTheme="minorHAnsi"/>
          <w:sz w:val="22"/>
        </w:rPr>
        <w:t>Euro 2020 presents an excellent opportunity to engage with and acquire customers across multiple markets and we therefore anticipate that sales and marketing for PPB Online will be c.</w:t>
      </w:r>
      <w:r w:rsidRPr="00F4587F">
        <w:rPr>
          <w:rFonts w:asciiTheme="minorHAnsi" w:eastAsiaTheme="minorHAnsi" w:hAnsiTheme="minorHAnsi"/>
          <w:sz w:val="22"/>
          <w:szCs w:val="22"/>
        </w:rPr>
        <w:t xml:space="preserve"> </w:t>
      </w:r>
      <w:r w:rsidRPr="00E877C8">
        <w:rPr>
          <w:rFonts w:asciiTheme="minorHAnsi" w:eastAsiaTheme="minorHAnsi" w:hAnsiTheme="minorHAnsi"/>
          <w:sz w:val="22"/>
        </w:rPr>
        <w:t xml:space="preserve">25% of net revenue in 2020 (2019: 23.9%). </w:t>
      </w:r>
      <w:r w:rsidRPr="00F4587F">
        <w:rPr>
          <w:rFonts w:asciiTheme="minorHAnsi" w:eastAsiaTheme="minorHAnsi" w:hAnsiTheme="minorHAnsi"/>
          <w:sz w:val="22"/>
          <w:szCs w:val="22"/>
        </w:rPr>
        <w:t>Offsetting the cost of this marketing investment is our performance in retail gaming which is running ahead of our initial expectations.</w:t>
      </w:r>
    </w:p>
    <w:p w14:paraId="003F48F8" w14:textId="2EF153E6" w:rsidR="00653E82" w:rsidRPr="004070FF" w:rsidRDefault="00FB717B" w:rsidP="00D9348E">
      <w:pPr>
        <w:spacing w:before="120" w:after="120"/>
        <w:jc w:val="both"/>
        <w:rPr>
          <w:sz w:val="28"/>
        </w:rPr>
      </w:pPr>
      <w:r w:rsidRPr="004070FF">
        <w:rPr>
          <w:rFonts w:asciiTheme="minorHAnsi" w:eastAsiaTheme="minorHAnsi" w:hAnsiTheme="minorHAnsi"/>
          <w:sz w:val="22"/>
        </w:rPr>
        <w:t xml:space="preserve">PPB Online will </w:t>
      </w:r>
      <w:r w:rsidR="00653E82" w:rsidRPr="004070FF">
        <w:rPr>
          <w:rFonts w:asciiTheme="minorHAnsi" w:eastAsiaTheme="minorHAnsi" w:hAnsiTheme="minorHAnsi"/>
          <w:sz w:val="22"/>
        </w:rPr>
        <w:t xml:space="preserve">see </w:t>
      </w:r>
      <w:r w:rsidRPr="004070FF">
        <w:rPr>
          <w:rFonts w:asciiTheme="minorHAnsi" w:eastAsiaTheme="minorHAnsi" w:hAnsiTheme="minorHAnsi"/>
          <w:sz w:val="22"/>
        </w:rPr>
        <w:t xml:space="preserve">a number of regulatory </w:t>
      </w:r>
      <w:r w:rsidR="00653E82" w:rsidRPr="004070FF">
        <w:rPr>
          <w:rFonts w:asciiTheme="minorHAnsi" w:eastAsiaTheme="minorHAnsi" w:hAnsiTheme="minorHAnsi"/>
          <w:sz w:val="22"/>
        </w:rPr>
        <w:t xml:space="preserve">changes </w:t>
      </w:r>
      <w:r w:rsidRPr="004070FF">
        <w:rPr>
          <w:rFonts w:asciiTheme="minorHAnsi" w:eastAsiaTheme="minorHAnsi" w:hAnsiTheme="minorHAnsi"/>
          <w:sz w:val="22"/>
          <w:szCs w:val="22"/>
        </w:rPr>
        <w:t>this year</w:t>
      </w:r>
      <w:r w:rsidR="007E7319" w:rsidRPr="004070FF">
        <w:rPr>
          <w:rFonts w:asciiTheme="minorHAnsi" w:eastAsiaTheme="minorHAnsi" w:hAnsiTheme="minorHAnsi"/>
          <w:sz w:val="22"/>
        </w:rPr>
        <w:t>.</w:t>
      </w:r>
      <w:r w:rsidRPr="004070FF">
        <w:rPr>
          <w:rFonts w:asciiTheme="minorHAnsi" w:eastAsiaTheme="minorHAnsi" w:hAnsiTheme="minorHAnsi"/>
          <w:sz w:val="22"/>
        </w:rPr>
        <w:t xml:space="preserve"> </w:t>
      </w:r>
      <w:r w:rsidR="00FA6CE1" w:rsidRPr="004070FF">
        <w:rPr>
          <w:rFonts w:asciiTheme="minorHAnsi" w:eastAsiaTheme="minorHAnsi" w:hAnsiTheme="minorHAnsi"/>
          <w:sz w:val="22"/>
        </w:rPr>
        <w:t xml:space="preserve"> </w:t>
      </w:r>
      <w:r w:rsidR="007C36EE">
        <w:rPr>
          <w:rFonts w:asciiTheme="minorHAnsi" w:eastAsiaTheme="minorHAnsi" w:hAnsiTheme="minorHAnsi"/>
          <w:sz w:val="22"/>
        </w:rPr>
        <w:t>T</w:t>
      </w:r>
      <w:r w:rsidR="00FA6CE1" w:rsidRPr="004070FF">
        <w:rPr>
          <w:rFonts w:asciiTheme="minorHAnsi" w:eastAsiaTheme="minorHAnsi" w:hAnsiTheme="minorHAnsi"/>
          <w:sz w:val="22"/>
        </w:rPr>
        <w:t xml:space="preserve">he annualised revenue impact of </w:t>
      </w:r>
      <w:r w:rsidRPr="004070FF">
        <w:rPr>
          <w:rFonts w:asciiTheme="minorHAnsi" w:eastAsiaTheme="minorHAnsi" w:hAnsiTheme="minorHAnsi"/>
          <w:sz w:val="22"/>
        </w:rPr>
        <w:t xml:space="preserve">the </w:t>
      </w:r>
      <w:r w:rsidRPr="00AF3703">
        <w:rPr>
          <w:rFonts w:asciiTheme="minorHAnsi" w:eastAsiaTheme="minorHAnsi" w:hAnsiTheme="minorHAnsi"/>
          <w:sz w:val="22"/>
        </w:rPr>
        <w:t xml:space="preserve">recently announced </w:t>
      </w:r>
      <w:r w:rsidR="00FA6CE1" w:rsidRPr="002F7E37">
        <w:rPr>
          <w:rFonts w:asciiTheme="minorHAnsi" w:eastAsiaTheme="minorHAnsi" w:hAnsiTheme="minorHAnsi"/>
          <w:sz w:val="22"/>
        </w:rPr>
        <w:t xml:space="preserve">restriction </w:t>
      </w:r>
      <w:r w:rsidRPr="004070FF">
        <w:rPr>
          <w:rFonts w:asciiTheme="minorHAnsi" w:eastAsiaTheme="minorHAnsi" w:hAnsiTheme="minorHAnsi"/>
          <w:sz w:val="22"/>
        </w:rPr>
        <w:t>on UK credit card deposits will be</w:t>
      </w:r>
      <w:r w:rsidR="00AB54F8" w:rsidRPr="004070FF">
        <w:rPr>
          <w:rFonts w:asciiTheme="minorHAnsi" w:eastAsiaTheme="minorHAnsi" w:hAnsiTheme="minorHAnsi"/>
          <w:sz w:val="22"/>
        </w:rPr>
        <w:t xml:space="preserve"> c.</w:t>
      </w:r>
      <w:r w:rsidRPr="004070FF">
        <w:rPr>
          <w:rFonts w:asciiTheme="minorHAnsi" w:eastAsiaTheme="minorHAnsi" w:hAnsiTheme="minorHAnsi"/>
          <w:sz w:val="22"/>
        </w:rPr>
        <w:t>£20-25m</w:t>
      </w:r>
      <w:r w:rsidR="00653E82" w:rsidRPr="004070FF">
        <w:rPr>
          <w:rFonts w:asciiTheme="minorHAnsi" w:eastAsiaTheme="minorHAnsi" w:hAnsiTheme="minorHAnsi"/>
          <w:sz w:val="22"/>
        </w:rPr>
        <w:t>. We estimate that</w:t>
      </w:r>
      <w:r w:rsidR="00B83973" w:rsidRPr="004070FF">
        <w:rPr>
          <w:rFonts w:asciiTheme="minorHAnsi" w:eastAsiaTheme="minorHAnsi" w:hAnsiTheme="minorHAnsi"/>
          <w:sz w:val="22"/>
        </w:rPr>
        <w:t xml:space="preserve"> the decision to switch off a small number of B2B partners will result in a reduction in Exchange revenues</w:t>
      </w:r>
      <w:r w:rsidR="00670D81">
        <w:rPr>
          <w:rFonts w:asciiTheme="minorHAnsi" w:eastAsiaTheme="minorHAnsi" w:hAnsiTheme="minorHAnsi"/>
          <w:sz w:val="22"/>
        </w:rPr>
        <w:t>, equivalent to</w:t>
      </w:r>
      <w:r w:rsidR="00653E82" w:rsidRPr="004070FF">
        <w:rPr>
          <w:rFonts w:asciiTheme="minorHAnsi" w:eastAsiaTheme="minorHAnsi" w:hAnsiTheme="minorHAnsi"/>
          <w:sz w:val="22"/>
        </w:rPr>
        <w:t xml:space="preserve"> less</w:t>
      </w:r>
      <w:r w:rsidR="00B83973" w:rsidRPr="004070FF">
        <w:rPr>
          <w:rFonts w:asciiTheme="minorHAnsi" w:eastAsiaTheme="minorHAnsi" w:hAnsiTheme="minorHAnsi"/>
          <w:sz w:val="22"/>
        </w:rPr>
        <w:t xml:space="preserve"> </w:t>
      </w:r>
      <w:r w:rsidR="00653E82" w:rsidRPr="004070FF">
        <w:rPr>
          <w:rFonts w:asciiTheme="minorHAnsi" w:eastAsiaTheme="minorHAnsi" w:hAnsiTheme="minorHAnsi"/>
          <w:sz w:val="22"/>
        </w:rPr>
        <w:t>than 1% of Group revenues in</w:t>
      </w:r>
      <w:r w:rsidR="00B83973" w:rsidRPr="004070FF">
        <w:rPr>
          <w:rFonts w:asciiTheme="minorHAnsi" w:eastAsiaTheme="minorHAnsi" w:hAnsiTheme="minorHAnsi"/>
          <w:sz w:val="22"/>
        </w:rPr>
        <w:t xml:space="preserve"> 2020.</w:t>
      </w:r>
      <w:r w:rsidR="00B83973" w:rsidRPr="004070FF">
        <w:rPr>
          <w:sz w:val="28"/>
        </w:rPr>
        <w:t xml:space="preserve"> </w:t>
      </w:r>
    </w:p>
    <w:p w14:paraId="675AFBBC" w14:textId="0D574116" w:rsidR="000C7A56" w:rsidRDefault="00FB717B" w:rsidP="00D9348E">
      <w:pPr>
        <w:spacing w:before="120" w:after="120"/>
        <w:jc w:val="both"/>
        <w:rPr>
          <w:rFonts w:asciiTheme="minorHAnsi" w:eastAsiaTheme="minorHAnsi" w:hAnsiTheme="minorHAnsi"/>
          <w:sz w:val="22"/>
        </w:rPr>
      </w:pPr>
      <w:r w:rsidRPr="004070FF">
        <w:rPr>
          <w:rFonts w:asciiTheme="minorHAnsi" w:eastAsiaTheme="minorHAnsi" w:hAnsiTheme="minorHAnsi"/>
          <w:sz w:val="22"/>
        </w:rPr>
        <w:t>In the US, FanDuel continues to enjoy very strong momentum</w:t>
      </w:r>
      <w:r w:rsidR="00653E82" w:rsidRPr="004070FF">
        <w:rPr>
          <w:rFonts w:asciiTheme="minorHAnsi" w:eastAsiaTheme="minorHAnsi" w:hAnsiTheme="minorHAnsi"/>
          <w:sz w:val="22"/>
        </w:rPr>
        <w:t>. W</w:t>
      </w:r>
      <w:r w:rsidRPr="004070FF">
        <w:rPr>
          <w:rFonts w:asciiTheme="minorHAnsi" w:eastAsiaTheme="minorHAnsi" w:hAnsiTheme="minorHAnsi"/>
          <w:sz w:val="22"/>
        </w:rPr>
        <w:t xml:space="preserve">ith plans to launch </w:t>
      </w:r>
      <w:r w:rsidR="00653E82" w:rsidRPr="004070FF">
        <w:rPr>
          <w:rFonts w:asciiTheme="minorHAnsi" w:eastAsiaTheme="minorHAnsi" w:hAnsiTheme="minorHAnsi"/>
          <w:sz w:val="22"/>
        </w:rPr>
        <w:t xml:space="preserve">and invest in </w:t>
      </w:r>
      <w:r w:rsidRPr="004070FF">
        <w:rPr>
          <w:rFonts w:asciiTheme="minorHAnsi" w:eastAsiaTheme="minorHAnsi" w:hAnsiTheme="minorHAnsi"/>
          <w:sz w:val="22"/>
          <w:szCs w:val="22"/>
        </w:rPr>
        <w:t xml:space="preserve">our </w:t>
      </w:r>
      <w:r w:rsidRPr="004070FF">
        <w:rPr>
          <w:rFonts w:asciiTheme="minorHAnsi" w:eastAsiaTheme="minorHAnsi" w:hAnsiTheme="minorHAnsi"/>
          <w:sz w:val="22"/>
        </w:rPr>
        <w:t xml:space="preserve">online </w:t>
      </w:r>
      <w:r w:rsidRPr="004070FF">
        <w:rPr>
          <w:rFonts w:asciiTheme="minorHAnsi" w:eastAsiaTheme="minorHAnsi" w:hAnsiTheme="minorHAnsi"/>
          <w:sz w:val="22"/>
          <w:szCs w:val="22"/>
        </w:rPr>
        <w:t>sportsbook</w:t>
      </w:r>
      <w:r w:rsidRPr="004070FF">
        <w:rPr>
          <w:rFonts w:asciiTheme="minorHAnsi" w:eastAsiaTheme="minorHAnsi" w:hAnsiTheme="minorHAnsi"/>
          <w:sz w:val="22"/>
        </w:rPr>
        <w:t xml:space="preserve"> in at least 3 additional states in 2020 we currently expect the US </w:t>
      </w:r>
      <w:r w:rsidRPr="004070FF">
        <w:rPr>
          <w:rFonts w:asciiTheme="minorHAnsi" w:eastAsiaTheme="minorHAnsi" w:hAnsiTheme="minorHAnsi"/>
          <w:sz w:val="22"/>
          <w:szCs w:val="22"/>
        </w:rPr>
        <w:t>EBITDA</w:t>
      </w:r>
      <w:r w:rsidRPr="004070FF">
        <w:rPr>
          <w:rFonts w:asciiTheme="minorHAnsi" w:eastAsiaTheme="minorHAnsi" w:hAnsiTheme="minorHAnsi"/>
          <w:sz w:val="22"/>
          <w:szCs w:val="22"/>
          <w:vertAlign w:val="superscript"/>
        </w:rPr>
        <w:t>2</w:t>
      </w:r>
      <w:r w:rsidRPr="004070FF">
        <w:rPr>
          <w:rFonts w:asciiTheme="minorHAnsi" w:eastAsiaTheme="minorHAnsi" w:hAnsiTheme="minorHAnsi"/>
          <w:sz w:val="22"/>
        </w:rPr>
        <w:t xml:space="preserve"> outcome for 2020 to be similar to 2019.</w:t>
      </w:r>
    </w:p>
    <w:bookmarkEnd w:id="9"/>
    <w:p w14:paraId="48016D1D" w14:textId="047A6AAC" w:rsidR="00324B39" w:rsidRPr="000C7A56" w:rsidRDefault="00324B39" w:rsidP="000C7A56">
      <w:pPr>
        <w:spacing w:before="120" w:after="120"/>
        <w:rPr>
          <w:rFonts w:asciiTheme="minorHAnsi" w:eastAsiaTheme="minorHAnsi" w:hAnsiTheme="minorHAnsi"/>
          <w:sz w:val="22"/>
        </w:rPr>
      </w:pPr>
      <w:r w:rsidRPr="002744B0">
        <w:rPr>
          <w:rFonts w:asciiTheme="minorHAnsi" w:hAnsiTheme="minorHAnsi"/>
          <w:b/>
          <w:sz w:val="22"/>
          <w:szCs w:val="22"/>
        </w:rPr>
        <w:t>____________________________________________________________________________________</w:t>
      </w:r>
    </w:p>
    <w:p w14:paraId="79C3DA5B" w14:textId="46660C5F" w:rsidR="00324B39" w:rsidRPr="0026713E" w:rsidRDefault="00324B39" w:rsidP="00324B39">
      <w:pPr>
        <w:spacing w:after="80"/>
        <w:rPr>
          <w:rFonts w:asciiTheme="minorHAnsi" w:hAnsiTheme="minorHAnsi"/>
          <w:sz w:val="18"/>
          <w:szCs w:val="18"/>
        </w:rPr>
      </w:pPr>
      <w:bookmarkStart w:id="10" w:name="_Hlk32994593"/>
      <w:r w:rsidRPr="0026713E">
        <w:rPr>
          <w:rFonts w:asciiTheme="minorHAnsi" w:hAnsiTheme="minorHAnsi"/>
          <w:sz w:val="18"/>
          <w:szCs w:val="18"/>
          <w:vertAlign w:val="superscript"/>
        </w:rPr>
        <w:t>1</w:t>
      </w:r>
      <w:r w:rsidRPr="0026713E">
        <w:rPr>
          <w:rFonts w:asciiTheme="minorHAnsi" w:hAnsiTheme="minorHAnsi"/>
          <w:sz w:val="18"/>
          <w:szCs w:val="18"/>
        </w:rPr>
        <w:t xml:space="preserve"> The “underlying” measures exclude separately disclosed items, that are not part of the usual business activity of the Group and are also excluded when internally evaluating performance</w:t>
      </w:r>
      <w:r w:rsidR="00755766">
        <w:rPr>
          <w:rFonts w:asciiTheme="minorHAnsi" w:hAnsiTheme="minorHAnsi"/>
          <w:sz w:val="18"/>
          <w:szCs w:val="18"/>
        </w:rPr>
        <w:t xml:space="preserve"> </w:t>
      </w:r>
      <w:r w:rsidRPr="0026713E">
        <w:rPr>
          <w:rFonts w:asciiTheme="minorHAnsi" w:hAnsiTheme="minorHAnsi"/>
          <w:sz w:val="18"/>
          <w:szCs w:val="18"/>
        </w:rPr>
        <w:t xml:space="preserve">and have been therefore reported as “separately disclosed items” (see note </w:t>
      </w:r>
      <w:r w:rsidR="00135DE3" w:rsidRPr="0026713E">
        <w:rPr>
          <w:rFonts w:asciiTheme="minorHAnsi" w:hAnsiTheme="minorHAnsi"/>
          <w:sz w:val="18"/>
          <w:szCs w:val="18"/>
        </w:rPr>
        <w:t>4</w:t>
      </w:r>
      <w:r w:rsidRPr="0026713E">
        <w:rPr>
          <w:rFonts w:asciiTheme="minorHAnsi" w:hAnsiTheme="minorHAnsi"/>
          <w:sz w:val="18"/>
          <w:szCs w:val="18"/>
        </w:rPr>
        <w:t xml:space="preserve"> and page </w:t>
      </w:r>
      <w:r w:rsidR="006E257D">
        <w:rPr>
          <w:rFonts w:asciiTheme="minorHAnsi" w:hAnsiTheme="minorHAnsi"/>
          <w:sz w:val="18"/>
          <w:szCs w:val="18"/>
        </w:rPr>
        <w:t>37</w:t>
      </w:r>
      <w:r w:rsidRPr="0026713E">
        <w:rPr>
          <w:rFonts w:asciiTheme="minorHAnsi" w:hAnsiTheme="minorHAnsi"/>
          <w:sz w:val="18"/>
          <w:szCs w:val="18"/>
        </w:rPr>
        <w:t xml:space="preserve"> to the financial statements</w:t>
      </w:r>
      <w:r w:rsidR="00252C50" w:rsidRPr="0026713E">
        <w:rPr>
          <w:rFonts w:asciiTheme="minorHAnsi" w:hAnsiTheme="minorHAnsi"/>
          <w:sz w:val="18"/>
          <w:szCs w:val="18"/>
        </w:rPr>
        <w:t>)</w:t>
      </w:r>
      <w:r w:rsidR="002B0D28">
        <w:rPr>
          <w:rFonts w:asciiTheme="minorHAnsi" w:hAnsiTheme="minorHAnsi"/>
          <w:sz w:val="18"/>
          <w:szCs w:val="18"/>
        </w:rPr>
        <w:t>.</w:t>
      </w:r>
    </w:p>
    <w:p w14:paraId="77437A7D" w14:textId="0B159AAE" w:rsidR="003745D1" w:rsidRPr="0026713E" w:rsidRDefault="00324B39" w:rsidP="003745D1">
      <w:pPr>
        <w:spacing w:after="120"/>
        <w:jc w:val="both"/>
        <w:rPr>
          <w:rFonts w:asciiTheme="minorHAnsi" w:hAnsiTheme="minorHAnsi"/>
          <w:sz w:val="18"/>
          <w:szCs w:val="18"/>
        </w:rPr>
      </w:pPr>
      <w:r w:rsidRPr="0026713E">
        <w:rPr>
          <w:rFonts w:asciiTheme="minorHAnsi" w:hAnsiTheme="minorHAnsi"/>
          <w:sz w:val="18"/>
          <w:szCs w:val="18"/>
          <w:vertAlign w:val="superscript"/>
        </w:rPr>
        <w:t xml:space="preserve">2 </w:t>
      </w:r>
      <w:r w:rsidR="003745D1" w:rsidRPr="0026713E">
        <w:rPr>
          <w:rFonts w:asciiTheme="minorHAnsi" w:hAnsiTheme="minorHAnsi"/>
          <w:sz w:val="18"/>
          <w:szCs w:val="18"/>
        </w:rPr>
        <w:t>EBITDA is profit before interest, tax, depreciation and amortisation expenses and is a non-GAAP measure.</w:t>
      </w:r>
      <w:r w:rsidR="003745D1" w:rsidRPr="0026713E">
        <w:t xml:space="preserve"> </w:t>
      </w:r>
      <w:r w:rsidR="003745D1" w:rsidRPr="0026713E">
        <w:rPr>
          <w:rFonts w:asciiTheme="minorHAnsi" w:hAnsiTheme="minorHAnsi"/>
          <w:sz w:val="18"/>
          <w:szCs w:val="18"/>
        </w:rPr>
        <w:t xml:space="preserve">EBITDA throughout this Operating and Financial Review excludes the impact of IFRS 16. See Appendix 5 for a reconciliation to IFRS 16 compliant numbers. It is defined as profit for the year before depreciation and amortisation, financial income, financial expense and tax expense / credit. The Group uses EBITDA, Underlying EBITDA and Underlying operating profit to comment on its financial performance. These measures are used internally to evaluate performance, to establish strategic goals and to allocate resources. The </w:t>
      </w:r>
      <w:r w:rsidR="00012A96">
        <w:rPr>
          <w:rFonts w:asciiTheme="minorHAnsi" w:hAnsiTheme="minorHAnsi"/>
          <w:sz w:val="18"/>
          <w:szCs w:val="18"/>
        </w:rPr>
        <w:t>d</w:t>
      </w:r>
      <w:r w:rsidR="003745D1" w:rsidRPr="0026713E">
        <w:rPr>
          <w:rFonts w:asciiTheme="minorHAnsi" w:hAnsiTheme="minorHAnsi"/>
          <w:sz w:val="18"/>
          <w:szCs w:val="18"/>
        </w:rPr>
        <w:t>irectors also consider that these are commonly reported and widely used by investors as an indicator of operating performance and ability to incur and service debt, and as a valuation metric. These are non-GAAP financial measures and are not prepared in accordance with IFRS and, as not uniformly defined terms, these may not be comparable with measures used by other companies to the extent they do not follow the same methodology used by the Group. Non-GAAP measures should not be viewed in isolation, nor considered as a substitute for measures reported in accordance with IFRS. All of the adjustments shown have been taken from the financial statements.</w:t>
      </w:r>
    </w:p>
    <w:bookmarkEnd w:id="10"/>
    <w:p w14:paraId="4157D588" w14:textId="554E5C88" w:rsidR="00324B39" w:rsidRPr="0026713E" w:rsidRDefault="00324B39" w:rsidP="003745D1">
      <w:pPr>
        <w:spacing w:after="120"/>
        <w:jc w:val="both"/>
        <w:rPr>
          <w:rFonts w:asciiTheme="minorHAnsi" w:hAnsiTheme="minorHAnsi"/>
          <w:sz w:val="18"/>
          <w:szCs w:val="18"/>
          <w:vertAlign w:val="superscript"/>
        </w:rPr>
      </w:pPr>
      <w:r w:rsidRPr="0026713E">
        <w:rPr>
          <w:rFonts w:asciiTheme="minorHAnsi" w:hAnsiTheme="minorHAnsi"/>
          <w:sz w:val="18"/>
          <w:szCs w:val="18"/>
          <w:vertAlign w:val="superscript"/>
        </w:rPr>
        <w:t xml:space="preserve">3 </w:t>
      </w:r>
      <w:r w:rsidRPr="0026713E">
        <w:rPr>
          <w:rFonts w:asciiTheme="minorHAnsi" w:hAnsiTheme="minorHAnsi"/>
          <w:sz w:val="18"/>
          <w:szCs w:val="18"/>
        </w:rPr>
        <w:t xml:space="preserve">Constant currency (“cc”) growth throughout this Operating </w:t>
      </w:r>
      <w:r w:rsidR="00012A96">
        <w:rPr>
          <w:rFonts w:asciiTheme="minorHAnsi" w:hAnsiTheme="minorHAnsi"/>
          <w:sz w:val="18"/>
          <w:szCs w:val="18"/>
        </w:rPr>
        <w:t>and</w:t>
      </w:r>
      <w:r w:rsidRPr="0026713E">
        <w:rPr>
          <w:rFonts w:asciiTheme="minorHAnsi" w:hAnsiTheme="minorHAnsi"/>
          <w:sz w:val="18"/>
          <w:szCs w:val="18"/>
        </w:rPr>
        <w:t xml:space="preserve"> Financial Review is calculated by retranslating non-sterling denominated component of 201</w:t>
      </w:r>
      <w:r w:rsidR="003745D1" w:rsidRPr="0026713E">
        <w:rPr>
          <w:rFonts w:asciiTheme="minorHAnsi" w:hAnsiTheme="minorHAnsi"/>
          <w:sz w:val="18"/>
          <w:szCs w:val="18"/>
        </w:rPr>
        <w:t>8</w:t>
      </w:r>
      <w:r w:rsidRPr="0026713E">
        <w:rPr>
          <w:rFonts w:asciiTheme="minorHAnsi" w:hAnsiTheme="minorHAnsi"/>
          <w:sz w:val="18"/>
          <w:szCs w:val="18"/>
        </w:rPr>
        <w:t xml:space="preserve"> at 201</w:t>
      </w:r>
      <w:r w:rsidR="003745D1" w:rsidRPr="0026713E">
        <w:rPr>
          <w:rFonts w:asciiTheme="minorHAnsi" w:hAnsiTheme="minorHAnsi"/>
          <w:sz w:val="18"/>
          <w:szCs w:val="18"/>
        </w:rPr>
        <w:t>9</w:t>
      </w:r>
      <w:r w:rsidRPr="0026713E">
        <w:rPr>
          <w:rFonts w:asciiTheme="minorHAnsi" w:hAnsiTheme="minorHAnsi"/>
          <w:sz w:val="18"/>
          <w:szCs w:val="18"/>
        </w:rPr>
        <w:t xml:space="preserve"> exchange rates (see Appendix 4)</w:t>
      </w:r>
      <w:r w:rsidR="002B0D28">
        <w:rPr>
          <w:rFonts w:asciiTheme="minorHAnsi" w:hAnsiTheme="minorHAnsi"/>
          <w:sz w:val="18"/>
          <w:szCs w:val="18"/>
        </w:rPr>
        <w:t>.</w:t>
      </w:r>
    </w:p>
    <w:p w14:paraId="61A79CC5" w14:textId="45C1BA8A" w:rsidR="00324B39" w:rsidRPr="0026713E" w:rsidRDefault="00324B39" w:rsidP="003745D1">
      <w:pPr>
        <w:spacing w:after="120"/>
        <w:jc w:val="both"/>
        <w:rPr>
          <w:rFonts w:asciiTheme="minorHAnsi" w:hAnsiTheme="minorHAnsi"/>
          <w:sz w:val="18"/>
          <w:szCs w:val="18"/>
        </w:rPr>
      </w:pPr>
      <w:r w:rsidRPr="0026713E">
        <w:rPr>
          <w:rFonts w:asciiTheme="minorHAnsi" w:hAnsiTheme="minorHAnsi"/>
          <w:sz w:val="18"/>
          <w:szCs w:val="18"/>
          <w:vertAlign w:val="superscript"/>
        </w:rPr>
        <w:t xml:space="preserve">4 </w:t>
      </w:r>
      <w:r w:rsidR="003745D1" w:rsidRPr="0026713E">
        <w:rPr>
          <w:rFonts w:asciiTheme="minorHAnsi" w:hAnsiTheme="minorHAnsi"/>
          <w:sz w:val="18"/>
          <w:szCs w:val="18"/>
        </w:rPr>
        <w:t xml:space="preserve">The Adjarabet and </w:t>
      </w:r>
      <w:proofErr w:type="spellStart"/>
      <w:r w:rsidR="003745D1" w:rsidRPr="0026713E">
        <w:rPr>
          <w:rFonts w:asciiTheme="minorHAnsi" w:hAnsiTheme="minorHAnsi"/>
          <w:sz w:val="18"/>
          <w:szCs w:val="18"/>
        </w:rPr>
        <w:t>FanDuel</w:t>
      </w:r>
      <w:proofErr w:type="spellEnd"/>
      <w:r w:rsidR="003745D1" w:rsidRPr="0026713E">
        <w:rPr>
          <w:rFonts w:asciiTheme="minorHAnsi" w:hAnsiTheme="minorHAnsi"/>
          <w:sz w:val="18"/>
          <w:szCs w:val="18"/>
        </w:rPr>
        <w:t xml:space="preserve"> transactions completed on 1 February 2019 and 10 July 2018 respectively. The ‘Proforma’ results include the Adjarabet and </w:t>
      </w:r>
      <w:proofErr w:type="spellStart"/>
      <w:r w:rsidR="003745D1" w:rsidRPr="0026713E">
        <w:rPr>
          <w:rFonts w:asciiTheme="minorHAnsi" w:hAnsiTheme="minorHAnsi"/>
          <w:sz w:val="18"/>
          <w:szCs w:val="18"/>
        </w:rPr>
        <w:t>FanDuel</w:t>
      </w:r>
      <w:proofErr w:type="spellEnd"/>
      <w:r w:rsidR="003745D1" w:rsidRPr="0026713E">
        <w:rPr>
          <w:rFonts w:asciiTheme="minorHAnsi" w:hAnsiTheme="minorHAnsi"/>
          <w:sz w:val="18"/>
          <w:szCs w:val="18"/>
        </w:rPr>
        <w:t xml:space="preserve"> fantasy sports businesses as if they had always been part of the Group, incorporating in addition to the reported results, results from pre-acquisition periods in 2018 and 201</w:t>
      </w:r>
      <w:r w:rsidR="002B0D28">
        <w:rPr>
          <w:rFonts w:asciiTheme="minorHAnsi" w:hAnsiTheme="minorHAnsi"/>
          <w:sz w:val="18"/>
          <w:szCs w:val="18"/>
        </w:rPr>
        <w:t>9.</w:t>
      </w:r>
    </w:p>
    <w:p w14:paraId="76360DA6" w14:textId="25989CBB" w:rsidR="00324B39" w:rsidRPr="00CE5CB2" w:rsidRDefault="00324B39" w:rsidP="00324B39">
      <w:pPr>
        <w:spacing w:after="80"/>
        <w:jc w:val="both"/>
        <w:rPr>
          <w:rFonts w:asciiTheme="minorHAnsi" w:hAnsiTheme="minorHAnsi"/>
          <w:sz w:val="18"/>
          <w:szCs w:val="18"/>
          <w:highlight w:val="yellow"/>
        </w:rPr>
      </w:pPr>
      <w:r w:rsidRPr="0026713E">
        <w:rPr>
          <w:rFonts w:asciiTheme="minorHAnsi" w:hAnsiTheme="minorHAnsi"/>
          <w:sz w:val="18"/>
          <w:szCs w:val="18"/>
          <w:vertAlign w:val="superscript"/>
        </w:rPr>
        <w:t>5</w:t>
      </w:r>
      <w:r w:rsidRPr="0026713E">
        <w:rPr>
          <w:rFonts w:asciiTheme="minorHAnsi" w:hAnsiTheme="minorHAnsi"/>
          <w:sz w:val="18"/>
          <w:szCs w:val="18"/>
        </w:rPr>
        <w:t xml:space="preserve"> Net debt at 31 December 201</w:t>
      </w:r>
      <w:r w:rsidR="003745D1" w:rsidRPr="0026713E">
        <w:rPr>
          <w:rFonts w:asciiTheme="minorHAnsi" w:hAnsiTheme="minorHAnsi"/>
          <w:sz w:val="18"/>
          <w:szCs w:val="18"/>
        </w:rPr>
        <w:t>9</w:t>
      </w:r>
      <w:r w:rsidRPr="0026713E">
        <w:rPr>
          <w:rFonts w:asciiTheme="minorHAnsi" w:hAnsiTheme="minorHAnsi"/>
          <w:sz w:val="18"/>
          <w:szCs w:val="18"/>
        </w:rPr>
        <w:t xml:space="preserve"> is comprised of gross cash excluding customer balances of £</w:t>
      </w:r>
      <w:r w:rsidR="00095760">
        <w:rPr>
          <w:rFonts w:asciiTheme="minorHAnsi" w:hAnsiTheme="minorHAnsi"/>
          <w:sz w:val="18"/>
          <w:szCs w:val="18"/>
        </w:rPr>
        <w:t>108.1</w:t>
      </w:r>
      <w:r w:rsidR="00095760" w:rsidRPr="0026713E">
        <w:rPr>
          <w:rFonts w:asciiTheme="minorHAnsi" w:hAnsiTheme="minorHAnsi"/>
          <w:sz w:val="18"/>
          <w:szCs w:val="18"/>
        </w:rPr>
        <w:t>m</w:t>
      </w:r>
      <w:r w:rsidRPr="0026713E">
        <w:rPr>
          <w:rFonts w:asciiTheme="minorHAnsi" w:hAnsiTheme="minorHAnsi"/>
          <w:sz w:val="18"/>
          <w:szCs w:val="18"/>
        </w:rPr>
        <w:t xml:space="preserve"> and gross borrowings of £</w:t>
      </w:r>
      <w:r w:rsidR="00DF7324">
        <w:rPr>
          <w:rFonts w:asciiTheme="minorHAnsi" w:hAnsiTheme="minorHAnsi"/>
          <w:sz w:val="18"/>
          <w:szCs w:val="18"/>
        </w:rPr>
        <w:t>36</w:t>
      </w:r>
      <w:r w:rsidR="00684DB1">
        <w:rPr>
          <w:rFonts w:asciiTheme="minorHAnsi" w:hAnsiTheme="minorHAnsi"/>
          <w:sz w:val="18"/>
          <w:szCs w:val="18"/>
        </w:rPr>
        <w:t>7</w:t>
      </w:r>
      <w:r w:rsidR="00095760">
        <w:rPr>
          <w:rFonts w:asciiTheme="minorHAnsi" w:hAnsiTheme="minorHAnsi"/>
          <w:sz w:val="18"/>
          <w:szCs w:val="18"/>
        </w:rPr>
        <w:t>.3</w:t>
      </w:r>
      <w:r w:rsidRPr="0026713E">
        <w:rPr>
          <w:rFonts w:asciiTheme="minorHAnsi" w:hAnsiTheme="minorHAnsi"/>
          <w:sz w:val="18"/>
          <w:szCs w:val="18"/>
        </w:rPr>
        <w:t>m. The comparative balance shown as at 31 December 201</w:t>
      </w:r>
      <w:r w:rsidR="003745D1" w:rsidRPr="0026713E">
        <w:rPr>
          <w:rFonts w:asciiTheme="minorHAnsi" w:hAnsiTheme="minorHAnsi"/>
          <w:sz w:val="18"/>
          <w:szCs w:val="18"/>
        </w:rPr>
        <w:t>8</w:t>
      </w:r>
      <w:r w:rsidRPr="0026713E">
        <w:rPr>
          <w:rFonts w:asciiTheme="minorHAnsi" w:hAnsiTheme="minorHAnsi"/>
          <w:sz w:val="18"/>
          <w:szCs w:val="18"/>
        </w:rPr>
        <w:t xml:space="preserve"> is comprised of gross cash excluding customer balances of £</w:t>
      </w:r>
      <w:r w:rsidR="003745D1" w:rsidRPr="0026713E">
        <w:rPr>
          <w:rFonts w:asciiTheme="minorHAnsi" w:hAnsiTheme="minorHAnsi"/>
          <w:sz w:val="18"/>
          <w:szCs w:val="18"/>
        </w:rPr>
        <w:t>123.7</w:t>
      </w:r>
      <w:r w:rsidRPr="0026713E">
        <w:rPr>
          <w:rFonts w:asciiTheme="minorHAnsi" w:hAnsiTheme="minorHAnsi"/>
          <w:sz w:val="18"/>
          <w:szCs w:val="18"/>
        </w:rPr>
        <w:t>m and borrowings of £</w:t>
      </w:r>
      <w:r w:rsidR="003745D1" w:rsidRPr="0026713E">
        <w:rPr>
          <w:rFonts w:asciiTheme="minorHAnsi" w:hAnsiTheme="minorHAnsi"/>
          <w:sz w:val="18"/>
          <w:szCs w:val="18"/>
        </w:rPr>
        <w:t>285.4</w:t>
      </w:r>
      <w:r w:rsidRPr="0026713E">
        <w:rPr>
          <w:rFonts w:asciiTheme="minorHAnsi" w:hAnsiTheme="minorHAnsi"/>
          <w:sz w:val="18"/>
          <w:szCs w:val="18"/>
        </w:rPr>
        <w:t>m (see Appendix 3)</w:t>
      </w:r>
      <w:r w:rsidR="002B0D28">
        <w:rPr>
          <w:rFonts w:asciiTheme="minorHAnsi" w:hAnsiTheme="minorHAnsi"/>
          <w:sz w:val="18"/>
          <w:szCs w:val="18"/>
        </w:rPr>
        <w:t>.</w:t>
      </w:r>
    </w:p>
    <w:p w14:paraId="12B6A294" w14:textId="49C598FF" w:rsidR="00324B39" w:rsidRPr="0026713E" w:rsidRDefault="00324B39" w:rsidP="00324B39">
      <w:pPr>
        <w:spacing w:after="80"/>
        <w:jc w:val="both"/>
        <w:rPr>
          <w:rFonts w:asciiTheme="minorHAnsi" w:hAnsiTheme="minorHAnsi"/>
          <w:sz w:val="18"/>
          <w:szCs w:val="18"/>
          <w:vertAlign w:val="superscript"/>
        </w:rPr>
      </w:pPr>
      <w:r w:rsidRPr="0026713E">
        <w:rPr>
          <w:rFonts w:asciiTheme="minorHAnsi" w:hAnsiTheme="minorHAnsi"/>
          <w:sz w:val="18"/>
          <w:szCs w:val="18"/>
          <w:vertAlign w:val="superscript"/>
        </w:rPr>
        <w:t xml:space="preserve">6 </w:t>
      </w:r>
      <w:r w:rsidRPr="0026713E">
        <w:rPr>
          <w:rFonts w:asciiTheme="minorHAnsi" w:hAnsiTheme="minorHAnsi"/>
          <w:sz w:val="18"/>
          <w:szCs w:val="18"/>
        </w:rPr>
        <w:t>Growth rates in the commentary are in local currency</w:t>
      </w:r>
      <w:r w:rsidR="002B0D28">
        <w:rPr>
          <w:rFonts w:asciiTheme="minorHAnsi" w:hAnsiTheme="minorHAnsi"/>
          <w:sz w:val="18"/>
          <w:szCs w:val="18"/>
        </w:rPr>
        <w:t>.</w:t>
      </w:r>
    </w:p>
    <w:p w14:paraId="0387B241" w14:textId="345EDD1D" w:rsidR="00324B39" w:rsidRDefault="00324B39" w:rsidP="00324B39">
      <w:pPr>
        <w:spacing w:after="120"/>
        <w:jc w:val="both"/>
        <w:rPr>
          <w:rFonts w:asciiTheme="minorHAnsi" w:hAnsiTheme="minorHAnsi"/>
          <w:sz w:val="18"/>
          <w:szCs w:val="18"/>
          <w:lang w:val="en-IE" w:eastAsia="en-IE"/>
        </w:rPr>
      </w:pPr>
      <w:r w:rsidRPr="0026713E">
        <w:rPr>
          <w:rFonts w:asciiTheme="minorHAnsi" w:hAnsiTheme="minorHAnsi"/>
          <w:sz w:val="18"/>
          <w:szCs w:val="18"/>
          <w:vertAlign w:val="superscript"/>
        </w:rPr>
        <w:t>7</w:t>
      </w:r>
      <w:r w:rsidRPr="0026713E">
        <w:rPr>
          <w:rFonts w:asciiTheme="minorHAnsi" w:hAnsiTheme="minorHAnsi"/>
          <w:i/>
          <w:sz w:val="16"/>
          <w:szCs w:val="16"/>
        </w:rPr>
        <w:t xml:space="preserve"> </w:t>
      </w:r>
      <w:r w:rsidR="00F50EBF" w:rsidRPr="00F50EBF">
        <w:rPr>
          <w:rFonts w:asciiTheme="minorHAnsi" w:hAnsiTheme="minorHAnsi"/>
          <w:sz w:val="18"/>
          <w:szCs w:val="18"/>
          <w:lang w:val="en-IE" w:eastAsia="en-IE"/>
        </w:rPr>
        <w:t>The impact of tax and regulatory change is calculated by adjusting the prior year comparative to reflect the same regulatory and tax rules that exist in the current period. This includes the impact of changes to Australian point of consumption taxes and product fees, UK machine staking limits, UK online remote gaming duty and Irish betting duty.</w:t>
      </w:r>
      <w:r w:rsidR="00F50EBF">
        <w:rPr>
          <w:rFonts w:asciiTheme="minorHAnsi" w:hAnsiTheme="minorHAnsi"/>
          <w:sz w:val="18"/>
          <w:szCs w:val="18"/>
          <w:lang w:val="en-IE" w:eastAsia="en-IE"/>
        </w:rPr>
        <w:t xml:space="preserve"> </w:t>
      </w:r>
    </w:p>
    <w:p w14:paraId="36556A37" w14:textId="6AACDF97" w:rsidR="00AA7AF0" w:rsidRPr="006F3B8A" w:rsidRDefault="00AA7AF0" w:rsidP="00324B39">
      <w:pPr>
        <w:spacing w:after="120"/>
        <w:jc w:val="both"/>
        <w:rPr>
          <w:rFonts w:asciiTheme="minorHAnsi" w:hAnsiTheme="minorHAnsi"/>
          <w:sz w:val="18"/>
          <w:szCs w:val="18"/>
          <w:lang w:val="en-IE" w:eastAsia="en-IE"/>
        </w:rPr>
      </w:pPr>
      <w:r w:rsidRPr="006F3B8A">
        <w:rPr>
          <w:rFonts w:asciiTheme="minorHAnsi" w:hAnsiTheme="minorHAnsi"/>
          <w:sz w:val="18"/>
          <w:szCs w:val="18"/>
          <w:vertAlign w:val="superscript"/>
          <w:lang w:val="en-IE" w:eastAsia="en-IE"/>
        </w:rPr>
        <w:t>8</w:t>
      </w:r>
      <w:r w:rsidRPr="006F3B8A">
        <w:rPr>
          <w:rFonts w:asciiTheme="minorHAnsi" w:hAnsiTheme="minorHAnsi"/>
          <w:sz w:val="18"/>
          <w:szCs w:val="18"/>
          <w:lang w:val="en-IE" w:eastAsia="en-IE"/>
        </w:rPr>
        <w:t>Average customer acquisition cost is the total sportsbook media and digital marketing spend divided by the total number of customer</w:t>
      </w:r>
      <w:r w:rsidR="00095760">
        <w:rPr>
          <w:rFonts w:asciiTheme="minorHAnsi" w:hAnsiTheme="minorHAnsi"/>
          <w:sz w:val="18"/>
          <w:szCs w:val="18"/>
          <w:lang w:val="en-IE" w:eastAsia="en-IE"/>
        </w:rPr>
        <w:t>s</w:t>
      </w:r>
      <w:r w:rsidRPr="006F3B8A">
        <w:rPr>
          <w:rFonts w:asciiTheme="minorHAnsi" w:hAnsiTheme="minorHAnsi"/>
          <w:sz w:val="18"/>
          <w:szCs w:val="18"/>
          <w:lang w:val="en-IE" w:eastAsia="en-IE"/>
        </w:rPr>
        <w:t xml:space="preserve"> acquired</w:t>
      </w:r>
      <w:r w:rsidR="009A743E">
        <w:rPr>
          <w:rFonts w:asciiTheme="minorHAnsi" w:hAnsiTheme="minorHAnsi"/>
          <w:sz w:val="18"/>
          <w:szCs w:val="18"/>
          <w:lang w:val="en-IE" w:eastAsia="en-IE"/>
        </w:rPr>
        <w:t>.</w:t>
      </w:r>
    </w:p>
    <w:p w14:paraId="59D52A09" w14:textId="32053EEC" w:rsidR="00324B39" w:rsidRDefault="00324B39" w:rsidP="00324B39">
      <w:pPr>
        <w:spacing w:after="120"/>
        <w:jc w:val="both"/>
        <w:rPr>
          <w:rFonts w:asciiTheme="minorHAnsi" w:hAnsiTheme="minorHAnsi"/>
          <w:sz w:val="18"/>
          <w:szCs w:val="18"/>
          <w:lang w:val="en-IE" w:eastAsia="en-IE"/>
        </w:rPr>
      </w:pPr>
    </w:p>
    <w:p w14:paraId="61BA78A1" w14:textId="77777777" w:rsidR="00324B39" w:rsidRDefault="00324B39" w:rsidP="00324B39">
      <w:pPr>
        <w:spacing w:after="120"/>
        <w:jc w:val="both"/>
        <w:rPr>
          <w:rFonts w:asciiTheme="minorHAnsi" w:hAnsiTheme="minorHAnsi"/>
          <w:sz w:val="18"/>
          <w:szCs w:val="18"/>
          <w:lang w:val="en-IE" w:eastAsia="en-IE"/>
        </w:rPr>
      </w:pPr>
    </w:p>
    <w:p w14:paraId="64819CB8" w14:textId="159D8705" w:rsidR="00324B39" w:rsidRPr="00331E65" w:rsidRDefault="00324B39" w:rsidP="00324B39">
      <w:pPr>
        <w:spacing w:after="120"/>
        <w:jc w:val="both"/>
        <w:rPr>
          <w:rFonts w:asciiTheme="minorHAnsi" w:hAnsiTheme="minorHAnsi"/>
          <w:sz w:val="18"/>
          <w:szCs w:val="18"/>
        </w:rPr>
        <w:sectPr w:rsidR="00324B39" w:rsidRPr="00331E65" w:rsidSect="00F930C0">
          <w:headerReference w:type="default" r:id="rId13"/>
          <w:footerReference w:type="default" r:id="rId14"/>
          <w:footerReference w:type="first" r:id="rId15"/>
          <w:pgSz w:w="12240" w:h="15840"/>
          <w:pgMar w:top="993" w:right="1247" w:bottom="851" w:left="1247" w:header="709" w:footer="709" w:gutter="0"/>
          <w:cols w:space="708"/>
          <w:docGrid w:linePitch="360"/>
        </w:sectPr>
      </w:pPr>
      <w:r>
        <w:rPr>
          <w:rFonts w:asciiTheme="minorHAnsi" w:hAnsiTheme="minorHAnsi"/>
          <w:sz w:val="18"/>
          <w:szCs w:val="18"/>
          <w:highlight w:val="yellow"/>
          <w:vertAlign w:val="superscript"/>
        </w:rPr>
        <w:t xml:space="preserve"> </w:t>
      </w:r>
    </w:p>
    <w:p w14:paraId="5B661EAD" w14:textId="77777777" w:rsidR="00324B39" w:rsidRPr="007914AA" w:rsidRDefault="00324B39" w:rsidP="00324B39">
      <w:pPr>
        <w:rPr>
          <w:rFonts w:asciiTheme="minorHAnsi" w:hAnsiTheme="minorHAnsi"/>
          <w:b/>
          <w:color w:val="FF0000"/>
          <w:sz w:val="16"/>
          <w:szCs w:val="16"/>
          <w:lang w:eastAsia="en-IE"/>
        </w:rPr>
      </w:pPr>
      <w:r w:rsidRPr="00203051">
        <w:rPr>
          <w:rFonts w:asciiTheme="minorHAnsi" w:hAnsiTheme="minorHAnsi"/>
          <w:b/>
          <w:sz w:val="20"/>
          <w:lang w:eastAsia="en-IE"/>
        </w:rPr>
        <w:lastRenderedPageBreak/>
        <w:t xml:space="preserve">Appendix 1: Divisional Key Performance Indicators </w:t>
      </w:r>
      <w:r>
        <w:rPr>
          <w:rFonts w:asciiTheme="minorHAnsi" w:hAnsiTheme="minorHAnsi"/>
          <w:b/>
          <w:sz w:val="20"/>
          <w:lang w:eastAsia="en-IE"/>
        </w:rPr>
        <w:t xml:space="preserve">                                                 </w:t>
      </w:r>
    </w:p>
    <w:p w14:paraId="77B3B8E6" w14:textId="77777777" w:rsidR="00324B39" w:rsidRPr="00980880" w:rsidRDefault="00324B39" w:rsidP="00324B39">
      <w:pPr>
        <w:rPr>
          <w:sz w:val="10"/>
          <w:szCs w:val="1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601"/>
        <w:gridCol w:w="567"/>
        <w:gridCol w:w="709"/>
        <w:gridCol w:w="567"/>
        <w:gridCol w:w="709"/>
        <w:gridCol w:w="721"/>
        <w:gridCol w:w="721"/>
        <w:gridCol w:w="489"/>
        <w:gridCol w:w="489"/>
        <w:gridCol w:w="610"/>
        <w:gridCol w:w="585"/>
        <w:gridCol w:w="567"/>
        <w:gridCol w:w="709"/>
        <w:gridCol w:w="838"/>
        <w:gridCol w:w="536"/>
        <w:gridCol w:w="536"/>
        <w:gridCol w:w="640"/>
        <w:gridCol w:w="640"/>
      </w:tblGrid>
      <w:tr w:rsidR="00E877C8" w:rsidRPr="00D26EB4" w14:paraId="39590537" w14:textId="77777777" w:rsidTr="00EB02EC">
        <w:tc>
          <w:tcPr>
            <w:tcW w:w="0" w:type="auto"/>
            <w:tcMar>
              <w:left w:w="45" w:type="dxa"/>
              <w:right w:w="45" w:type="dxa"/>
            </w:tcMar>
          </w:tcPr>
          <w:p w14:paraId="44C93887"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sz w:val="16"/>
              </w:rPr>
            </w:pPr>
            <w:r w:rsidRPr="000C7A56">
              <w:rPr>
                <w:rFonts w:asciiTheme="minorHAnsi" w:hAnsiTheme="minorHAnsi"/>
                <w:b/>
                <w:sz w:val="16"/>
              </w:rPr>
              <w:t>£m</w:t>
            </w:r>
          </w:p>
        </w:tc>
        <w:tc>
          <w:tcPr>
            <w:tcW w:w="1877" w:type="dxa"/>
            <w:gridSpan w:val="3"/>
            <w:shd w:val="clear" w:color="auto" w:fill="F2F2F2" w:themeFill="background1" w:themeFillShade="F2"/>
            <w:tcMar>
              <w:left w:w="45" w:type="dxa"/>
              <w:right w:w="45" w:type="dxa"/>
            </w:tcMar>
          </w:tcPr>
          <w:p w14:paraId="768A7F50" w14:textId="1F876F0E" w:rsidR="00324B39" w:rsidRPr="000C7A56" w:rsidRDefault="009C3F8F"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b/>
                <w:sz w:val="16"/>
              </w:rPr>
            </w:pPr>
            <w:r w:rsidRPr="000C7A56">
              <w:rPr>
                <w:rFonts w:asciiTheme="minorHAnsi" w:hAnsiTheme="minorHAnsi"/>
                <w:b/>
                <w:sz w:val="16"/>
              </w:rPr>
              <w:t xml:space="preserve">PPB </w:t>
            </w:r>
            <w:r w:rsidR="00324B39" w:rsidRPr="000C7A56">
              <w:rPr>
                <w:rFonts w:asciiTheme="minorHAnsi" w:hAnsiTheme="minorHAnsi"/>
                <w:b/>
                <w:sz w:val="16"/>
              </w:rPr>
              <w:t>Online</w:t>
            </w:r>
          </w:p>
        </w:tc>
        <w:tc>
          <w:tcPr>
            <w:tcW w:w="2718" w:type="dxa"/>
            <w:gridSpan w:val="4"/>
            <w:tcMar>
              <w:left w:w="45" w:type="dxa"/>
              <w:right w:w="45" w:type="dxa"/>
            </w:tcMar>
          </w:tcPr>
          <w:p w14:paraId="3A430BF6"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b/>
                <w:sz w:val="16"/>
              </w:rPr>
            </w:pPr>
            <w:r w:rsidRPr="000C7A56">
              <w:rPr>
                <w:rFonts w:asciiTheme="minorHAnsi" w:hAnsiTheme="minorHAnsi"/>
                <w:b/>
                <w:sz w:val="16"/>
              </w:rPr>
              <w:t>Australia</w:t>
            </w:r>
          </w:p>
        </w:tc>
        <w:tc>
          <w:tcPr>
            <w:tcW w:w="0" w:type="auto"/>
            <w:gridSpan w:val="3"/>
            <w:shd w:val="clear" w:color="auto" w:fill="F2F2F2" w:themeFill="background1" w:themeFillShade="F2"/>
            <w:tcMar>
              <w:left w:w="45" w:type="dxa"/>
              <w:right w:w="45" w:type="dxa"/>
            </w:tcMar>
          </w:tcPr>
          <w:p w14:paraId="392EA56C" w14:textId="191D39CF" w:rsidR="00324B39" w:rsidRPr="000C7A56" w:rsidRDefault="00AB6446"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b/>
                <w:sz w:val="16"/>
              </w:rPr>
            </w:pPr>
            <w:r w:rsidRPr="00E877C8">
              <w:rPr>
                <w:rFonts w:asciiTheme="minorHAnsi" w:hAnsiTheme="minorHAnsi"/>
                <w:b/>
                <w:sz w:val="16"/>
              </w:rPr>
              <w:t xml:space="preserve">PPB </w:t>
            </w:r>
            <w:r w:rsidR="00324B39" w:rsidRPr="000C7A56">
              <w:rPr>
                <w:rFonts w:asciiTheme="minorHAnsi" w:hAnsiTheme="minorHAnsi"/>
                <w:b/>
                <w:sz w:val="16"/>
              </w:rPr>
              <w:t>Retail</w:t>
            </w:r>
          </w:p>
        </w:tc>
        <w:tc>
          <w:tcPr>
            <w:tcW w:w="0" w:type="auto"/>
            <w:gridSpan w:val="4"/>
            <w:tcMar>
              <w:left w:w="45" w:type="dxa"/>
              <w:right w:w="45" w:type="dxa"/>
            </w:tcMar>
          </w:tcPr>
          <w:p w14:paraId="4D8CFDE5"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b/>
                <w:sz w:val="16"/>
              </w:rPr>
            </w:pPr>
            <w:r w:rsidRPr="000C7A56">
              <w:rPr>
                <w:rFonts w:asciiTheme="minorHAnsi" w:hAnsiTheme="minorHAnsi"/>
                <w:b/>
                <w:sz w:val="16"/>
              </w:rPr>
              <w:t>US</w:t>
            </w:r>
          </w:p>
        </w:tc>
        <w:tc>
          <w:tcPr>
            <w:tcW w:w="0" w:type="auto"/>
            <w:gridSpan w:val="4"/>
            <w:shd w:val="clear" w:color="auto" w:fill="F2F2F2" w:themeFill="background1" w:themeFillShade="F2"/>
            <w:tcMar>
              <w:left w:w="45" w:type="dxa"/>
              <w:right w:w="45" w:type="dxa"/>
            </w:tcMar>
          </w:tcPr>
          <w:p w14:paraId="34F515FB"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b/>
                <w:sz w:val="16"/>
              </w:rPr>
            </w:pPr>
            <w:r w:rsidRPr="000C7A56">
              <w:rPr>
                <w:rFonts w:asciiTheme="minorHAnsi" w:hAnsiTheme="minorHAnsi"/>
                <w:b/>
                <w:sz w:val="16"/>
              </w:rPr>
              <w:t>Group</w:t>
            </w:r>
          </w:p>
        </w:tc>
      </w:tr>
      <w:tr w:rsidR="00E877C8" w:rsidRPr="00D26EB4" w14:paraId="1724F384" w14:textId="77777777" w:rsidTr="00EB02EC">
        <w:tc>
          <w:tcPr>
            <w:tcW w:w="0" w:type="auto"/>
            <w:tcMar>
              <w:left w:w="45" w:type="dxa"/>
              <w:right w:w="45" w:type="dxa"/>
            </w:tcMar>
          </w:tcPr>
          <w:p w14:paraId="2729F050" w14:textId="02ED2C16" w:rsidR="00324B39" w:rsidRPr="000C7A56" w:rsidRDefault="009A743E"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i/>
                <w:sz w:val="16"/>
              </w:rPr>
            </w:pPr>
            <w:r w:rsidRPr="00E877C8">
              <w:rPr>
                <w:rFonts w:asciiTheme="minorHAnsi" w:hAnsiTheme="minorHAnsi"/>
                <w:i/>
                <w:sz w:val="16"/>
              </w:rPr>
              <w:t>Pre IFRS 16 adjustments</w:t>
            </w:r>
          </w:p>
        </w:tc>
        <w:tc>
          <w:tcPr>
            <w:tcW w:w="601" w:type="dxa"/>
            <w:shd w:val="clear" w:color="auto" w:fill="F2F2F2" w:themeFill="background1" w:themeFillShade="F2"/>
            <w:tcMar>
              <w:left w:w="45" w:type="dxa"/>
              <w:right w:w="45" w:type="dxa"/>
            </w:tcMar>
          </w:tcPr>
          <w:p w14:paraId="0EF50508" w14:textId="192E1E79"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201</w:t>
            </w:r>
            <w:r w:rsidR="008C73C2" w:rsidRPr="000C7A56">
              <w:rPr>
                <w:rFonts w:asciiTheme="minorHAnsi" w:hAnsiTheme="minorHAnsi"/>
                <w:b/>
                <w:sz w:val="16"/>
              </w:rPr>
              <w:t>9</w:t>
            </w:r>
          </w:p>
        </w:tc>
        <w:tc>
          <w:tcPr>
            <w:tcW w:w="567" w:type="dxa"/>
            <w:shd w:val="clear" w:color="auto" w:fill="F2F2F2" w:themeFill="background1" w:themeFillShade="F2"/>
            <w:tcMar>
              <w:left w:w="45" w:type="dxa"/>
              <w:right w:w="45" w:type="dxa"/>
            </w:tcMar>
          </w:tcPr>
          <w:p w14:paraId="68CEC0D2" w14:textId="3D35D1E0"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201</w:t>
            </w:r>
            <w:r w:rsidR="008C73C2" w:rsidRPr="000C7A56">
              <w:rPr>
                <w:rFonts w:asciiTheme="minorHAnsi" w:hAnsiTheme="minorHAnsi"/>
                <w:b/>
                <w:sz w:val="16"/>
              </w:rPr>
              <w:t>8</w:t>
            </w:r>
          </w:p>
        </w:tc>
        <w:tc>
          <w:tcPr>
            <w:tcW w:w="709" w:type="dxa"/>
            <w:shd w:val="clear" w:color="auto" w:fill="F2F2F2" w:themeFill="background1" w:themeFillShade="F2"/>
            <w:tcMar>
              <w:left w:w="45" w:type="dxa"/>
              <w:right w:w="45" w:type="dxa"/>
            </w:tcMar>
          </w:tcPr>
          <w:p w14:paraId="5EC82BFA"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w:t>
            </w:r>
          </w:p>
          <w:p w14:paraId="404C010B"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D26EB4">
              <w:rPr>
                <w:rFonts w:asciiTheme="minorHAnsi" w:hAnsiTheme="minorHAnsi" w:cs="Times New Roman"/>
                <w:b/>
                <w:sz w:val="16"/>
                <w:szCs w:val="16"/>
                <w:lang w:eastAsia="en-IE"/>
              </w:rPr>
              <w:t>Change</w:t>
            </w:r>
          </w:p>
        </w:tc>
        <w:tc>
          <w:tcPr>
            <w:tcW w:w="567" w:type="dxa"/>
            <w:tcMar>
              <w:left w:w="45" w:type="dxa"/>
              <w:right w:w="45" w:type="dxa"/>
            </w:tcMar>
          </w:tcPr>
          <w:p w14:paraId="3ED0DA10" w14:textId="3E5E2B12"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201</w:t>
            </w:r>
            <w:r w:rsidR="008C73C2" w:rsidRPr="000C7A56">
              <w:rPr>
                <w:rFonts w:asciiTheme="minorHAnsi" w:hAnsiTheme="minorHAnsi"/>
                <w:b/>
                <w:sz w:val="16"/>
              </w:rPr>
              <w:t>9</w:t>
            </w:r>
          </w:p>
        </w:tc>
        <w:tc>
          <w:tcPr>
            <w:tcW w:w="709" w:type="dxa"/>
            <w:tcMar>
              <w:left w:w="45" w:type="dxa"/>
              <w:right w:w="45" w:type="dxa"/>
            </w:tcMar>
          </w:tcPr>
          <w:p w14:paraId="6D4A7432" w14:textId="51E1924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201</w:t>
            </w:r>
            <w:r w:rsidR="008C73C2" w:rsidRPr="000C7A56">
              <w:rPr>
                <w:rFonts w:asciiTheme="minorHAnsi" w:hAnsiTheme="minorHAnsi"/>
                <w:b/>
                <w:sz w:val="16"/>
              </w:rPr>
              <w:t>8</w:t>
            </w:r>
          </w:p>
        </w:tc>
        <w:tc>
          <w:tcPr>
            <w:tcW w:w="721" w:type="dxa"/>
            <w:tcMar>
              <w:left w:w="45" w:type="dxa"/>
              <w:right w:w="45" w:type="dxa"/>
            </w:tcMar>
          </w:tcPr>
          <w:p w14:paraId="5C58A0F1"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w:t>
            </w:r>
          </w:p>
          <w:p w14:paraId="4F232447"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D26EB4">
              <w:rPr>
                <w:rFonts w:asciiTheme="minorHAnsi" w:hAnsiTheme="minorHAnsi" w:cs="Times New Roman"/>
                <w:b/>
                <w:sz w:val="16"/>
                <w:szCs w:val="16"/>
                <w:lang w:eastAsia="en-IE"/>
              </w:rPr>
              <w:t>Change</w:t>
            </w:r>
            <w:r w:rsidRPr="000C7A56">
              <w:rPr>
                <w:rFonts w:asciiTheme="minorHAnsi" w:hAnsiTheme="minorHAnsi"/>
                <w:b/>
                <w:sz w:val="16"/>
              </w:rPr>
              <w:t xml:space="preserve"> </w:t>
            </w:r>
          </w:p>
        </w:tc>
        <w:tc>
          <w:tcPr>
            <w:tcW w:w="721" w:type="dxa"/>
            <w:tcMar>
              <w:left w:w="45" w:type="dxa"/>
              <w:right w:w="45" w:type="dxa"/>
            </w:tcMar>
          </w:tcPr>
          <w:p w14:paraId="123392C2"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b/>
                <w:sz w:val="16"/>
              </w:rPr>
              <w:t>A$ % Change</w:t>
            </w:r>
          </w:p>
        </w:tc>
        <w:tc>
          <w:tcPr>
            <w:tcW w:w="0" w:type="auto"/>
            <w:shd w:val="clear" w:color="auto" w:fill="F2F2F2" w:themeFill="background1" w:themeFillShade="F2"/>
            <w:tcMar>
              <w:left w:w="45" w:type="dxa"/>
              <w:right w:w="45" w:type="dxa"/>
            </w:tcMar>
          </w:tcPr>
          <w:p w14:paraId="5F91E395" w14:textId="031A9DF0"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201</w:t>
            </w:r>
            <w:r w:rsidR="008C73C2" w:rsidRPr="000C7A56">
              <w:rPr>
                <w:rFonts w:asciiTheme="minorHAnsi" w:hAnsiTheme="minorHAnsi"/>
                <w:b/>
                <w:sz w:val="16"/>
              </w:rPr>
              <w:t>9</w:t>
            </w:r>
          </w:p>
        </w:tc>
        <w:tc>
          <w:tcPr>
            <w:tcW w:w="0" w:type="auto"/>
            <w:shd w:val="clear" w:color="auto" w:fill="F2F2F2" w:themeFill="background1" w:themeFillShade="F2"/>
            <w:tcMar>
              <w:left w:w="45" w:type="dxa"/>
              <w:right w:w="45" w:type="dxa"/>
            </w:tcMar>
          </w:tcPr>
          <w:p w14:paraId="7AD4B36D" w14:textId="6F59C15C"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201</w:t>
            </w:r>
            <w:r w:rsidR="008C73C2" w:rsidRPr="000C7A56">
              <w:rPr>
                <w:rFonts w:asciiTheme="minorHAnsi" w:hAnsiTheme="minorHAnsi"/>
                <w:b/>
                <w:sz w:val="16"/>
              </w:rPr>
              <w:t>8</w:t>
            </w:r>
          </w:p>
        </w:tc>
        <w:tc>
          <w:tcPr>
            <w:tcW w:w="0" w:type="auto"/>
            <w:shd w:val="clear" w:color="auto" w:fill="F2F2F2" w:themeFill="background1" w:themeFillShade="F2"/>
            <w:tcMar>
              <w:left w:w="45" w:type="dxa"/>
              <w:right w:w="45" w:type="dxa"/>
            </w:tcMar>
          </w:tcPr>
          <w:p w14:paraId="4CF456CE"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w:t>
            </w:r>
          </w:p>
          <w:p w14:paraId="54B30091"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D26EB4">
              <w:rPr>
                <w:rFonts w:asciiTheme="minorHAnsi" w:hAnsiTheme="minorHAnsi" w:cs="Times New Roman"/>
                <w:b/>
                <w:sz w:val="16"/>
                <w:szCs w:val="16"/>
                <w:lang w:eastAsia="en-IE"/>
              </w:rPr>
              <w:t>Change</w:t>
            </w:r>
          </w:p>
        </w:tc>
        <w:tc>
          <w:tcPr>
            <w:tcW w:w="585" w:type="dxa"/>
            <w:tcMar>
              <w:left w:w="45" w:type="dxa"/>
              <w:right w:w="45" w:type="dxa"/>
            </w:tcMar>
          </w:tcPr>
          <w:p w14:paraId="72298B72" w14:textId="50D4BB05"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201</w:t>
            </w:r>
            <w:r w:rsidR="008C73C2" w:rsidRPr="000C7A56">
              <w:rPr>
                <w:rFonts w:asciiTheme="minorHAnsi" w:hAnsiTheme="minorHAnsi"/>
                <w:b/>
                <w:sz w:val="16"/>
              </w:rPr>
              <w:t>9</w:t>
            </w:r>
          </w:p>
        </w:tc>
        <w:tc>
          <w:tcPr>
            <w:tcW w:w="567" w:type="dxa"/>
            <w:tcMar>
              <w:left w:w="45" w:type="dxa"/>
              <w:right w:w="45" w:type="dxa"/>
            </w:tcMar>
          </w:tcPr>
          <w:p w14:paraId="3ED78D46" w14:textId="0126E113"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201</w:t>
            </w:r>
            <w:r w:rsidR="008C73C2" w:rsidRPr="000C7A56">
              <w:rPr>
                <w:rFonts w:asciiTheme="minorHAnsi" w:hAnsiTheme="minorHAnsi"/>
                <w:b/>
                <w:sz w:val="16"/>
              </w:rPr>
              <w:t>8</w:t>
            </w:r>
          </w:p>
        </w:tc>
        <w:tc>
          <w:tcPr>
            <w:tcW w:w="709" w:type="dxa"/>
            <w:tcMar>
              <w:left w:w="45" w:type="dxa"/>
              <w:right w:w="45" w:type="dxa"/>
            </w:tcMar>
          </w:tcPr>
          <w:p w14:paraId="6E538FD1"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w:t>
            </w:r>
          </w:p>
          <w:p w14:paraId="16C13984"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D26EB4">
              <w:rPr>
                <w:rFonts w:asciiTheme="minorHAnsi" w:hAnsiTheme="minorHAnsi" w:cs="Times New Roman"/>
                <w:b/>
                <w:sz w:val="16"/>
                <w:szCs w:val="16"/>
                <w:lang w:eastAsia="en-IE"/>
              </w:rPr>
              <w:t>Change</w:t>
            </w:r>
          </w:p>
        </w:tc>
        <w:tc>
          <w:tcPr>
            <w:tcW w:w="838" w:type="dxa"/>
            <w:tcMar>
              <w:left w:w="45" w:type="dxa"/>
              <w:right w:w="45" w:type="dxa"/>
            </w:tcMar>
          </w:tcPr>
          <w:p w14:paraId="0DC848B6"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b/>
                <w:sz w:val="16"/>
              </w:rPr>
              <w:t>US$ % Change</w:t>
            </w:r>
          </w:p>
        </w:tc>
        <w:tc>
          <w:tcPr>
            <w:tcW w:w="0" w:type="auto"/>
            <w:shd w:val="clear" w:color="auto" w:fill="F2F2F2" w:themeFill="background1" w:themeFillShade="F2"/>
            <w:tcMar>
              <w:left w:w="45" w:type="dxa"/>
              <w:right w:w="45" w:type="dxa"/>
            </w:tcMar>
          </w:tcPr>
          <w:p w14:paraId="579A13BB" w14:textId="0FBBA1A3"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201</w:t>
            </w:r>
            <w:r w:rsidR="008C73C2" w:rsidRPr="000C7A56">
              <w:rPr>
                <w:rFonts w:asciiTheme="minorHAnsi" w:hAnsiTheme="minorHAnsi"/>
                <w:b/>
                <w:sz w:val="16"/>
              </w:rPr>
              <w:t>9</w:t>
            </w:r>
          </w:p>
        </w:tc>
        <w:tc>
          <w:tcPr>
            <w:tcW w:w="0" w:type="auto"/>
            <w:shd w:val="clear" w:color="auto" w:fill="F2F2F2" w:themeFill="background1" w:themeFillShade="F2"/>
            <w:tcMar>
              <w:left w:w="45" w:type="dxa"/>
              <w:right w:w="45" w:type="dxa"/>
            </w:tcMar>
          </w:tcPr>
          <w:p w14:paraId="4CF3CDD1" w14:textId="793C24D9"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201</w:t>
            </w:r>
            <w:r w:rsidR="008C73C2" w:rsidRPr="000C7A56">
              <w:rPr>
                <w:rFonts w:asciiTheme="minorHAnsi" w:hAnsiTheme="minorHAnsi"/>
                <w:b/>
                <w:sz w:val="16"/>
              </w:rPr>
              <w:t>8</w:t>
            </w:r>
          </w:p>
        </w:tc>
        <w:tc>
          <w:tcPr>
            <w:tcW w:w="0" w:type="auto"/>
            <w:shd w:val="clear" w:color="auto" w:fill="F2F2F2" w:themeFill="background1" w:themeFillShade="F2"/>
            <w:tcMar>
              <w:left w:w="45" w:type="dxa"/>
              <w:right w:w="45" w:type="dxa"/>
            </w:tcMar>
          </w:tcPr>
          <w:p w14:paraId="402B9F72"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w:t>
            </w:r>
          </w:p>
          <w:p w14:paraId="6490AE0E"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D26EB4">
              <w:rPr>
                <w:rFonts w:asciiTheme="minorHAnsi" w:hAnsiTheme="minorHAnsi" w:cs="Times New Roman"/>
                <w:b/>
                <w:sz w:val="16"/>
                <w:szCs w:val="16"/>
                <w:lang w:eastAsia="en-IE"/>
              </w:rPr>
              <w:t>Change</w:t>
            </w:r>
          </w:p>
        </w:tc>
        <w:tc>
          <w:tcPr>
            <w:tcW w:w="0" w:type="auto"/>
            <w:shd w:val="clear" w:color="auto" w:fill="F2F2F2" w:themeFill="background1" w:themeFillShade="F2"/>
            <w:tcMar>
              <w:left w:w="45" w:type="dxa"/>
              <w:right w:w="45" w:type="dxa"/>
            </w:tcMar>
          </w:tcPr>
          <w:p w14:paraId="1D724088"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CC</w:t>
            </w:r>
            <w:r w:rsidRPr="000C7A56">
              <w:rPr>
                <w:rFonts w:asciiTheme="minorHAnsi" w:hAnsiTheme="minorHAnsi"/>
                <w:b/>
                <w:sz w:val="16"/>
                <w:vertAlign w:val="superscript"/>
              </w:rPr>
              <w:t>1</w:t>
            </w:r>
            <w:r w:rsidRPr="000C7A56">
              <w:rPr>
                <w:rFonts w:asciiTheme="minorHAnsi" w:hAnsiTheme="minorHAnsi"/>
                <w:b/>
                <w:sz w:val="16"/>
              </w:rPr>
              <w:t xml:space="preserve">% </w:t>
            </w:r>
          </w:p>
          <w:p w14:paraId="43225508" w14:textId="77777777" w:rsidR="00324B39" w:rsidRPr="000C7A56"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D26EB4">
              <w:rPr>
                <w:rFonts w:asciiTheme="minorHAnsi" w:hAnsiTheme="minorHAnsi" w:cs="Times New Roman"/>
                <w:b/>
                <w:sz w:val="16"/>
                <w:szCs w:val="16"/>
                <w:lang w:eastAsia="en-IE"/>
              </w:rPr>
              <w:t>Change</w:t>
            </w:r>
          </w:p>
        </w:tc>
      </w:tr>
      <w:tr w:rsidR="00E877C8" w:rsidRPr="00D26EB4" w14:paraId="4B0AE583" w14:textId="77777777" w:rsidTr="00EB02EC">
        <w:tc>
          <w:tcPr>
            <w:tcW w:w="0" w:type="auto"/>
            <w:tcMar>
              <w:left w:w="45" w:type="dxa"/>
              <w:right w:w="45" w:type="dxa"/>
            </w:tcMar>
          </w:tcPr>
          <w:p w14:paraId="7F9EE019"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Sportsbook stakes</w:t>
            </w:r>
          </w:p>
        </w:tc>
        <w:tc>
          <w:tcPr>
            <w:tcW w:w="601" w:type="dxa"/>
            <w:shd w:val="clear" w:color="auto" w:fill="F2F2F2" w:themeFill="background1" w:themeFillShade="F2"/>
            <w:tcMar>
              <w:left w:w="45" w:type="dxa"/>
              <w:right w:w="45" w:type="dxa"/>
            </w:tcMar>
          </w:tcPr>
          <w:p w14:paraId="0D08146C" w14:textId="66356E0D" w:rsidR="008C73C2" w:rsidRPr="000C7A56" w:rsidRDefault="00D86C3F" w:rsidP="00D86C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95"/>
              </w:tabs>
              <w:jc w:val="right"/>
              <w:rPr>
                <w:rFonts w:asciiTheme="minorHAnsi" w:hAnsiTheme="minorHAnsi"/>
                <w:sz w:val="16"/>
              </w:rPr>
            </w:pPr>
            <w:r w:rsidRPr="000C7A56">
              <w:rPr>
                <w:rFonts w:asciiTheme="minorHAnsi" w:hAnsiTheme="minorHAnsi"/>
                <w:sz w:val="16"/>
              </w:rPr>
              <w:t>5,184</w:t>
            </w:r>
          </w:p>
        </w:tc>
        <w:tc>
          <w:tcPr>
            <w:tcW w:w="567" w:type="dxa"/>
            <w:shd w:val="clear" w:color="auto" w:fill="F2F2F2" w:themeFill="background1" w:themeFillShade="F2"/>
            <w:tcMar>
              <w:left w:w="45" w:type="dxa"/>
              <w:right w:w="45" w:type="dxa"/>
            </w:tcMar>
          </w:tcPr>
          <w:p w14:paraId="0A043819" w14:textId="4DC7C4D0"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5,453</w:t>
            </w:r>
          </w:p>
        </w:tc>
        <w:tc>
          <w:tcPr>
            <w:tcW w:w="709" w:type="dxa"/>
            <w:shd w:val="clear" w:color="auto" w:fill="F2F2F2" w:themeFill="background1" w:themeFillShade="F2"/>
            <w:tcMar>
              <w:left w:w="45" w:type="dxa"/>
              <w:right w:w="45" w:type="dxa"/>
            </w:tcMar>
          </w:tcPr>
          <w:p w14:paraId="5EE8C7C9" w14:textId="5B39EBF9"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w:t>
            </w:r>
          </w:p>
        </w:tc>
        <w:tc>
          <w:tcPr>
            <w:tcW w:w="567" w:type="dxa"/>
            <w:tcMar>
              <w:left w:w="45" w:type="dxa"/>
              <w:right w:w="45" w:type="dxa"/>
            </w:tcMar>
          </w:tcPr>
          <w:p w14:paraId="23454668" w14:textId="0E5A9EF6"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4,298</w:t>
            </w:r>
          </w:p>
        </w:tc>
        <w:tc>
          <w:tcPr>
            <w:tcW w:w="709" w:type="dxa"/>
            <w:tcMar>
              <w:left w:w="45" w:type="dxa"/>
              <w:right w:w="45" w:type="dxa"/>
            </w:tcMar>
          </w:tcPr>
          <w:p w14:paraId="33AADC33" w14:textId="3EFE5CF4"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4,308</w:t>
            </w:r>
          </w:p>
        </w:tc>
        <w:tc>
          <w:tcPr>
            <w:tcW w:w="721" w:type="dxa"/>
            <w:tcMar>
              <w:left w:w="45" w:type="dxa"/>
              <w:right w:w="45" w:type="dxa"/>
            </w:tcMar>
          </w:tcPr>
          <w:p w14:paraId="3CCE50E4" w14:textId="5CB930E5"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Flat</w:t>
            </w:r>
          </w:p>
        </w:tc>
        <w:tc>
          <w:tcPr>
            <w:tcW w:w="721" w:type="dxa"/>
            <w:tcMar>
              <w:left w:w="45" w:type="dxa"/>
              <w:right w:w="45" w:type="dxa"/>
            </w:tcMar>
          </w:tcPr>
          <w:p w14:paraId="520215CA" w14:textId="3CDB7DA6"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+3%</w:t>
            </w:r>
          </w:p>
        </w:tc>
        <w:tc>
          <w:tcPr>
            <w:tcW w:w="0" w:type="auto"/>
            <w:shd w:val="clear" w:color="auto" w:fill="F2F2F2" w:themeFill="background1" w:themeFillShade="F2"/>
            <w:tcMar>
              <w:left w:w="45" w:type="dxa"/>
              <w:right w:w="45" w:type="dxa"/>
            </w:tcMar>
          </w:tcPr>
          <w:p w14:paraId="350AD3DB" w14:textId="421B68B2"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1,793</w:t>
            </w:r>
          </w:p>
        </w:tc>
        <w:tc>
          <w:tcPr>
            <w:tcW w:w="0" w:type="auto"/>
            <w:shd w:val="clear" w:color="auto" w:fill="F2F2F2" w:themeFill="background1" w:themeFillShade="F2"/>
            <w:tcMar>
              <w:left w:w="45" w:type="dxa"/>
              <w:right w:w="45" w:type="dxa"/>
            </w:tcMar>
          </w:tcPr>
          <w:p w14:paraId="7B6E3A7E" w14:textId="3F1DA001"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1,779</w:t>
            </w:r>
          </w:p>
        </w:tc>
        <w:tc>
          <w:tcPr>
            <w:tcW w:w="0" w:type="auto"/>
            <w:shd w:val="clear" w:color="auto" w:fill="F2F2F2" w:themeFill="background1" w:themeFillShade="F2"/>
            <w:tcMar>
              <w:left w:w="45" w:type="dxa"/>
              <w:right w:w="45" w:type="dxa"/>
            </w:tcMar>
          </w:tcPr>
          <w:p w14:paraId="4EC6EDFB" w14:textId="7F944AC4" w:rsidR="008C73C2" w:rsidRPr="000C7A56" w:rsidRDefault="00472BD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w:t>
            </w:r>
          </w:p>
        </w:tc>
        <w:tc>
          <w:tcPr>
            <w:tcW w:w="585" w:type="dxa"/>
            <w:tcMar>
              <w:left w:w="45" w:type="dxa"/>
              <w:right w:w="45" w:type="dxa"/>
            </w:tcMar>
          </w:tcPr>
          <w:p w14:paraId="40A499EA" w14:textId="18F07EBE"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2,326</w:t>
            </w:r>
          </w:p>
        </w:tc>
        <w:tc>
          <w:tcPr>
            <w:tcW w:w="567" w:type="dxa"/>
            <w:tcMar>
              <w:left w:w="45" w:type="dxa"/>
              <w:right w:w="45" w:type="dxa"/>
            </w:tcMar>
          </w:tcPr>
          <w:p w14:paraId="05B176C9" w14:textId="76D77BBE"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423</w:t>
            </w:r>
          </w:p>
        </w:tc>
        <w:tc>
          <w:tcPr>
            <w:tcW w:w="709" w:type="dxa"/>
            <w:tcMar>
              <w:left w:w="45" w:type="dxa"/>
              <w:right w:w="45" w:type="dxa"/>
            </w:tcMar>
          </w:tcPr>
          <w:p w14:paraId="0426A928" w14:textId="3596131E"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+450%</w:t>
            </w:r>
          </w:p>
        </w:tc>
        <w:tc>
          <w:tcPr>
            <w:tcW w:w="838" w:type="dxa"/>
            <w:tcMar>
              <w:left w:w="45" w:type="dxa"/>
              <w:right w:w="45" w:type="dxa"/>
            </w:tcMar>
          </w:tcPr>
          <w:p w14:paraId="5A34167B" w14:textId="1429C1B6"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+446%</w:t>
            </w:r>
          </w:p>
        </w:tc>
        <w:tc>
          <w:tcPr>
            <w:tcW w:w="0" w:type="auto"/>
            <w:shd w:val="clear" w:color="auto" w:fill="F2F2F2" w:themeFill="background1" w:themeFillShade="F2"/>
            <w:tcMar>
              <w:left w:w="45" w:type="dxa"/>
              <w:right w:w="45" w:type="dxa"/>
            </w:tcMar>
          </w:tcPr>
          <w:p w14:paraId="1B4F5A4E" w14:textId="69F91332"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13,601</w:t>
            </w:r>
          </w:p>
        </w:tc>
        <w:tc>
          <w:tcPr>
            <w:tcW w:w="0" w:type="auto"/>
            <w:shd w:val="clear" w:color="auto" w:fill="F2F2F2" w:themeFill="background1" w:themeFillShade="F2"/>
            <w:tcMar>
              <w:left w:w="45" w:type="dxa"/>
              <w:right w:w="45" w:type="dxa"/>
            </w:tcMar>
          </w:tcPr>
          <w:p w14:paraId="4E483235" w14:textId="4D764140"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11,962</w:t>
            </w:r>
          </w:p>
        </w:tc>
        <w:tc>
          <w:tcPr>
            <w:tcW w:w="0" w:type="auto"/>
            <w:shd w:val="clear" w:color="auto" w:fill="F2F2F2" w:themeFill="background1" w:themeFillShade="F2"/>
            <w:tcMar>
              <w:left w:w="45" w:type="dxa"/>
              <w:right w:w="45" w:type="dxa"/>
            </w:tcMar>
          </w:tcPr>
          <w:p w14:paraId="42BB0D38" w14:textId="5F04E882"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+14%</w:t>
            </w:r>
          </w:p>
        </w:tc>
        <w:tc>
          <w:tcPr>
            <w:tcW w:w="0" w:type="auto"/>
            <w:shd w:val="clear" w:color="auto" w:fill="F2F2F2" w:themeFill="background1" w:themeFillShade="F2"/>
            <w:tcMar>
              <w:left w:w="45" w:type="dxa"/>
              <w:right w:w="45" w:type="dxa"/>
            </w:tcMar>
          </w:tcPr>
          <w:p w14:paraId="1CF701C0" w14:textId="172C371B"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+15%</w:t>
            </w:r>
          </w:p>
        </w:tc>
      </w:tr>
      <w:tr w:rsidR="00E877C8" w:rsidRPr="00D26EB4" w14:paraId="32479924" w14:textId="77777777" w:rsidTr="00EB02EC">
        <w:tc>
          <w:tcPr>
            <w:tcW w:w="0" w:type="auto"/>
            <w:tcMar>
              <w:left w:w="45" w:type="dxa"/>
              <w:right w:w="45" w:type="dxa"/>
            </w:tcMar>
          </w:tcPr>
          <w:p w14:paraId="7C13A65B" w14:textId="6792BD39"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i/>
                <w:sz w:val="16"/>
              </w:rPr>
            </w:pPr>
            <w:r w:rsidRPr="000C7A56">
              <w:rPr>
                <w:rFonts w:asciiTheme="minorHAnsi" w:hAnsiTheme="minorHAnsi"/>
                <w:i/>
                <w:sz w:val="16"/>
              </w:rPr>
              <w:t xml:space="preserve">Sportsbook net revenue </w:t>
            </w:r>
            <w:r w:rsidR="0091279E" w:rsidRPr="00E877C8">
              <w:rPr>
                <w:rFonts w:asciiTheme="minorHAnsi" w:hAnsiTheme="minorHAnsi"/>
                <w:i/>
                <w:sz w:val="16"/>
              </w:rPr>
              <w:t>margin</w:t>
            </w:r>
          </w:p>
        </w:tc>
        <w:tc>
          <w:tcPr>
            <w:tcW w:w="601" w:type="dxa"/>
            <w:shd w:val="clear" w:color="auto" w:fill="F2F2F2" w:themeFill="background1" w:themeFillShade="F2"/>
            <w:tcMar>
              <w:left w:w="45" w:type="dxa"/>
              <w:right w:w="45" w:type="dxa"/>
            </w:tcMar>
          </w:tcPr>
          <w:p w14:paraId="18E1F41C" w14:textId="5FB6769B" w:rsidR="008C73C2" w:rsidRPr="000C7A56" w:rsidRDefault="00D86C3F"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8.1%</w:t>
            </w:r>
          </w:p>
        </w:tc>
        <w:tc>
          <w:tcPr>
            <w:tcW w:w="567" w:type="dxa"/>
            <w:shd w:val="clear" w:color="auto" w:fill="F2F2F2" w:themeFill="background1" w:themeFillShade="F2"/>
            <w:tcMar>
              <w:left w:w="45" w:type="dxa"/>
              <w:right w:w="45" w:type="dxa"/>
            </w:tcMar>
          </w:tcPr>
          <w:p w14:paraId="2F5EA42C" w14:textId="03D6489E"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7.7%</w:t>
            </w:r>
          </w:p>
        </w:tc>
        <w:tc>
          <w:tcPr>
            <w:tcW w:w="709" w:type="dxa"/>
            <w:shd w:val="clear" w:color="auto" w:fill="F2F2F2" w:themeFill="background1" w:themeFillShade="F2"/>
            <w:tcMar>
              <w:left w:w="45" w:type="dxa"/>
              <w:right w:w="45" w:type="dxa"/>
            </w:tcMar>
          </w:tcPr>
          <w:p w14:paraId="5CCD0932" w14:textId="1B9DA8C5"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+40bps</w:t>
            </w:r>
          </w:p>
        </w:tc>
        <w:tc>
          <w:tcPr>
            <w:tcW w:w="567" w:type="dxa"/>
            <w:tcMar>
              <w:left w:w="45" w:type="dxa"/>
              <w:right w:w="45" w:type="dxa"/>
            </w:tcMar>
          </w:tcPr>
          <w:p w14:paraId="40E69B81" w14:textId="078984F4"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10.4%</w:t>
            </w:r>
          </w:p>
        </w:tc>
        <w:tc>
          <w:tcPr>
            <w:tcW w:w="709" w:type="dxa"/>
            <w:tcMar>
              <w:left w:w="45" w:type="dxa"/>
              <w:right w:w="45" w:type="dxa"/>
            </w:tcMar>
          </w:tcPr>
          <w:p w14:paraId="69E8839F" w14:textId="33BC1204"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9.4%</w:t>
            </w:r>
          </w:p>
        </w:tc>
        <w:tc>
          <w:tcPr>
            <w:tcW w:w="721" w:type="dxa"/>
            <w:tcMar>
              <w:left w:w="45" w:type="dxa"/>
              <w:right w:w="45" w:type="dxa"/>
            </w:tcMar>
          </w:tcPr>
          <w:p w14:paraId="180E49D9" w14:textId="31D8FFA5"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+100bps</w:t>
            </w:r>
          </w:p>
        </w:tc>
        <w:tc>
          <w:tcPr>
            <w:tcW w:w="721" w:type="dxa"/>
            <w:tcMar>
              <w:left w:w="45" w:type="dxa"/>
              <w:right w:w="45" w:type="dxa"/>
            </w:tcMar>
          </w:tcPr>
          <w:p w14:paraId="7733D090" w14:textId="74D49F9A"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+100bps</w:t>
            </w:r>
          </w:p>
        </w:tc>
        <w:tc>
          <w:tcPr>
            <w:tcW w:w="0" w:type="auto"/>
            <w:shd w:val="clear" w:color="auto" w:fill="F2F2F2" w:themeFill="background1" w:themeFillShade="F2"/>
            <w:tcMar>
              <w:left w:w="45" w:type="dxa"/>
              <w:right w:w="45" w:type="dxa"/>
            </w:tcMar>
          </w:tcPr>
          <w:p w14:paraId="19D51023" w14:textId="0AFB6136"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12.8%</w:t>
            </w:r>
          </w:p>
        </w:tc>
        <w:tc>
          <w:tcPr>
            <w:tcW w:w="0" w:type="auto"/>
            <w:shd w:val="clear" w:color="auto" w:fill="F2F2F2" w:themeFill="background1" w:themeFillShade="F2"/>
            <w:tcMar>
              <w:left w:w="45" w:type="dxa"/>
              <w:right w:w="45" w:type="dxa"/>
            </w:tcMar>
          </w:tcPr>
          <w:p w14:paraId="1DD8D0E1" w14:textId="2927C876"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12.5%</w:t>
            </w:r>
          </w:p>
        </w:tc>
        <w:tc>
          <w:tcPr>
            <w:tcW w:w="0" w:type="auto"/>
            <w:shd w:val="clear" w:color="auto" w:fill="F2F2F2" w:themeFill="background1" w:themeFillShade="F2"/>
            <w:tcMar>
              <w:left w:w="45" w:type="dxa"/>
              <w:right w:w="45" w:type="dxa"/>
            </w:tcMar>
          </w:tcPr>
          <w:p w14:paraId="21D20A20" w14:textId="6348CC81" w:rsidR="008C73C2" w:rsidRPr="000C7A56" w:rsidRDefault="00472BD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+30bps</w:t>
            </w:r>
          </w:p>
        </w:tc>
        <w:tc>
          <w:tcPr>
            <w:tcW w:w="585" w:type="dxa"/>
            <w:tcMar>
              <w:left w:w="45" w:type="dxa"/>
              <w:right w:w="45" w:type="dxa"/>
            </w:tcMar>
          </w:tcPr>
          <w:p w14:paraId="11DB44EB" w14:textId="758D45E3"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4.4%</w:t>
            </w:r>
          </w:p>
        </w:tc>
        <w:tc>
          <w:tcPr>
            <w:tcW w:w="567" w:type="dxa"/>
            <w:tcMar>
              <w:left w:w="45" w:type="dxa"/>
              <w:right w:w="45" w:type="dxa"/>
            </w:tcMar>
          </w:tcPr>
          <w:p w14:paraId="23EFB64D" w14:textId="47DF3010"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2.6%</w:t>
            </w:r>
          </w:p>
        </w:tc>
        <w:tc>
          <w:tcPr>
            <w:tcW w:w="709" w:type="dxa"/>
            <w:tcMar>
              <w:left w:w="45" w:type="dxa"/>
              <w:right w:w="45" w:type="dxa"/>
            </w:tcMar>
          </w:tcPr>
          <w:p w14:paraId="3E317406" w14:textId="02A289CE"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+180bps</w:t>
            </w:r>
          </w:p>
        </w:tc>
        <w:tc>
          <w:tcPr>
            <w:tcW w:w="838" w:type="dxa"/>
            <w:tcMar>
              <w:left w:w="45" w:type="dxa"/>
              <w:right w:w="45" w:type="dxa"/>
            </w:tcMar>
          </w:tcPr>
          <w:p w14:paraId="0A3CF209" w14:textId="437BDB8E" w:rsidR="008C73C2" w:rsidRPr="000C7A56" w:rsidRDefault="00E13942" w:rsidP="00E139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+180bps</w:t>
            </w:r>
          </w:p>
        </w:tc>
        <w:tc>
          <w:tcPr>
            <w:tcW w:w="0" w:type="auto"/>
            <w:shd w:val="clear" w:color="auto" w:fill="F2F2F2" w:themeFill="background1" w:themeFillShade="F2"/>
            <w:tcMar>
              <w:left w:w="45" w:type="dxa"/>
              <w:right w:w="45" w:type="dxa"/>
            </w:tcMar>
          </w:tcPr>
          <w:p w14:paraId="5F1DED4E" w14:textId="3AFCE9AA"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8.8%</w:t>
            </w:r>
          </w:p>
        </w:tc>
        <w:tc>
          <w:tcPr>
            <w:tcW w:w="0" w:type="auto"/>
            <w:shd w:val="clear" w:color="auto" w:fill="F2F2F2" w:themeFill="background1" w:themeFillShade="F2"/>
            <w:tcMar>
              <w:left w:w="45" w:type="dxa"/>
              <w:right w:w="45" w:type="dxa"/>
            </w:tcMar>
          </w:tcPr>
          <w:p w14:paraId="1A259F5B" w14:textId="64328CC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8.8%</w:t>
            </w:r>
          </w:p>
        </w:tc>
        <w:tc>
          <w:tcPr>
            <w:tcW w:w="0" w:type="auto"/>
            <w:shd w:val="clear" w:color="auto" w:fill="F2F2F2" w:themeFill="background1" w:themeFillShade="F2"/>
            <w:tcMar>
              <w:left w:w="45" w:type="dxa"/>
              <w:right w:w="45" w:type="dxa"/>
            </w:tcMar>
          </w:tcPr>
          <w:p w14:paraId="305F2D9E" w14:textId="68C06504"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Flat</w:t>
            </w:r>
          </w:p>
        </w:tc>
        <w:tc>
          <w:tcPr>
            <w:tcW w:w="0" w:type="auto"/>
            <w:shd w:val="clear" w:color="auto" w:fill="F2F2F2" w:themeFill="background1" w:themeFillShade="F2"/>
            <w:tcMar>
              <w:left w:w="45" w:type="dxa"/>
              <w:right w:w="45" w:type="dxa"/>
            </w:tcMar>
          </w:tcPr>
          <w:p w14:paraId="4E65CBC8" w14:textId="1FAB0EC6"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i/>
                <w:sz w:val="16"/>
              </w:rPr>
            </w:pPr>
            <w:r w:rsidRPr="000C7A56">
              <w:rPr>
                <w:rFonts w:asciiTheme="minorHAnsi" w:hAnsiTheme="minorHAnsi"/>
                <w:i/>
                <w:sz w:val="16"/>
              </w:rPr>
              <w:t>Flat</w:t>
            </w:r>
          </w:p>
        </w:tc>
      </w:tr>
      <w:tr w:rsidR="00E877C8" w:rsidRPr="00D26EB4" w14:paraId="0A16DA64" w14:textId="77777777" w:rsidTr="00EB02EC">
        <w:tc>
          <w:tcPr>
            <w:tcW w:w="0" w:type="auto"/>
            <w:tcMar>
              <w:left w:w="45" w:type="dxa"/>
              <w:right w:w="45" w:type="dxa"/>
            </w:tcMar>
          </w:tcPr>
          <w:p w14:paraId="7FCAB99D"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4"/>
                <w:szCs w:val="4"/>
                <w:lang w:eastAsia="en-IE"/>
              </w:rPr>
            </w:pPr>
          </w:p>
        </w:tc>
        <w:tc>
          <w:tcPr>
            <w:tcW w:w="601" w:type="dxa"/>
            <w:shd w:val="clear" w:color="auto" w:fill="F2F2F2" w:themeFill="background1" w:themeFillShade="F2"/>
            <w:tcMar>
              <w:left w:w="45" w:type="dxa"/>
              <w:right w:w="45" w:type="dxa"/>
            </w:tcMar>
          </w:tcPr>
          <w:p w14:paraId="1F3FBD70"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567" w:type="dxa"/>
            <w:shd w:val="clear" w:color="auto" w:fill="F2F2F2" w:themeFill="background1" w:themeFillShade="F2"/>
            <w:tcMar>
              <w:left w:w="45" w:type="dxa"/>
              <w:right w:w="45" w:type="dxa"/>
            </w:tcMar>
          </w:tcPr>
          <w:p w14:paraId="6B533FD6"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09" w:type="dxa"/>
            <w:shd w:val="clear" w:color="auto" w:fill="F2F2F2" w:themeFill="background1" w:themeFillShade="F2"/>
            <w:tcMar>
              <w:left w:w="45" w:type="dxa"/>
              <w:right w:w="45" w:type="dxa"/>
            </w:tcMar>
          </w:tcPr>
          <w:p w14:paraId="73C4DFE3"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567" w:type="dxa"/>
            <w:tcMar>
              <w:left w:w="45" w:type="dxa"/>
              <w:right w:w="45" w:type="dxa"/>
            </w:tcMar>
          </w:tcPr>
          <w:p w14:paraId="62CDFE13"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09" w:type="dxa"/>
            <w:tcMar>
              <w:left w:w="45" w:type="dxa"/>
              <w:right w:w="45" w:type="dxa"/>
            </w:tcMar>
          </w:tcPr>
          <w:p w14:paraId="13990D6D"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21" w:type="dxa"/>
            <w:tcMar>
              <w:left w:w="45" w:type="dxa"/>
              <w:right w:w="45" w:type="dxa"/>
            </w:tcMar>
          </w:tcPr>
          <w:p w14:paraId="71A4BF00"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21" w:type="dxa"/>
            <w:tcMar>
              <w:left w:w="45" w:type="dxa"/>
              <w:right w:w="45" w:type="dxa"/>
            </w:tcMar>
          </w:tcPr>
          <w:p w14:paraId="584049E0"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355EFF5A"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1876E588"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245050F9"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585" w:type="dxa"/>
            <w:tcMar>
              <w:left w:w="45" w:type="dxa"/>
              <w:right w:w="45" w:type="dxa"/>
            </w:tcMar>
          </w:tcPr>
          <w:p w14:paraId="383F2DA2"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567" w:type="dxa"/>
            <w:tcMar>
              <w:left w:w="45" w:type="dxa"/>
              <w:right w:w="45" w:type="dxa"/>
            </w:tcMar>
          </w:tcPr>
          <w:p w14:paraId="6AC67D23"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09" w:type="dxa"/>
            <w:tcMar>
              <w:left w:w="45" w:type="dxa"/>
              <w:right w:w="45" w:type="dxa"/>
            </w:tcMar>
          </w:tcPr>
          <w:p w14:paraId="5BBB8706"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838" w:type="dxa"/>
            <w:tcMar>
              <w:left w:w="45" w:type="dxa"/>
              <w:right w:w="45" w:type="dxa"/>
            </w:tcMar>
          </w:tcPr>
          <w:p w14:paraId="4437CCD1"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0" w:type="auto"/>
            <w:shd w:val="clear" w:color="auto" w:fill="F2F2F2" w:themeFill="background1" w:themeFillShade="F2"/>
            <w:tcMar>
              <w:left w:w="45" w:type="dxa"/>
              <w:right w:w="45" w:type="dxa"/>
            </w:tcMar>
          </w:tcPr>
          <w:p w14:paraId="2BB94D63"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7EDA922C"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22269F91"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3EC441A3"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r>
      <w:tr w:rsidR="00E877C8" w:rsidRPr="00D26EB4" w14:paraId="2EC4D0F7" w14:textId="77777777" w:rsidTr="00EB02EC">
        <w:tc>
          <w:tcPr>
            <w:tcW w:w="0" w:type="auto"/>
            <w:tcMar>
              <w:left w:w="45" w:type="dxa"/>
              <w:right w:w="45" w:type="dxa"/>
            </w:tcMar>
          </w:tcPr>
          <w:p w14:paraId="29C4EF71"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Sports revenue</w:t>
            </w:r>
          </w:p>
        </w:tc>
        <w:tc>
          <w:tcPr>
            <w:tcW w:w="601" w:type="dxa"/>
            <w:shd w:val="clear" w:color="auto" w:fill="F2F2F2" w:themeFill="background1" w:themeFillShade="F2"/>
            <w:tcMar>
              <w:left w:w="45" w:type="dxa"/>
              <w:right w:w="45" w:type="dxa"/>
            </w:tcMar>
          </w:tcPr>
          <w:p w14:paraId="032295F9" w14:textId="40D7670D" w:rsidR="008C73C2" w:rsidRPr="000C7A56" w:rsidRDefault="00D86C3F"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666</w:t>
            </w:r>
          </w:p>
        </w:tc>
        <w:tc>
          <w:tcPr>
            <w:tcW w:w="567" w:type="dxa"/>
            <w:shd w:val="clear" w:color="auto" w:fill="F2F2F2" w:themeFill="background1" w:themeFillShade="F2"/>
            <w:tcMar>
              <w:left w:w="45" w:type="dxa"/>
              <w:right w:w="45" w:type="dxa"/>
            </w:tcMar>
          </w:tcPr>
          <w:p w14:paraId="60E035B7" w14:textId="4EAC7BD6"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678</w:t>
            </w:r>
          </w:p>
        </w:tc>
        <w:tc>
          <w:tcPr>
            <w:tcW w:w="709" w:type="dxa"/>
            <w:shd w:val="clear" w:color="auto" w:fill="F2F2F2" w:themeFill="background1" w:themeFillShade="F2"/>
            <w:tcMar>
              <w:left w:w="45" w:type="dxa"/>
              <w:right w:w="45" w:type="dxa"/>
            </w:tcMar>
          </w:tcPr>
          <w:p w14:paraId="14799988" w14:textId="0A56F555"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w:t>
            </w:r>
          </w:p>
        </w:tc>
        <w:tc>
          <w:tcPr>
            <w:tcW w:w="567" w:type="dxa"/>
            <w:tcMar>
              <w:left w:w="45" w:type="dxa"/>
              <w:right w:w="45" w:type="dxa"/>
            </w:tcMar>
          </w:tcPr>
          <w:p w14:paraId="1803BE0A" w14:textId="546F3483"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446</w:t>
            </w:r>
          </w:p>
        </w:tc>
        <w:tc>
          <w:tcPr>
            <w:tcW w:w="709" w:type="dxa"/>
            <w:tcMar>
              <w:left w:w="45" w:type="dxa"/>
              <w:right w:w="45" w:type="dxa"/>
            </w:tcMar>
          </w:tcPr>
          <w:p w14:paraId="629E51FC" w14:textId="5012E52E"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403</w:t>
            </w:r>
          </w:p>
        </w:tc>
        <w:tc>
          <w:tcPr>
            <w:tcW w:w="721" w:type="dxa"/>
            <w:tcMar>
              <w:left w:w="45" w:type="dxa"/>
              <w:right w:w="45" w:type="dxa"/>
            </w:tcMar>
          </w:tcPr>
          <w:p w14:paraId="6EBC0DE8" w14:textId="726760A3" w:rsidR="008C73C2" w:rsidRPr="000C7A56" w:rsidRDefault="003F36B1" w:rsidP="003F36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+11%</w:t>
            </w:r>
          </w:p>
        </w:tc>
        <w:tc>
          <w:tcPr>
            <w:tcW w:w="721" w:type="dxa"/>
            <w:tcMar>
              <w:left w:w="45" w:type="dxa"/>
              <w:right w:w="45" w:type="dxa"/>
            </w:tcMar>
          </w:tcPr>
          <w:p w14:paraId="3F6E638F" w14:textId="7D59B693"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+14%</w:t>
            </w:r>
          </w:p>
        </w:tc>
        <w:tc>
          <w:tcPr>
            <w:tcW w:w="0" w:type="auto"/>
            <w:shd w:val="clear" w:color="auto" w:fill="F2F2F2" w:themeFill="background1" w:themeFillShade="F2"/>
            <w:tcMar>
              <w:left w:w="45" w:type="dxa"/>
              <w:right w:w="45" w:type="dxa"/>
            </w:tcMar>
          </w:tcPr>
          <w:p w14:paraId="08EE3C8B" w14:textId="2936CF73"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230</w:t>
            </w:r>
          </w:p>
        </w:tc>
        <w:tc>
          <w:tcPr>
            <w:tcW w:w="0" w:type="auto"/>
            <w:shd w:val="clear" w:color="auto" w:fill="F2F2F2" w:themeFill="background1" w:themeFillShade="F2"/>
            <w:tcMar>
              <w:left w:w="45" w:type="dxa"/>
              <w:right w:w="45" w:type="dxa"/>
            </w:tcMar>
          </w:tcPr>
          <w:p w14:paraId="369560EF" w14:textId="639B69B3"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222</w:t>
            </w:r>
          </w:p>
        </w:tc>
        <w:tc>
          <w:tcPr>
            <w:tcW w:w="0" w:type="auto"/>
            <w:shd w:val="clear" w:color="auto" w:fill="F2F2F2" w:themeFill="background1" w:themeFillShade="F2"/>
            <w:tcMar>
              <w:left w:w="45" w:type="dxa"/>
              <w:right w:w="45" w:type="dxa"/>
            </w:tcMar>
          </w:tcPr>
          <w:p w14:paraId="1BB492C2" w14:textId="4053AACD" w:rsidR="008C73C2" w:rsidRPr="000C7A56" w:rsidRDefault="00472BD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w:t>
            </w:r>
          </w:p>
        </w:tc>
        <w:tc>
          <w:tcPr>
            <w:tcW w:w="585" w:type="dxa"/>
            <w:tcMar>
              <w:left w:w="45" w:type="dxa"/>
              <w:right w:w="45" w:type="dxa"/>
            </w:tcMar>
          </w:tcPr>
          <w:p w14:paraId="796EDF76" w14:textId="59A2A11E"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325</w:t>
            </w:r>
          </w:p>
        </w:tc>
        <w:tc>
          <w:tcPr>
            <w:tcW w:w="567" w:type="dxa"/>
            <w:tcMar>
              <w:left w:w="45" w:type="dxa"/>
              <w:right w:w="45" w:type="dxa"/>
            </w:tcMar>
          </w:tcPr>
          <w:p w14:paraId="2D7F9A8B" w14:textId="3854843A"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172</w:t>
            </w:r>
          </w:p>
        </w:tc>
        <w:tc>
          <w:tcPr>
            <w:tcW w:w="709" w:type="dxa"/>
            <w:shd w:val="clear" w:color="auto" w:fill="auto"/>
            <w:tcMar>
              <w:left w:w="45" w:type="dxa"/>
              <w:right w:w="45" w:type="dxa"/>
            </w:tcMar>
          </w:tcPr>
          <w:p w14:paraId="135896E6" w14:textId="6B27611A"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+89%</w:t>
            </w:r>
          </w:p>
        </w:tc>
        <w:tc>
          <w:tcPr>
            <w:tcW w:w="838" w:type="dxa"/>
            <w:shd w:val="clear" w:color="auto" w:fill="auto"/>
            <w:tcMar>
              <w:left w:w="45" w:type="dxa"/>
              <w:right w:w="45" w:type="dxa"/>
            </w:tcMar>
          </w:tcPr>
          <w:p w14:paraId="48A1A535" w14:textId="385ACA82"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+83%</w:t>
            </w:r>
          </w:p>
        </w:tc>
        <w:tc>
          <w:tcPr>
            <w:tcW w:w="0" w:type="auto"/>
            <w:shd w:val="clear" w:color="auto" w:fill="F2F2F2" w:themeFill="background1" w:themeFillShade="F2"/>
            <w:tcMar>
              <w:left w:w="45" w:type="dxa"/>
              <w:right w:w="45" w:type="dxa"/>
            </w:tcMar>
          </w:tcPr>
          <w:p w14:paraId="7C4BD02C" w14:textId="45454747"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1,667</w:t>
            </w:r>
          </w:p>
        </w:tc>
        <w:tc>
          <w:tcPr>
            <w:tcW w:w="0" w:type="auto"/>
            <w:shd w:val="clear" w:color="auto" w:fill="F2F2F2" w:themeFill="background1" w:themeFillShade="F2"/>
            <w:tcMar>
              <w:left w:w="45" w:type="dxa"/>
              <w:right w:w="45" w:type="dxa"/>
            </w:tcMar>
          </w:tcPr>
          <w:p w14:paraId="037E13BC" w14:textId="43650CA6"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1,474</w:t>
            </w:r>
          </w:p>
        </w:tc>
        <w:tc>
          <w:tcPr>
            <w:tcW w:w="0" w:type="auto"/>
            <w:shd w:val="clear" w:color="auto" w:fill="F2F2F2" w:themeFill="background1" w:themeFillShade="F2"/>
            <w:tcMar>
              <w:left w:w="45" w:type="dxa"/>
              <w:right w:w="45" w:type="dxa"/>
            </w:tcMar>
          </w:tcPr>
          <w:p w14:paraId="16C7CE91" w14:textId="0E291141"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+13%</w:t>
            </w:r>
          </w:p>
        </w:tc>
        <w:tc>
          <w:tcPr>
            <w:tcW w:w="0" w:type="auto"/>
            <w:shd w:val="clear" w:color="auto" w:fill="F2F2F2" w:themeFill="background1" w:themeFillShade="F2"/>
            <w:tcMar>
              <w:left w:w="45" w:type="dxa"/>
              <w:right w:w="45" w:type="dxa"/>
            </w:tcMar>
          </w:tcPr>
          <w:p w14:paraId="0A4C5E28" w14:textId="050045CB"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+14%</w:t>
            </w:r>
          </w:p>
        </w:tc>
      </w:tr>
      <w:tr w:rsidR="00E877C8" w:rsidRPr="00D26EB4" w14:paraId="5DAC3A83" w14:textId="77777777" w:rsidTr="00EB02EC">
        <w:tc>
          <w:tcPr>
            <w:tcW w:w="0" w:type="auto"/>
            <w:tcMar>
              <w:left w:w="45" w:type="dxa"/>
              <w:right w:w="45" w:type="dxa"/>
            </w:tcMar>
          </w:tcPr>
          <w:p w14:paraId="4F91628E"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Gaming revenue</w:t>
            </w:r>
          </w:p>
        </w:tc>
        <w:tc>
          <w:tcPr>
            <w:tcW w:w="601" w:type="dxa"/>
            <w:shd w:val="clear" w:color="auto" w:fill="F2F2F2" w:themeFill="background1" w:themeFillShade="F2"/>
            <w:tcMar>
              <w:left w:w="45" w:type="dxa"/>
              <w:right w:w="45" w:type="dxa"/>
            </w:tcMar>
          </w:tcPr>
          <w:p w14:paraId="177EBEB9" w14:textId="4CD0E47C" w:rsidR="008C73C2" w:rsidRPr="000C7A56" w:rsidRDefault="00D86C3F"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340</w:t>
            </w:r>
          </w:p>
        </w:tc>
        <w:tc>
          <w:tcPr>
            <w:tcW w:w="567" w:type="dxa"/>
            <w:shd w:val="clear" w:color="auto" w:fill="F2F2F2" w:themeFill="background1" w:themeFillShade="F2"/>
            <w:tcMar>
              <w:left w:w="45" w:type="dxa"/>
              <w:right w:w="45" w:type="dxa"/>
            </w:tcMar>
          </w:tcPr>
          <w:p w14:paraId="74679094" w14:textId="4A17A18D"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270</w:t>
            </w:r>
          </w:p>
        </w:tc>
        <w:tc>
          <w:tcPr>
            <w:tcW w:w="709" w:type="dxa"/>
            <w:shd w:val="clear" w:color="auto" w:fill="F2F2F2" w:themeFill="background1" w:themeFillShade="F2"/>
            <w:tcMar>
              <w:left w:w="45" w:type="dxa"/>
              <w:right w:w="45" w:type="dxa"/>
            </w:tcMar>
          </w:tcPr>
          <w:p w14:paraId="442261A5" w14:textId="1AC8692F"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+26%</w:t>
            </w:r>
          </w:p>
        </w:tc>
        <w:tc>
          <w:tcPr>
            <w:tcW w:w="567" w:type="dxa"/>
            <w:tcMar>
              <w:left w:w="45" w:type="dxa"/>
              <w:right w:w="45" w:type="dxa"/>
            </w:tcMar>
          </w:tcPr>
          <w:p w14:paraId="7608D5B9" w14:textId="493E7B3A"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w:t>
            </w:r>
          </w:p>
        </w:tc>
        <w:tc>
          <w:tcPr>
            <w:tcW w:w="709" w:type="dxa"/>
            <w:tcMar>
              <w:left w:w="45" w:type="dxa"/>
              <w:right w:w="45" w:type="dxa"/>
            </w:tcMar>
          </w:tcPr>
          <w:p w14:paraId="4BFC11CB" w14:textId="0FC71F1A"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w:t>
            </w:r>
          </w:p>
        </w:tc>
        <w:tc>
          <w:tcPr>
            <w:tcW w:w="721" w:type="dxa"/>
            <w:tcMar>
              <w:left w:w="45" w:type="dxa"/>
              <w:right w:w="45" w:type="dxa"/>
            </w:tcMar>
          </w:tcPr>
          <w:p w14:paraId="20436EB1" w14:textId="02F33EBC"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w:t>
            </w:r>
          </w:p>
        </w:tc>
        <w:tc>
          <w:tcPr>
            <w:tcW w:w="721" w:type="dxa"/>
            <w:tcMar>
              <w:left w:w="45" w:type="dxa"/>
              <w:right w:w="45" w:type="dxa"/>
            </w:tcMar>
          </w:tcPr>
          <w:p w14:paraId="55FA3CE3" w14:textId="75BE28F9"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w:t>
            </w:r>
          </w:p>
        </w:tc>
        <w:tc>
          <w:tcPr>
            <w:tcW w:w="0" w:type="auto"/>
            <w:shd w:val="clear" w:color="auto" w:fill="F2F2F2" w:themeFill="background1" w:themeFillShade="F2"/>
            <w:tcMar>
              <w:left w:w="45" w:type="dxa"/>
              <w:right w:w="45" w:type="dxa"/>
            </w:tcMar>
          </w:tcPr>
          <w:p w14:paraId="7BFEC054" w14:textId="2F0EB274"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82</w:t>
            </w:r>
          </w:p>
        </w:tc>
        <w:tc>
          <w:tcPr>
            <w:tcW w:w="0" w:type="auto"/>
            <w:shd w:val="clear" w:color="auto" w:fill="F2F2F2" w:themeFill="background1" w:themeFillShade="F2"/>
            <w:tcMar>
              <w:left w:w="45" w:type="dxa"/>
              <w:right w:w="45" w:type="dxa"/>
            </w:tcMar>
          </w:tcPr>
          <w:p w14:paraId="77255DFC" w14:textId="29A649E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110</w:t>
            </w:r>
          </w:p>
        </w:tc>
        <w:tc>
          <w:tcPr>
            <w:tcW w:w="0" w:type="auto"/>
            <w:shd w:val="clear" w:color="auto" w:fill="F2F2F2" w:themeFill="background1" w:themeFillShade="F2"/>
            <w:tcMar>
              <w:left w:w="45" w:type="dxa"/>
              <w:right w:w="45" w:type="dxa"/>
            </w:tcMar>
          </w:tcPr>
          <w:p w14:paraId="6F9375F8" w14:textId="2053211C" w:rsidR="008C73C2" w:rsidRPr="000C7A56" w:rsidRDefault="00472BD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-25%</w:t>
            </w:r>
          </w:p>
        </w:tc>
        <w:tc>
          <w:tcPr>
            <w:tcW w:w="585" w:type="dxa"/>
            <w:tcMar>
              <w:left w:w="45" w:type="dxa"/>
              <w:right w:w="45" w:type="dxa"/>
            </w:tcMar>
          </w:tcPr>
          <w:p w14:paraId="07219AD1" w14:textId="1732A162"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51</w:t>
            </w:r>
          </w:p>
        </w:tc>
        <w:tc>
          <w:tcPr>
            <w:tcW w:w="567" w:type="dxa"/>
            <w:tcMar>
              <w:left w:w="45" w:type="dxa"/>
              <w:right w:w="45" w:type="dxa"/>
            </w:tcMar>
          </w:tcPr>
          <w:p w14:paraId="2F3CF0CF" w14:textId="40C45D04"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20</w:t>
            </w:r>
          </w:p>
        </w:tc>
        <w:tc>
          <w:tcPr>
            <w:tcW w:w="709" w:type="dxa"/>
            <w:shd w:val="clear" w:color="auto" w:fill="auto"/>
            <w:tcMar>
              <w:left w:w="45" w:type="dxa"/>
              <w:right w:w="45" w:type="dxa"/>
            </w:tcMar>
          </w:tcPr>
          <w:p w14:paraId="4FEF0778" w14:textId="6587DE8C"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+160%</w:t>
            </w:r>
          </w:p>
        </w:tc>
        <w:tc>
          <w:tcPr>
            <w:tcW w:w="838" w:type="dxa"/>
            <w:shd w:val="clear" w:color="auto" w:fill="auto"/>
            <w:tcMar>
              <w:left w:w="45" w:type="dxa"/>
              <w:right w:w="45" w:type="dxa"/>
            </w:tcMar>
          </w:tcPr>
          <w:p w14:paraId="1FFE715E" w14:textId="70AC43D8"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+149%</w:t>
            </w:r>
          </w:p>
        </w:tc>
        <w:tc>
          <w:tcPr>
            <w:tcW w:w="0" w:type="auto"/>
            <w:shd w:val="clear" w:color="auto" w:fill="F2F2F2" w:themeFill="background1" w:themeFillShade="F2"/>
            <w:tcMar>
              <w:left w:w="45" w:type="dxa"/>
              <w:right w:w="45" w:type="dxa"/>
            </w:tcMar>
          </w:tcPr>
          <w:p w14:paraId="7F4FF6C4" w14:textId="08B8D0F4"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473</w:t>
            </w:r>
          </w:p>
        </w:tc>
        <w:tc>
          <w:tcPr>
            <w:tcW w:w="0" w:type="auto"/>
            <w:shd w:val="clear" w:color="auto" w:fill="F2F2F2" w:themeFill="background1" w:themeFillShade="F2"/>
            <w:tcMar>
              <w:left w:w="45" w:type="dxa"/>
              <w:right w:w="45" w:type="dxa"/>
            </w:tcMar>
          </w:tcPr>
          <w:p w14:paraId="39BAB251" w14:textId="094215DF"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399</w:t>
            </w:r>
          </w:p>
        </w:tc>
        <w:tc>
          <w:tcPr>
            <w:tcW w:w="0" w:type="auto"/>
            <w:shd w:val="clear" w:color="auto" w:fill="F2F2F2" w:themeFill="background1" w:themeFillShade="F2"/>
            <w:tcMar>
              <w:left w:w="45" w:type="dxa"/>
              <w:right w:w="45" w:type="dxa"/>
            </w:tcMar>
          </w:tcPr>
          <w:p w14:paraId="4A57A3AB" w14:textId="1622C530"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+19%</w:t>
            </w:r>
          </w:p>
        </w:tc>
        <w:tc>
          <w:tcPr>
            <w:tcW w:w="0" w:type="auto"/>
            <w:shd w:val="clear" w:color="auto" w:fill="F2F2F2" w:themeFill="background1" w:themeFillShade="F2"/>
            <w:tcMar>
              <w:left w:w="45" w:type="dxa"/>
              <w:right w:w="45" w:type="dxa"/>
            </w:tcMar>
          </w:tcPr>
          <w:p w14:paraId="1F2EB396" w14:textId="26DC71E1"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+18%</w:t>
            </w:r>
          </w:p>
        </w:tc>
      </w:tr>
      <w:tr w:rsidR="00E877C8" w:rsidRPr="00D26EB4" w14:paraId="3E7E3E97" w14:textId="77777777" w:rsidTr="00EB02EC">
        <w:tc>
          <w:tcPr>
            <w:tcW w:w="0" w:type="auto"/>
            <w:tcMar>
              <w:left w:w="45" w:type="dxa"/>
              <w:right w:w="45" w:type="dxa"/>
            </w:tcMar>
          </w:tcPr>
          <w:p w14:paraId="334D9632"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sz w:val="16"/>
              </w:rPr>
            </w:pPr>
            <w:r w:rsidRPr="000C7A56">
              <w:rPr>
                <w:rFonts w:asciiTheme="minorHAnsi" w:hAnsiTheme="minorHAnsi"/>
                <w:b/>
                <w:sz w:val="16"/>
              </w:rPr>
              <w:t>Total revenue</w:t>
            </w:r>
          </w:p>
        </w:tc>
        <w:tc>
          <w:tcPr>
            <w:tcW w:w="601" w:type="dxa"/>
            <w:shd w:val="clear" w:color="auto" w:fill="F2F2F2" w:themeFill="background1" w:themeFillShade="F2"/>
            <w:tcMar>
              <w:left w:w="45" w:type="dxa"/>
              <w:right w:w="45" w:type="dxa"/>
            </w:tcMar>
          </w:tcPr>
          <w:p w14:paraId="4287D780" w14:textId="7385BFAB" w:rsidR="008C73C2" w:rsidRPr="000C7A56" w:rsidRDefault="00D86C3F"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1,006</w:t>
            </w:r>
          </w:p>
        </w:tc>
        <w:tc>
          <w:tcPr>
            <w:tcW w:w="567" w:type="dxa"/>
            <w:shd w:val="clear" w:color="auto" w:fill="F2F2F2" w:themeFill="background1" w:themeFillShade="F2"/>
            <w:tcMar>
              <w:left w:w="45" w:type="dxa"/>
              <w:right w:w="45" w:type="dxa"/>
            </w:tcMar>
          </w:tcPr>
          <w:p w14:paraId="70633372" w14:textId="079D6BC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948</w:t>
            </w:r>
          </w:p>
        </w:tc>
        <w:tc>
          <w:tcPr>
            <w:tcW w:w="709" w:type="dxa"/>
            <w:shd w:val="clear" w:color="auto" w:fill="F2F2F2" w:themeFill="background1" w:themeFillShade="F2"/>
            <w:tcMar>
              <w:left w:w="45" w:type="dxa"/>
              <w:right w:w="45" w:type="dxa"/>
            </w:tcMar>
          </w:tcPr>
          <w:p w14:paraId="28B99679" w14:textId="2787D569"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+6%</w:t>
            </w:r>
          </w:p>
        </w:tc>
        <w:tc>
          <w:tcPr>
            <w:tcW w:w="567" w:type="dxa"/>
            <w:tcMar>
              <w:left w:w="45" w:type="dxa"/>
              <w:right w:w="45" w:type="dxa"/>
            </w:tcMar>
          </w:tcPr>
          <w:p w14:paraId="72CE75BF" w14:textId="1BFF91C4"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446</w:t>
            </w:r>
          </w:p>
        </w:tc>
        <w:tc>
          <w:tcPr>
            <w:tcW w:w="709" w:type="dxa"/>
            <w:tcMar>
              <w:left w:w="45" w:type="dxa"/>
              <w:right w:w="45" w:type="dxa"/>
            </w:tcMar>
          </w:tcPr>
          <w:p w14:paraId="75881FC3" w14:textId="6BA8CDEC"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403</w:t>
            </w:r>
          </w:p>
        </w:tc>
        <w:tc>
          <w:tcPr>
            <w:tcW w:w="721" w:type="dxa"/>
            <w:tcMar>
              <w:left w:w="45" w:type="dxa"/>
              <w:right w:w="45" w:type="dxa"/>
            </w:tcMar>
          </w:tcPr>
          <w:p w14:paraId="023773F4" w14:textId="4B96743B"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highlight w:val="yellow"/>
              </w:rPr>
            </w:pPr>
            <w:r w:rsidRPr="000C7A56">
              <w:rPr>
                <w:rFonts w:asciiTheme="minorHAnsi" w:hAnsiTheme="minorHAnsi"/>
                <w:b/>
                <w:sz w:val="16"/>
              </w:rPr>
              <w:t>+11%</w:t>
            </w:r>
          </w:p>
        </w:tc>
        <w:tc>
          <w:tcPr>
            <w:tcW w:w="721" w:type="dxa"/>
            <w:tcMar>
              <w:left w:w="45" w:type="dxa"/>
              <w:right w:w="45" w:type="dxa"/>
            </w:tcMar>
          </w:tcPr>
          <w:p w14:paraId="246811B6" w14:textId="60C042B3"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+14%</w:t>
            </w:r>
          </w:p>
        </w:tc>
        <w:tc>
          <w:tcPr>
            <w:tcW w:w="0" w:type="auto"/>
            <w:shd w:val="clear" w:color="auto" w:fill="F2F2F2" w:themeFill="background1" w:themeFillShade="F2"/>
            <w:tcMar>
              <w:left w:w="45" w:type="dxa"/>
              <w:right w:w="45" w:type="dxa"/>
            </w:tcMar>
          </w:tcPr>
          <w:p w14:paraId="477C4431" w14:textId="03CE2139"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312</w:t>
            </w:r>
          </w:p>
        </w:tc>
        <w:tc>
          <w:tcPr>
            <w:tcW w:w="0" w:type="auto"/>
            <w:shd w:val="clear" w:color="auto" w:fill="F2F2F2" w:themeFill="background1" w:themeFillShade="F2"/>
            <w:tcMar>
              <w:left w:w="45" w:type="dxa"/>
              <w:right w:w="45" w:type="dxa"/>
            </w:tcMar>
          </w:tcPr>
          <w:p w14:paraId="0550EAD0" w14:textId="7175DEF6"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331</w:t>
            </w:r>
          </w:p>
        </w:tc>
        <w:tc>
          <w:tcPr>
            <w:tcW w:w="0" w:type="auto"/>
            <w:shd w:val="clear" w:color="auto" w:fill="F2F2F2" w:themeFill="background1" w:themeFillShade="F2"/>
            <w:tcMar>
              <w:left w:w="45" w:type="dxa"/>
              <w:right w:w="45" w:type="dxa"/>
            </w:tcMar>
          </w:tcPr>
          <w:p w14:paraId="0C4CED54" w14:textId="23A25F74" w:rsidR="008C73C2" w:rsidRPr="000C7A56" w:rsidRDefault="00472BD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-6%</w:t>
            </w:r>
          </w:p>
        </w:tc>
        <w:tc>
          <w:tcPr>
            <w:tcW w:w="585" w:type="dxa"/>
            <w:tcMar>
              <w:left w:w="45" w:type="dxa"/>
              <w:right w:w="45" w:type="dxa"/>
            </w:tcMar>
          </w:tcPr>
          <w:p w14:paraId="7E397917" w14:textId="6CC6B994"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376</w:t>
            </w:r>
          </w:p>
        </w:tc>
        <w:tc>
          <w:tcPr>
            <w:tcW w:w="567" w:type="dxa"/>
            <w:tcMar>
              <w:left w:w="45" w:type="dxa"/>
              <w:right w:w="45" w:type="dxa"/>
            </w:tcMar>
          </w:tcPr>
          <w:p w14:paraId="7DE775CA" w14:textId="217E96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191</w:t>
            </w:r>
          </w:p>
        </w:tc>
        <w:tc>
          <w:tcPr>
            <w:tcW w:w="709" w:type="dxa"/>
            <w:shd w:val="clear" w:color="auto" w:fill="auto"/>
            <w:tcMar>
              <w:left w:w="45" w:type="dxa"/>
              <w:right w:w="45" w:type="dxa"/>
            </w:tcMar>
          </w:tcPr>
          <w:p w14:paraId="339ED220" w14:textId="32851C81"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+97%</w:t>
            </w:r>
          </w:p>
        </w:tc>
        <w:tc>
          <w:tcPr>
            <w:tcW w:w="838" w:type="dxa"/>
            <w:shd w:val="clear" w:color="auto" w:fill="auto"/>
            <w:tcMar>
              <w:left w:w="45" w:type="dxa"/>
              <w:right w:w="45" w:type="dxa"/>
            </w:tcMar>
          </w:tcPr>
          <w:p w14:paraId="6EEFE652" w14:textId="760E322E"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+90%</w:t>
            </w:r>
          </w:p>
        </w:tc>
        <w:tc>
          <w:tcPr>
            <w:tcW w:w="0" w:type="auto"/>
            <w:shd w:val="clear" w:color="auto" w:fill="F2F2F2" w:themeFill="background1" w:themeFillShade="F2"/>
            <w:tcMar>
              <w:left w:w="45" w:type="dxa"/>
              <w:right w:w="45" w:type="dxa"/>
            </w:tcMar>
          </w:tcPr>
          <w:p w14:paraId="0463C9AF" w14:textId="7F1606D5"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2,140</w:t>
            </w:r>
          </w:p>
        </w:tc>
        <w:tc>
          <w:tcPr>
            <w:tcW w:w="0" w:type="auto"/>
            <w:shd w:val="clear" w:color="auto" w:fill="F2F2F2" w:themeFill="background1" w:themeFillShade="F2"/>
            <w:tcMar>
              <w:left w:w="45" w:type="dxa"/>
              <w:right w:w="45" w:type="dxa"/>
            </w:tcMar>
          </w:tcPr>
          <w:p w14:paraId="033CF5A7" w14:textId="0BF478E1"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1,873</w:t>
            </w:r>
          </w:p>
        </w:tc>
        <w:tc>
          <w:tcPr>
            <w:tcW w:w="0" w:type="auto"/>
            <w:shd w:val="clear" w:color="auto" w:fill="F2F2F2" w:themeFill="background1" w:themeFillShade="F2"/>
            <w:tcMar>
              <w:left w:w="45" w:type="dxa"/>
              <w:right w:w="45" w:type="dxa"/>
            </w:tcMar>
          </w:tcPr>
          <w:p w14:paraId="54A8A830" w14:textId="27E10837"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+14%</w:t>
            </w:r>
          </w:p>
        </w:tc>
        <w:tc>
          <w:tcPr>
            <w:tcW w:w="0" w:type="auto"/>
            <w:shd w:val="clear" w:color="auto" w:fill="F2F2F2" w:themeFill="background1" w:themeFillShade="F2"/>
            <w:tcMar>
              <w:left w:w="45" w:type="dxa"/>
              <w:right w:w="45" w:type="dxa"/>
            </w:tcMar>
          </w:tcPr>
          <w:p w14:paraId="65490CD5" w14:textId="47C6A201"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+15%</w:t>
            </w:r>
          </w:p>
        </w:tc>
      </w:tr>
      <w:tr w:rsidR="00E877C8" w:rsidRPr="00D26EB4" w14:paraId="32D2DDF7" w14:textId="77777777" w:rsidTr="00EB02EC">
        <w:tc>
          <w:tcPr>
            <w:tcW w:w="0" w:type="auto"/>
            <w:tcMar>
              <w:left w:w="45" w:type="dxa"/>
              <w:right w:w="45" w:type="dxa"/>
            </w:tcMar>
          </w:tcPr>
          <w:p w14:paraId="0C340053"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4"/>
                <w:szCs w:val="4"/>
                <w:lang w:eastAsia="en-IE"/>
              </w:rPr>
            </w:pPr>
          </w:p>
        </w:tc>
        <w:tc>
          <w:tcPr>
            <w:tcW w:w="601" w:type="dxa"/>
            <w:shd w:val="clear" w:color="auto" w:fill="F2F2F2" w:themeFill="background1" w:themeFillShade="F2"/>
            <w:tcMar>
              <w:left w:w="45" w:type="dxa"/>
              <w:right w:w="45" w:type="dxa"/>
            </w:tcMar>
          </w:tcPr>
          <w:p w14:paraId="41FD1EFC"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567" w:type="dxa"/>
            <w:shd w:val="clear" w:color="auto" w:fill="F2F2F2" w:themeFill="background1" w:themeFillShade="F2"/>
            <w:tcMar>
              <w:left w:w="45" w:type="dxa"/>
              <w:right w:w="45" w:type="dxa"/>
            </w:tcMar>
          </w:tcPr>
          <w:p w14:paraId="269A712E"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09" w:type="dxa"/>
            <w:shd w:val="clear" w:color="auto" w:fill="F2F2F2" w:themeFill="background1" w:themeFillShade="F2"/>
            <w:tcMar>
              <w:left w:w="45" w:type="dxa"/>
              <w:right w:w="45" w:type="dxa"/>
            </w:tcMar>
          </w:tcPr>
          <w:p w14:paraId="0DF4BE11"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567" w:type="dxa"/>
            <w:tcMar>
              <w:left w:w="45" w:type="dxa"/>
              <w:right w:w="45" w:type="dxa"/>
            </w:tcMar>
          </w:tcPr>
          <w:p w14:paraId="012C492D"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09" w:type="dxa"/>
            <w:tcMar>
              <w:left w:w="45" w:type="dxa"/>
              <w:right w:w="45" w:type="dxa"/>
            </w:tcMar>
          </w:tcPr>
          <w:p w14:paraId="1B000344"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21" w:type="dxa"/>
            <w:tcMar>
              <w:left w:w="45" w:type="dxa"/>
              <w:right w:w="45" w:type="dxa"/>
            </w:tcMar>
          </w:tcPr>
          <w:p w14:paraId="6A89F8DB"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721" w:type="dxa"/>
            <w:tcMar>
              <w:left w:w="45" w:type="dxa"/>
              <w:right w:w="45" w:type="dxa"/>
            </w:tcMar>
          </w:tcPr>
          <w:p w14:paraId="4A1CD4E5"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4F202391"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0" w:type="auto"/>
            <w:shd w:val="clear" w:color="auto" w:fill="F2F2F2" w:themeFill="background1" w:themeFillShade="F2"/>
            <w:tcMar>
              <w:left w:w="45" w:type="dxa"/>
              <w:right w:w="45" w:type="dxa"/>
            </w:tcMar>
          </w:tcPr>
          <w:p w14:paraId="1F014B5E"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0FB518E3"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585" w:type="dxa"/>
            <w:tcMar>
              <w:left w:w="45" w:type="dxa"/>
              <w:right w:w="45" w:type="dxa"/>
            </w:tcMar>
          </w:tcPr>
          <w:p w14:paraId="318877BC"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567" w:type="dxa"/>
            <w:tcMar>
              <w:left w:w="45" w:type="dxa"/>
              <w:right w:w="45" w:type="dxa"/>
            </w:tcMar>
          </w:tcPr>
          <w:p w14:paraId="5B6634C5"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09" w:type="dxa"/>
            <w:shd w:val="clear" w:color="auto" w:fill="auto"/>
            <w:tcMar>
              <w:left w:w="45" w:type="dxa"/>
              <w:right w:w="45" w:type="dxa"/>
            </w:tcMar>
          </w:tcPr>
          <w:p w14:paraId="7B0362B9"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838" w:type="dxa"/>
            <w:shd w:val="clear" w:color="auto" w:fill="auto"/>
            <w:tcMar>
              <w:left w:w="45" w:type="dxa"/>
              <w:right w:w="45" w:type="dxa"/>
            </w:tcMar>
          </w:tcPr>
          <w:p w14:paraId="4BEF4865"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0" w:type="auto"/>
            <w:shd w:val="clear" w:color="auto" w:fill="F2F2F2" w:themeFill="background1" w:themeFillShade="F2"/>
            <w:tcMar>
              <w:left w:w="45" w:type="dxa"/>
              <w:right w:w="45" w:type="dxa"/>
            </w:tcMar>
          </w:tcPr>
          <w:p w14:paraId="35B927D4"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0" w:type="auto"/>
            <w:shd w:val="clear" w:color="auto" w:fill="F2F2F2" w:themeFill="background1" w:themeFillShade="F2"/>
            <w:tcMar>
              <w:left w:w="45" w:type="dxa"/>
              <w:right w:w="45" w:type="dxa"/>
            </w:tcMar>
          </w:tcPr>
          <w:p w14:paraId="1B39C164"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11BCD6D9"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0" w:type="auto"/>
            <w:shd w:val="clear" w:color="auto" w:fill="F2F2F2" w:themeFill="background1" w:themeFillShade="F2"/>
            <w:tcMar>
              <w:left w:w="45" w:type="dxa"/>
              <w:right w:w="45" w:type="dxa"/>
            </w:tcMar>
          </w:tcPr>
          <w:p w14:paraId="148AFB2E" w14:textId="77777777" w:rsidR="008C73C2" w:rsidRPr="00D26EB4"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r>
      <w:tr w:rsidR="00E877C8" w:rsidRPr="00D26EB4" w14:paraId="71FD50BA" w14:textId="77777777" w:rsidTr="00EB02EC">
        <w:tc>
          <w:tcPr>
            <w:tcW w:w="0" w:type="auto"/>
            <w:tcMar>
              <w:left w:w="45" w:type="dxa"/>
              <w:right w:w="45" w:type="dxa"/>
            </w:tcMar>
          </w:tcPr>
          <w:p w14:paraId="5E9A26CB"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Cost of sales</w:t>
            </w:r>
          </w:p>
        </w:tc>
        <w:tc>
          <w:tcPr>
            <w:tcW w:w="601" w:type="dxa"/>
            <w:shd w:val="clear" w:color="auto" w:fill="F2F2F2" w:themeFill="background1" w:themeFillShade="F2"/>
            <w:tcMar>
              <w:left w:w="45" w:type="dxa"/>
              <w:right w:w="45" w:type="dxa"/>
            </w:tcMar>
          </w:tcPr>
          <w:p w14:paraId="5ACF2052" w14:textId="1D31A6C2" w:rsidR="008C73C2" w:rsidRPr="000C7A56" w:rsidRDefault="00D86C3F"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(28</w:t>
            </w:r>
            <w:r w:rsidR="00F43A31" w:rsidRPr="000C7A56">
              <w:rPr>
                <w:rFonts w:asciiTheme="minorHAnsi" w:hAnsiTheme="minorHAnsi"/>
                <w:sz w:val="16"/>
              </w:rPr>
              <w:t>3</w:t>
            </w:r>
            <w:r w:rsidRPr="000C7A56">
              <w:rPr>
                <w:rFonts w:asciiTheme="minorHAnsi" w:hAnsiTheme="minorHAnsi"/>
                <w:sz w:val="16"/>
              </w:rPr>
              <w:t>)</w:t>
            </w:r>
          </w:p>
        </w:tc>
        <w:tc>
          <w:tcPr>
            <w:tcW w:w="567" w:type="dxa"/>
            <w:shd w:val="clear" w:color="auto" w:fill="F2F2F2" w:themeFill="background1" w:themeFillShade="F2"/>
            <w:tcMar>
              <w:left w:w="45" w:type="dxa"/>
              <w:right w:w="45" w:type="dxa"/>
            </w:tcMar>
          </w:tcPr>
          <w:p w14:paraId="5717DD2D" w14:textId="3D3C64B2"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(231)</w:t>
            </w:r>
          </w:p>
        </w:tc>
        <w:tc>
          <w:tcPr>
            <w:tcW w:w="709" w:type="dxa"/>
            <w:shd w:val="clear" w:color="auto" w:fill="F2F2F2" w:themeFill="background1" w:themeFillShade="F2"/>
            <w:tcMar>
              <w:left w:w="45" w:type="dxa"/>
              <w:right w:w="45" w:type="dxa"/>
            </w:tcMar>
          </w:tcPr>
          <w:p w14:paraId="498CFD0F" w14:textId="6DD58BAE"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+23%</w:t>
            </w:r>
          </w:p>
        </w:tc>
        <w:tc>
          <w:tcPr>
            <w:tcW w:w="567" w:type="dxa"/>
            <w:tcMar>
              <w:left w:w="45" w:type="dxa"/>
              <w:right w:w="45" w:type="dxa"/>
            </w:tcMar>
          </w:tcPr>
          <w:p w14:paraId="40D51000" w14:textId="31C4DF31"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(182)</w:t>
            </w:r>
          </w:p>
        </w:tc>
        <w:tc>
          <w:tcPr>
            <w:tcW w:w="709" w:type="dxa"/>
            <w:tcMar>
              <w:left w:w="45" w:type="dxa"/>
              <w:right w:w="45" w:type="dxa"/>
            </w:tcMar>
          </w:tcPr>
          <w:p w14:paraId="48D3AAE3" w14:textId="42C04EF4"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(121)</w:t>
            </w:r>
          </w:p>
        </w:tc>
        <w:tc>
          <w:tcPr>
            <w:tcW w:w="721" w:type="dxa"/>
            <w:tcMar>
              <w:left w:w="45" w:type="dxa"/>
              <w:right w:w="45" w:type="dxa"/>
            </w:tcMar>
          </w:tcPr>
          <w:p w14:paraId="7B4FACF7" w14:textId="6825B58B"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+50%</w:t>
            </w:r>
          </w:p>
        </w:tc>
        <w:tc>
          <w:tcPr>
            <w:tcW w:w="721" w:type="dxa"/>
            <w:tcMar>
              <w:left w:w="45" w:type="dxa"/>
              <w:right w:w="45" w:type="dxa"/>
            </w:tcMar>
          </w:tcPr>
          <w:p w14:paraId="3AAB6C27" w14:textId="42BE637C"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+54%</w:t>
            </w:r>
          </w:p>
        </w:tc>
        <w:tc>
          <w:tcPr>
            <w:tcW w:w="0" w:type="auto"/>
            <w:shd w:val="clear" w:color="auto" w:fill="F2F2F2" w:themeFill="background1" w:themeFillShade="F2"/>
            <w:tcMar>
              <w:left w:w="45" w:type="dxa"/>
              <w:right w:w="45" w:type="dxa"/>
            </w:tcMar>
          </w:tcPr>
          <w:p w14:paraId="5D60E7B6" w14:textId="73DDC194"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(70)</w:t>
            </w:r>
          </w:p>
        </w:tc>
        <w:tc>
          <w:tcPr>
            <w:tcW w:w="0" w:type="auto"/>
            <w:shd w:val="clear" w:color="auto" w:fill="F2F2F2" w:themeFill="background1" w:themeFillShade="F2"/>
            <w:tcMar>
              <w:left w:w="45" w:type="dxa"/>
              <w:right w:w="45" w:type="dxa"/>
            </w:tcMar>
          </w:tcPr>
          <w:p w14:paraId="69A61F42" w14:textId="1EC75211"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(73)</w:t>
            </w:r>
          </w:p>
        </w:tc>
        <w:tc>
          <w:tcPr>
            <w:tcW w:w="0" w:type="auto"/>
            <w:shd w:val="clear" w:color="auto" w:fill="F2F2F2" w:themeFill="background1" w:themeFillShade="F2"/>
            <w:tcMar>
              <w:left w:w="45" w:type="dxa"/>
              <w:right w:w="45" w:type="dxa"/>
            </w:tcMar>
          </w:tcPr>
          <w:p w14:paraId="250A27A1" w14:textId="7C806AB8" w:rsidR="008C73C2" w:rsidRPr="000C7A56" w:rsidRDefault="00472BD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w:t>
            </w:r>
          </w:p>
        </w:tc>
        <w:tc>
          <w:tcPr>
            <w:tcW w:w="585" w:type="dxa"/>
            <w:tcMar>
              <w:left w:w="45" w:type="dxa"/>
              <w:right w:w="45" w:type="dxa"/>
            </w:tcMar>
          </w:tcPr>
          <w:p w14:paraId="119F209C" w14:textId="14D71EAC"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(11</w:t>
            </w:r>
            <w:r w:rsidR="00CA2606" w:rsidRPr="000C7A56">
              <w:rPr>
                <w:rFonts w:asciiTheme="minorHAnsi" w:hAnsiTheme="minorHAnsi"/>
                <w:sz w:val="16"/>
              </w:rPr>
              <w:t>6</w:t>
            </w:r>
            <w:r w:rsidRPr="000C7A56">
              <w:rPr>
                <w:rFonts w:asciiTheme="minorHAnsi" w:hAnsiTheme="minorHAnsi"/>
                <w:sz w:val="16"/>
              </w:rPr>
              <w:t>)</w:t>
            </w:r>
          </w:p>
        </w:tc>
        <w:tc>
          <w:tcPr>
            <w:tcW w:w="567" w:type="dxa"/>
            <w:tcMar>
              <w:left w:w="45" w:type="dxa"/>
              <w:right w:w="45" w:type="dxa"/>
            </w:tcMar>
          </w:tcPr>
          <w:p w14:paraId="20B2C156" w14:textId="2D9045E1"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(45)</w:t>
            </w:r>
          </w:p>
        </w:tc>
        <w:tc>
          <w:tcPr>
            <w:tcW w:w="709" w:type="dxa"/>
            <w:tcMar>
              <w:left w:w="45" w:type="dxa"/>
              <w:right w:w="45" w:type="dxa"/>
            </w:tcMar>
          </w:tcPr>
          <w:p w14:paraId="04AFD0B8" w14:textId="1BC056D2"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w:t>
            </w:r>
            <w:r w:rsidR="00CA2606" w:rsidRPr="000C7A56">
              <w:rPr>
                <w:rFonts w:asciiTheme="minorHAnsi" w:hAnsiTheme="minorHAnsi"/>
                <w:sz w:val="16"/>
              </w:rPr>
              <w:t>59</w:t>
            </w:r>
            <w:r w:rsidRPr="000C7A56">
              <w:rPr>
                <w:rFonts w:asciiTheme="minorHAnsi" w:hAnsiTheme="minorHAnsi"/>
                <w:sz w:val="16"/>
              </w:rPr>
              <w:t>%</w:t>
            </w:r>
          </w:p>
        </w:tc>
        <w:tc>
          <w:tcPr>
            <w:tcW w:w="838" w:type="dxa"/>
            <w:tcMar>
              <w:left w:w="45" w:type="dxa"/>
              <w:right w:w="45" w:type="dxa"/>
            </w:tcMar>
          </w:tcPr>
          <w:p w14:paraId="67E6D977" w14:textId="3CCF81D1"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+15</w:t>
            </w:r>
            <w:r w:rsidR="00CA2606" w:rsidRPr="000C7A56">
              <w:rPr>
                <w:rFonts w:asciiTheme="minorHAnsi" w:hAnsiTheme="minorHAnsi"/>
                <w:sz w:val="16"/>
              </w:rPr>
              <w:t>1</w:t>
            </w:r>
            <w:r w:rsidRPr="000C7A56">
              <w:rPr>
                <w:rFonts w:asciiTheme="minorHAnsi" w:hAnsiTheme="minorHAnsi"/>
                <w:sz w:val="16"/>
              </w:rPr>
              <w:t>%</w:t>
            </w:r>
          </w:p>
        </w:tc>
        <w:tc>
          <w:tcPr>
            <w:tcW w:w="0" w:type="auto"/>
            <w:shd w:val="clear" w:color="auto" w:fill="F2F2F2" w:themeFill="background1" w:themeFillShade="F2"/>
            <w:tcMar>
              <w:left w:w="45" w:type="dxa"/>
              <w:right w:w="45" w:type="dxa"/>
            </w:tcMar>
          </w:tcPr>
          <w:p w14:paraId="1E319408" w14:textId="7FB40C5C"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(65</w:t>
            </w:r>
            <w:r w:rsidR="00CA2606" w:rsidRPr="000C7A56">
              <w:rPr>
                <w:rFonts w:asciiTheme="minorHAnsi" w:hAnsiTheme="minorHAnsi"/>
                <w:sz w:val="16"/>
              </w:rPr>
              <w:t>0</w:t>
            </w:r>
            <w:r w:rsidRPr="000C7A56">
              <w:rPr>
                <w:rFonts w:asciiTheme="minorHAnsi" w:hAnsiTheme="minorHAnsi"/>
                <w:sz w:val="16"/>
              </w:rPr>
              <w:t>)</w:t>
            </w:r>
          </w:p>
        </w:tc>
        <w:tc>
          <w:tcPr>
            <w:tcW w:w="0" w:type="auto"/>
            <w:shd w:val="clear" w:color="auto" w:fill="F2F2F2" w:themeFill="background1" w:themeFillShade="F2"/>
            <w:tcMar>
              <w:left w:w="45" w:type="dxa"/>
              <w:right w:w="45" w:type="dxa"/>
            </w:tcMar>
          </w:tcPr>
          <w:p w14:paraId="6F08BCA9" w14:textId="480D5341"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(470)</w:t>
            </w:r>
          </w:p>
        </w:tc>
        <w:tc>
          <w:tcPr>
            <w:tcW w:w="0" w:type="auto"/>
            <w:shd w:val="clear" w:color="auto" w:fill="F2F2F2" w:themeFill="background1" w:themeFillShade="F2"/>
            <w:tcMar>
              <w:left w:w="45" w:type="dxa"/>
              <w:right w:w="45" w:type="dxa"/>
            </w:tcMar>
          </w:tcPr>
          <w:p w14:paraId="3D3AA3B8" w14:textId="394B12AB"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+3</w:t>
            </w:r>
            <w:r w:rsidR="00CA2606" w:rsidRPr="000C7A56">
              <w:rPr>
                <w:rFonts w:asciiTheme="minorHAnsi" w:hAnsiTheme="minorHAnsi"/>
                <w:sz w:val="16"/>
              </w:rPr>
              <w:t>8</w:t>
            </w:r>
            <w:r w:rsidRPr="000C7A56">
              <w:rPr>
                <w:rFonts w:asciiTheme="minorHAnsi" w:hAnsiTheme="minorHAnsi"/>
                <w:sz w:val="16"/>
              </w:rPr>
              <w:t>%</w:t>
            </w:r>
          </w:p>
        </w:tc>
        <w:tc>
          <w:tcPr>
            <w:tcW w:w="0" w:type="auto"/>
            <w:shd w:val="clear" w:color="auto" w:fill="F2F2F2" w:themeFill="background1" w:themeFillShade="F2"/>
            <w:tcMar>
              <w:left w:w="45" w:type="dxa"/>
              <w:right w:w="45" w:type="dxa"/>
            </w:tcMar>
          </w:tcPr>
          <w:p w14:paraId="0DA79B4B" w14:textId="1017FDAB" w:rsidR="008C73C2" w:rsidRPr="000C7A56" w:rsidRDefault="001151F5"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w:t>
            </w:r>
            <w:r w:rsidR="00CA2606" w:rsidRPr="000C7A56">
              <w:rPr>
                <w:rFonts w:asciiTheme="minorHAnsi" w:hAnsiTheme="minorHAnsi"/>
                <w:sz w:val="16"/>
              </w:rPr>
              <w:t>39</w:t>
            </w:r>
            <w:r w:rsidRPr="000C7A56">
              <w:rPr>
                <w:rFonts w:asciiTheme="minorHAnsi" w:hAnsiTheme="minorHAnsi"/>
                <w:sz w:val="16"/>
              </w:rPr>
              <w:t>%</w:t>
            </w:r>
          </w:p>
        </w:tc>
      </w:tr>
      <w:tr w:rsidR="00684DB1" w:rsidRPr="00D26EB4" w14:paraId="0B4B7045" w14:textId="77777777" w:rsidTr="00EB02EC">
        <w:tc>
          <w:tcPr>
            <w:tcW w:w="0" w:type="auto"/>
            <w:tcMar>
              <w:left w:w="45" w:type="dxa"/>
              <w:right w:w="45" w:type="dxa"/>
            </w:tcMar>
          </w:tcPr>
          <w:p w14:paraId="526D2C37" w14:textId="0F28188A" w:rsidR="00684DB1" w:rsidRPr="00D26EB4" w:rsidRDefault="00684D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Cost of sales as a % of net revenue</w:t>
            </w:r>
          </w:p>
        </w:tc>
        <w:tc>
          <w:tcPr>
            <w:tcW w:w="601" w:type="dxa"/>
            <w:shd w:val="clear" w:color="auto" w:fill="F2F2F2" w:themeFill="background1" w:themeFillShade="F2"/>
            <w:tcMar>
              <w:left w:w="45" w:type="dxa"/>
              <w:right w:w="45" w:type="dxa"/>
            </w:tcMar>
          </w:tcPr>
          <w:p w14:paraId="414616E4" w14:textId="0C5645A5"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28.1%</w:t>
            </w:r>
          </w:p>
        </w:tc>
        <w:tc>
          <w:tcPr>
            <w:tcW w:w="567" w:type="dxa"/>
            <w:shd w:val="clear" w:color="auto" w:fill="F2F2F2" w:themeFill="background1" w:themeFillShade="F2"/>
            <w:tcMar>
              <w:left w:w="45" w:type="dxa"/>
              <w:right w:w="45" w:type="dxa"/>
            </w:tcMar>
          </w:tcPr>
          <w:p w14:paraId="38E90BA9" w14:textId="5F61A5BD"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24.4%</w:t>
            </w:r>
          </w:p>
        </w:tc>
        <w:tc>
          <w:tcPr>
            <w:tcW w:w="709" w:type="dxa"/>
            <w:shd w:val="clear" w:color="auto" w:fill="F2F2F2" w:themeFill="background1" w:themeFillShade="F2"/>
            <w:tcMar>
              <w:left w:w="45" w:type="dxa"/>
              <w:right w:w="45" w:type="dxa"/>
            </w:tcMar>
          </w:tcPr>
          <w:p w14:paraId="5F711C46" w14:textId="799104ED"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+380bps</w:t>
            </w:r>
          </w:p>
        </w:tc>
        <w:tc>
          <w:tcPr>
            <w:tcW w:w="567" w:type="dxa"/>
            <w:tcMar>
              <w:left w:w="45" w:type="dxa"/>
              <w:right w:w="45" w:type="dxa"/>
            </w:tcMar>
          </w:tcPr>
          <w:p w14:paraId="11568705" w14:textId="7F744FC6"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40.7%</w:t>
            </w:r>
          </w:p>
        </w:tc>
        <w:tc>
          <w:tcPr>
            <w:tcW w:w="709" w:type="dxa"/>
            <w:tcMar>
              <w:left w:w="45" w:type="dxa"/>
              <w:right w:w="45" w:type="dxa"/>
            </w:tcMar>
          </w:tcPr>
          <w:p w14:paraId="3F867946" w14:textId="03FE387A"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30.1%</w:t>
            </w:r>
          </w:p>
        </w:tc>
        <w:tc>
          <w:tcPr>
            <w:tcW w:w="721" w:type="dxa"/>
            <w:tcMar>
              <w:left w:w="45" w:type="dxa"/>
              <w:right w:w="45" w:type="dxa"/>
            </w:tcMar>
          </w:tcPr>
          <w:p w14:paraId="24E73D96" w14:textId="1AE6F9C0"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+1060bps</w:t>
            </w:r>
          </w:p>
        </w:tc>
        <w:tc>
          <w:tcPr>
            <w:tcW w:w="721" w:type="dxa"/>
            <w:tcMar>
              <w:left w:w="45" w:type="dxa"/>
              <w:right w:w="45" w:type="dxa"/>
            </w:tcMar>
          </w:tcPr>
          <w:p w14:paraId="56325E16" w14:textId="3BBA7BC1"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+1070bps</w:t>
            </w:r>
          </w:p>
        </w:tc>
        <w:tc>
          <w:tcPr>
            <w:tcW w:w="0" w:type="auto"/>
            <w:shd w:val="clear" w:color="auto" w:fill="F2F2F2" w:themeFill="background1" w:themeFillShade="F2"/>
            <w:tcMar>
              <w:left w:w="45" w:type="dxa"/>
              <w:right w:w="45" w:type="dxa"/>
            </w:tcMar>
          </w:tcPr>
          <w:p w14:paraId="65504D7A" w14:textId="06E5A159"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22.4%</w:t>
            </w:r>
          </w:p>
        </w:tc>
        <w:tc>
          <w:tcPr>
            <w:tcW w:w="0" w:type="auto"/>
            <w:shd w:val="clear" w:color="auto" w:fill="F2F2F2" w:themeFill="background1" w:themeFillShade="F2"/>
            <w:tcMar>
              <w:left w:w="45" w:type="dxa"/>
              <w:right w:w="45" w:type="dxa"/>
            </w:tcMar>
          </w:tcPr>
          <w:p w14:paraId="54B93934" w14:textId="117669E0"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22.1%</w:t>
            </w:r>
          </w:p>
        </w:tc>
        <w:tc>
          <w:tcPr>
            <w:tcW w:w="0" w:type="auto"/>
            <w:shd w:val="clear" w:color="auto" w:fill="F2F2F2" w:themeFill="background1" w:themeFillShade="F2"/>
            <w:tcMar>
              <w:left w:w="45" w:type="dxa"/>
              <w:right w:w="45" w:type="dxa"/>
            </w:tcMar>
          </w:tcPr>
          <w:p w14:paraId="60D471B4" w14:textId="2D3A8C05"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+30bps</w:t>
            </w:r>
          </w:p>
        </w:tc>
        <w:tc>
          <w:tcPr>
            <w:tcW w:w="585" w:type="dxa"/>
            <w:tcMar>
              <w:left w:w="45" w:type="dxa"/>
              <w:right w:w="45" w:type="dxa"/>
            </w:tcMar>
          </w:tcPr>
          <w:p w14:paraId="511B0338" w14:textId="1C5399E4"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30.8%</w:t>
            </w:r>
          </w:p>
        </w:tc>
        <w:tc>
          <w:tcPr>
            <w:tcW w:w="567" w:type="dxa"/>
            <w:tcMar>
              <w:left w:w="45" w:type="dxa"/>
              <w:right w:w="45" w:type="dxa"/>
            </w:tcMar>
          </w:tcPr>
          <w:p w14:paraId="14576CB7" w14:textId="58FB0030"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23.3%</w:t>
            </w:r>
          </w:p>
        </w:tc>
        <w:tc>
          <w:tcPr>
            <w:tcW w:w="709" w:type="dxa"/>
            <w:tcMar>
              <w:left w:w="45" w:type="dxa"/>
              <w:right w:w="45" w:type="dxa"/>
            </w:tcMar>
          </w:tcPr>
          <w:p w14:paraId="78F25522" w14:textId="7E2887C3"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+750bps</w:t>
            </w:r>
          </w:p>
        </w:tc>
        <w:tc>
          <w:tcPr>
            <w:tcW w:w="838" w:type="dxa"/>
            <w:tcMar>
              <w:left w:w="45" w:type="dxa"/>
              <w:right w:w="45" w:type="dxa"/>
            </w:tcMar>
          </w:tcPr>
          <w:p w14:paraId="03B90373" w14:textId="1EF85D73"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+740bps</w:t>
            </w:r>
          </w:p>
        </w:tc>
        <w:tc>
          <w:tcPr>
            <w:tcW w:w="0" w:type="auto"/>
            <w:shd w:val="clear" w:color="auto" w:fill="F2F2F2" w:themeFill="background1" w:themeFillShade="F2"/>
            <w:tcMar>
              <w:left w:w="45" w:type="dxa"/>
              <w:right w:w="45" w:type="dxa"/>
            </w:tcMar>
          </w:tcPr>
          <w:p w14:paraId="6BC5FD42" w14:textId="6D22442B" w:rsidR="00684DB1" w:rsidRPr="00D26EB4" w:rsidRDefault="00684D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30.4%</w:t>
            </w:r>
          </w:p>
        </w:tc>
        <w:tc>
          <w:tcPr>
            <w:tcW w:w="0" w:type="auto"/>
            <w:shd w:val="clear" w:color="auto" w:fill="F2F2F2" w:themeFill="background1" w:themeFillShade="F2"/>
            <w:tcMar>
              <w:left w:w="45" w:type="dxa"/>
              <w:right w:w="45" w:type="dxa"/>
            </w:tcMar>
          </w:tcPr>
          <w:p w14:paraId="2591CCCE" w14:textId="688527FE" w:rsidR="00684DB1" w:rsidRPr="00D26EB4" w:rsidRDefault="00684D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25.1%</w:t>
            </w:r>
          </w:p>
        </w:tc>
        <w:tc>
          <w:tcPr>
            <w:tcW w:w="0" w:type="auto"/>
            <w:shd w:val="clear" w:color="auto" w:fill="F2F2F2" w:themeFill="background1" w:themeFillShade="F2"/>
            <w:tcMar>
              <w:left w:w="45" w:type="dxa"/>
              <w:right w:w="45" w:type="dxa"/>
            </w:tcMar>
          </w:tcPr>
          <w:p w14:paraId="656AD02D" w14:textId="2549124F"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+530bps</w:t>
            </w:r>
          </w:p>
        </w:tc>
        <w:tc>
          <w:tcPr>
            <w:tcW w:w="0" w:type="auto"/>
            <w:shd w:val="clear" w:color="auto" w:fill="F2F2F2" w:themeFill="background1" w:themeFillShade="F2"/>
            <w:tcMar>
              <w:left w:w="45" w:type="dxa"/>
              <w:right w:w="45" w:type="dxa"/>
            </w:tcMar>
          </w:tcPr>
          <w:p w14:paraId="4DC14A47" w14:textId="080921D0" w:rsidR="00684DB1" w:rsidRPr="00D26EB4" w:rsidRDefault="00EB02EC"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+530bps</w:t>
            </w:r>
          </w:p>
        </w:tc>
      </w:tr>
      <w:tr w:rsidR="00E877C8" w:rsidRPr="00D26EB4" w14:paraId="4A2A40E5" w14:textId="77777777" w:rsidTr="00EB02EC">
        <w:tc>
          <w:tcPr>
            <w:tcW w:w="0" w:type="auto"/>
            <w:tcMar>
              <w:left w:w="45" w:type="dxa"/>
              <w:right w:w="45" w:type="dxa"/>
            </w:tcMar>
          </w:tcPr>
          <w:p w14:paraId="1E0EF086"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p>
        </w:tc>
        <w:tc>
          <w:tcPr>
            <w:tcW w:w="601" w:type="dxa"/>
            <w:shd w:val="clear" w:color="auto" w:fill="F2F2F2" w:themeFill="background1" w:themeFillShade="F2"/>
            <w:tcMar>
              <w:left w:w="45" w:type="dxa"/>
              <w:right w:w="45" w:type="dxa"/>
            </w:tcMar>
          </w:tcPr>
          <w:p w14:paraId="3E2E0F62"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567" w:type="dxa"/>
            <w:shd w:val="clear" w:color="auto" w:fill="F2F2F2" w:themeFill="background1" w:themeFillShade="F2"/>
            <w:tcMar>
              <w:left w:w="45" w:type="dxa"/>
              <w:right w:w="45" w:type="dxa"/>
            </w:tcMar>
          </w:tcPr>
          <w:p w14:paraId="0811001E"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709" w:type="dxa"/>
            <w:shd w:val="clear" w:color="auto" w:fill="F2F2F2" w:themeFill="background1" w:themeFillShade="F2"/>
            <w:tcMar>
              <w:left w:w="45" w:type="dxa"/>
              <w:right w:w="45" w:type="dxa"/>
            </w:tcMar>
          </w:tcPr>
          <w:p w14:paraId="0F3E2664"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567" w:type="dxa"/>
            <w:tcMar>
              <w:left w:w="45" w:type="dxa"/>
              <w:right w:w="45" w:type="dxa"/>
            </w:tcMar>
          </w:tcPr>
          <w:p w14:paraId="5E53733D"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709" w:type="dxa"/>
            <w:tcMar>
              <w:left w:w="45" w:type="dxa"/>
              <w:right w:w="45" w:type="dxa"/>
            </w:tcMar>
          </w:tcPr>
          <w:p w14:paraId="4278CBBE"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721" w:type="dxa"/>
            <w:tcMar>
              <w:left w:w="45" w:type="dxa"/>
              <w:right w:w="45" w:type="dxa"/>
            </w:tcMar>
          </w:tcPr>
          <w:p w14:paraId="2F2D1709"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721" w:type="dxa"/>
            <w:tcMar>
              <w:left w:w="45" w:type="dxa"/>
              <w:right w:w="45" w:type="dxa"/>
            </w:tcMar>
          </w:tcPr>
          <w:p w14:paraId="6FD97408"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0" w:type="auto"/>
            <w:shd w:val="clear" w:color="auto" w:fill="F2F2F2" w:themeFill="background1" w:themeFillShade="F2"/>
            <w:tcMar>
              <w:left w:w="45" w:type="dxa"/>
              <w:right w:w="45" w:type="dxa"/>
            </w:tcMar>
          </w:tcPr>
          <w:p w14:paraId="044546DA"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0" w:type="auto"/>
            <w:shd w:val="clear" w:color="auto" w:fill="F2F2F2" w:themeFill="background1" w:themeFillShade="F2"/>
            <w:tcMar>
              <w:left w:w="45" w:type="dxa"/>
              <w:right w:w="45" w:type="dxa"/>
            </w:tcMar>
          </w:tcPr>
          <w:p w14:paraId="70BBDB0E"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0" w:type="auto"/>
            <w:shd w:val="clear" w:color="auto" w:fill="F2F2F2" w:themeFill="background1" w:themeFillShade="F2"/>
            <w:tcMar>
              <w:left w:w="45" w:type="dxa"/>
              <w:right w:w="45" w:type="dxa"/>
            </w:tcMar>
          </w:tcPr>
          <w:p w14:paraId="71CF9B53"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585" w:type="dxa"/>
            <w:tcMar>
              <w:left w:w="45" w:type="dxa"/>
              <w:right w:w="45" w:type="dxa"/>
            </w:tcMar>
          </w:tcPr>
          <w:p w14:paraId="4486A714"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567" w:type="dxa"/>
            <w:tcMar>
              <w:left w:w="45" w:type="dxa"/>
              <w:right w:w="45" w:type="dxa"/>
            </w:tcMar>
          </w:tcPr>
          <w:p w14:paraId="7CC481B4"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709" w:type="dxa"/>
            <w:tcMar>
              <w:left w:w="45" w:type="dxa"/>
              <w:right w:w="45" w:type="dxa"/>
            </w:tcMar>
          </w:tcPr>
          <w:p w14:paraId="19B0D59F"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sz w:val="16"/>
              </w:rPr>
            </w:pPr>
          </w:p>
        </w:tc>
        <w:tc>
          <w:tcPr>
            <w:tcW w:w="838" w:type="dxa"/>
            <w:tcMar>
              <w:left w:w="45" w:type="dxa"/>
              <w:right w:w="45" w:type="dxa"/>
            </w:tcMar>
          </w:tcPr>
          <w:p w14:paraId="2FFFF8B9"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0" w:type="auto"/>
            <w:shd w:val="clear" w:color="auto" w:fill="F2F2F2" w:themeFill="background1" w:themeFillShade="F2"/>
            <w:tcMar>
              <w:left w:w="45" w:type="dxa"/>
              <w:right w:w="45" w:type="dxa"/>
            </w:tcMar>
          </w:tcPr>
          <w:p w14:paraId="09F5A162"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0" w:type="auto"/>
            <w:shd w:val="clear" w:color="auto" w:fill="F2F2F2" w:themeFill="background1" w:themeFillShade="F2"/>
            <w:tcMar>
              <w:left w:w="45" w:type="dxa"/>
              <w:right w:w="45" w:type="dxa"/>
            </w:tcMar>
          </w:tcPr>
          <w:p w14:paraId="2F3CEDB7"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0" w:type="auto"/>
            <w:shd w:val="clear" w:color="auto" w:fill="F2F2F2" w:themeFill="background1" w:themeFillShade="F2"/>
            <w:tcMar>
              <w:left w:w="45" w:type="dxa"/>
              <w:right w:w="45" w:type="dxa"/>
            </w:tcMar>
          </w:tcPr>
          <w:p w14:paraId="4F785966"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0" w:type="auto"/>
            <w:shd w:val="clear" w:color="auto" w:fill="F2F2F2" w:themeFill="background1" w:themeFillShade="F2"/>
            <w:tcMar>
              <w:left w:w="45" w:type="dxa"/>
              <w:right w:w="45" w:type="dxa"/>
            </w:tcMar>
          </w:tcPr>
          <w:p w14:paraId="570A88AD"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sz w:val="16"/>
              </w:rPr>
            </w:pPr>
          </w:p>
        </w:tc>
      </w:tr>
      <w:tr w:rsidR="00E877C8" w:rsidRPr="00D26EB4" w14:paraId="19F9C4CE" w14:textId="77777777" w:rsidTr="00EB02EC">
        <w:tc>
          <w:tcPr>
            <w:tcW w:w="0" w:type="auto"/>
            <w:tcMar>
              <w:left w:w="45" w:type="dxa"/>
              <w:right w:w="45" w:type="dxa"/>
            </w:tcMar>
          </w:tcPr>
          <w:p w14:paraId="5208682F" w14:textId="7777777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sz w:val="16"/>
              </w:rPr>
            </w:pPr>
            <w:r w:rsidRPr="000C7A56">
              <w:rPr>
                <w:rFonts w:asciiTheme="minorHAnsi" w:hAnsiTheme="minorHAnsi"/>
                <w:b/>
                <w:sz w:val="16"/>
              </w:rPr>
              <w:t>Gross Profit</w:t>
            </w:r>
          </w:p>
        </w:tc>
        <w:tc>
          <w:tcPr>
            <w:tcW w:w="601" w:type="dxa"/>
            <w:shd w:val="clear" w:color="auto" w:fill="F2F2F2" w:themeFill="background1" w:themeFillShade="F2"/>
            <w:tcMar>
              <w:left w:w="45" w:type="dxa"/>
              <w:right w:w="45" w:type="dxa"/>
            </w:tcMar>
          </w:tcPr>
          <w:p w14:paraId="2791A87F" w14:textId="036B50E8" w:rsidR="008C73C2" w:rsidRPr="000C7A56" w:rsidRDefault="00D86C3F"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72</w:t>
            </w:r>
            <w:r w:rsidR="00F43A31" w:rsidRPr="000C7A56">
              <w:rPr>
                <w:rFonts w:asciiTheme="minorHAnsi" w:hAnsiTheme="minorHAnsi"/>
                <w:b/>
                <w:sz w:val="16"/>
              </w:rPr>
              <w:t>3</w:t>
            </w:r>
          </w:p>
        </w:tc>
        <w:tc>
          <w:tcPr>
            <w:tcW w:w="567" w:type="dxa"/>
            <w:shd w:val="clear" w:color="auto" w:fill="F2F2F2" w:themeFill="background1" w:themeFillShade="F2"/>
            <w:tcMar>
              <w:left w:w="45" w:type="dxa"/>
              <w:right w:w="45" w:type="dxa"/>
            </w:tcMar>
          </w:tcPr>
          <w:p w14:paraId="19F9C650" w14:textId="50EFCB5E"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717</w:t>
            </w:r>
          </w:p>
        </w:tc>
        <w:tc>
          <w:tcPr>
            <w:tcW w:w="709" w:type="dxa"/>
            <w:shd w:val="clear" w:color="auto" w:fill="F2F2F2" w:themeFill="background1" w:themeFillShade="F2"/>
            <w:tcMar>
              <w:left w:w="45" w:type="dxa"/>
              <w:right w:w="45" w:type="dxa"/>
            </w:tcMar>
          </w:tcPr>
          <w:p w14:paraId="1E39AB0E" w14:textId="4AD843D4"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w:t>
            </w:r>
          </w:p>
        </w:tc>
        <w:tc>
          <w:tcPr>
            <w:tcW w:w="567" w:type="dxa"/>
            <w:tcMar>
              <w:left w:w="45" w:type="dxa"/>
              <w:right w:w="45" w:type="dxa"/>
            </w:tcMar>
          </w:tcPr>
          <w:p w14:paraId="2563F036" w14:textId="66FE0158"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264</w:t>
            </w:r>
          </w:p>
        </w:tc>
        <w:tc>
          <w:tcPr>
            <w:tcW w:w="709" w:type="dxa"/>
            <w:tcMar>
              <w:left w:w="45" w:type="dxa"/>
              <w:right w:w="45" w:type="dxa"/>
            </w:tcMar>
          </w:tcPr>
          <w:p w14:paraId="0602FCF8" w14:textId="6567EB9B"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282</w:t>
            </w:r>
          </w:p>
        </w:tc>
        <w:tc>
          <w:tcPr>
            <w:tcW w:w="721" w:type="dxa"/>
            <w:tcMar>
              <w:left w:w="45" w:type="dxa"/>
              <w:right w:w="45" w:type="dxa"/>
            </w:tcMar>
          </w:tcPr>
          <w:p w14:paraId="3BAF7628" w14:textId="70315975"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-6%</w:t>
            </w:r>
          </w:p>
        </w:tc>
        <w:tc>
          <w:tcPr>
            <w:tcW w:w="721" w:type="dxa"/>
            <w:tcMar>
              <w:left w:w="45" w:type="dxa"/>
              <w:right w:w="45" w:type="dxa"/>
            </w:tcMar>
          </w:tcPr>
          <w:p w14:paraId="5554C1FC" w14:textId="61B492CB"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-3%</w:t>
            </w:r>
          </w:p>
        </w:tc>
        <w:tc>
          <w:tcPr>
            <w:tcW w:w="0" w:type="auto"/>
            <w:shd w:val="clear" w:color="auto" w:fill="F2F2F2" w:themeFill="background1" w:themeFillShade="F2"/>
            <w:tcMar>
              <w:left w:w="45" w:type="dxa"/>
              <w:right w:w="45" w:type="dxa"/>
            </w:tcMar>
          </w:tcPr>
          <w:p w14:paraId="2FA2B824" w14:textId="32FBF802" w:rsidR="008C73C2" w:rsidRPr="000C7A56" w:rsidRDefault="003F36B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242</w:t>
            </w:r>
          </w:p>
        </w:tc>
        <w:tc>
          <w:tcPr>
            <w:tcW w:w="0" w:type="auto"/>
            <w:shd w:val="clear" w:color="auto" w:fill="F2F2F2" w:themeFill="background1" w:themeFillShade="F2"/>
            <w:tcMar>
              <w:left w:w="45" w:type="dxa"/>
              <w:right w:w="45" w:type="dxa"/>
            </w:tcMar>
          </w:tcPr>
          <w:p w14:paraId="107EFD85" w14:textId="33553A5E"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258</w:t>
            </w:r>
          </w:p>
        </w:tc>
        <w:tc>
          <w:tcPr>
            <w:tcW w:w="0" w:type="auto"/>
            <w:shd w:val="clear" w:color="auto" w:fill="F2F2F2" w:themeFill="background1" w:themeFillShade="F2"/>
            <w:tcMar>
              <w:left w:w="45" w:type="dxa"/>
              <w:right w:w="45" w:type="dxa"/>
            </w:tcMar>
          </w:tcPr>
          <w:p w14:paraId="72D092E2" w14:textId="1574C2E4" w:rsidR="008C73C2" w:rsidRPr="000C7A56" w:rsidRDefault="00472BD1"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-6%</w:t>
            </w:r>
          </w:p>
        </w:tc>
        <w:tc>
          <w:tcPr>
            <w:tcW w:w="585" w:type="dxa"/>
            <w:tcMar>
              <w:left w:w="45" w:type="dxa"/>
              <w:right w:w="45" w:type="dxa"/>
            </w:tcMar>
          </w:tcPr>
          <w:p w14:paraId="469FD173" w14:textId="20752E60"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w:t>
            </w:r>
            <w:r w:rsidR="00CA2606" w:rsidRPr="000C7A56">
              <w:rPr>
                <w:rFonts w:asciiTheme="minorHAnsi" w:hAnsiTheme="minorHAnsi"/>
                <w:b/>
                <w:sz w:val="16"/>
              </w:rPr>
              <w:t>61</w:t>
            </w:r>
          </w:p>
        </w:tc>
        <w:tc>
          <w:tcPr>
            <w:tcW w:w="567" w:type="dxa"/>
            <w:tcMar>
              <w:left w:w="45" w:type="dxa"/>
              <w:right w:w="45" w:type="dxa"/>
            </w:tcMar>
          </w:tcPr>
          <w:p w14:paraId="7C331199" w14:textId="241C2F5E"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147</w:t>
            </w:r>
          </w:p>
        </w:tc>
        <w:tc>
          <w:tcPr>
            <w:tcW w:w="709" w:type="dxa"/>
            <w:tcMar>
              <w:left w:w="45" w:type="dxa"/>
              <w:right w:w="45" w:type="dxa"/>
            </w:tcMar>
          </w:tcPr>
          <w:p w14:paraId="4E371F34" w14:textId="4A80D98A" w:rsidR="008C73C2" w:rsidRPr="000C7A56" w:rsidRDefault="00E1394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+7</w:t>
            </w:r>
            <w:r w:rsidR="00CA2606" w:rsidRPr="000C7A56">
              <w:rPr>
                <w:rFonts w:asciiTheme="minorHAnsi" w:hAnsiTheme="minorHAnsi"/>
                <w:b/>
                <w:sz w:val="16"/>
              </w:rPr>
              <w:t>7</w:t>
            </w:r>
            <w:r w:rsidRPr="000C7A56">
              <w:rPr>
                <w:rFonts w:asciiTheme="minorHAnsi" w:hAnsiTheme="minorHAnsi"/>
                <w:b/>
                <w:sz w:val="16"/>
              </w:rPr>
              <w:t>%</w:t>
            </w:r>
          </w:p>
        </w:tc>
        <w:tc>
          <w:tcPr>
            <w:tcW w:w="838" w:type="dxa"/>
            <w:tcMar>
              <w:left w:w="45" w:type="dxa"/>
              <w:right w:w="45" w:type="dxa"/>
            </w:tcMar>
          </w:tcPr>
          <w:p w14:paraId="33B4FB36" w14:textId="4C26539B" w:rsidR="008C73C2" w:rsidRPr="000C7A56" w:rsidRDefault="00582D53"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+7</w:t>
            </w:r>
            <w:r w:rsidR="00CA2606" w:rsidRPr="000C7A56">
              <w:rPr>
                <w:rFonts w:asciiTheme="minorHAnsi" w:hAnsiTheme="minorHAnsi"/>
                <w:b/>
                <w:sz w:val="16"/>
              </w:rPr>
              <w:t>2</w:t>
            </w:r>
            <w:r w:rsidRPr="000C7A56">
              <w:rPr>
                <w:rFonts w:asciiTheme="minorHAnsi" w:hAnsiTheme="minorHAnsi"/>
                <w:b/>
                <w:sz w:val="16"/>
              </w:rPr>
              <w:t>%</w:t>
            </w:r>
          </w:p>
        </w:tc>
        <w:tc>
          <w:tcPr>
            <w:tcW w:w="0" w:type="auto"/>
            <w:shd w:val="clear" w:color="auto" w:fill="F2F2F2" w:themeFill="background1" w:themeFillShade="F2"/>
            <w:tcMar>
              <w:left w:w="45" w:type="dxa"/>
              <w:right w:w="45" w:type="dxa"/>
            </w:tcMar>
          </w:tcPr>
          <w:p w14:paraId="411620FB" w14:textId="75623E4B" w:rsidR="008C73C2" w:rsidRPr="000C7A56" w:rsidRDefault="00AA0C58" w:rsidP="00AA0C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35"/>
              </w:tabs>
              <w:jc w:val="right"/>
              <w:rPr>
                <w:rFonts w:asciiTheme="minorHAnsi" w:hAnsiTheme="minorHAnsi"/>
                <w:b/>
                <w:sz w:val="16"/>
              </w:rPr>
            </w:pPr>
            <w:r w:rsidRPr="000C7A56">
              <w:rPr>
                <w:rFonts w:asciiTheme="minorHAnsi" w:hAnsiTheme="minorHAnsi"/>
                <w:b/>
                <w:sz w:val="16"/>
              </w:rPr>
              <w:t>1,4</w:t>
            </w:r>
            <w:r w:rsidR="00CA2606" w:rsidRPr="000C7A56">
              <w:rPr>
                <w:rFonts w:asciiTheme="minorHAnsi" w:hAnsiTheme="minorHAnsi"/>
                <w:b/>
                <w:sz w:val="16"/>
              </w:rPr>
              <w:t>90</w:t>
            </w:r>
          </w:p>
        </w:tc>
        <w:tc>
          <w:tcPr>
            <w:tcW w:w="0" w:type="auto"/>
            <w:shd w:val="clear" w:color="auto" w:fill="F2F2F2" w:themeFill="background1" w:themeFillShade="F2"/>
            <w:tcMar>
              <w:left w:w="45" w:type="dxa"/>
              <w:right w:w="45" w:type="dxa"/>
            </w:tcMar>
          </w:tcPr>
          <w:p w14:paraId="08FC1946" w14:textId="21C24217" w:rsidR="008C73C2" w:rsidRPr="000C7A56" w:rsidRDefault="008C73C2"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1,403</w:t>
            </w:r>
          </w:p>
        </w:tc>
        <w:tc>
          <w:tcPr>
            <w:tcW w:w="0" w:type="auto"/>
            <w:shd w:val="clear" w:color="auto" w:fill="F2F2F2" w:themeFill="background1" w:themeFillShade="F2"/>
            <w:tcMar>
              <w:left w:w="45" w:type="dxa"/>
              <w:right w:w="45" w:type="dxa"/>
            </w:tcMar>
          </w:tcPr>
          <w:p w14:paraId="4A624EF9" w14:textId="7B39B877" w:rsidR="008C73C2" w:rsidRPr="000C7A56" w:rsidRDefault="00AA0C58"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+6%</w:t>
            </w:r>
          </w:p>
        </w:tc>
        <w:tc>
          <w:tcPr>
            <w:tcW w:w="0" w:type="auto"/>
            <w:shd w:val="clear" w:color="auto" w:fill="F2F2F2" w:themeFill="background1" w:themeFillShade="F2"/>
            <w:tcMar>
              <w:left w:w="45" w:type="dxa"/>
              <w:right w:w="45" w:type="dxa"/>
            </w:tcMar>
          </w:tcPr>
          <w:p w14:paraId="387C774E" w14:textId="559155D7" w:rsidR="008C73C2" w:rsidRPr="000C7A56" w:rsidRDefault="001151F5" w:rsidP="008C73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+6%</w:t>
            </w:r>
          </w:p>
        </w:tc>
      </w:tr>
      <w:tr w:rsidR="00E877C8" w:rsidRPr="00D26EB4" w14:paraId="36801796" w14:textId="77777777" w:rsidTr="00EB02EC">
        <w:tc>
          <w:tcPr>
            <w:tcW w:w="0" w:type="auto"/>
            <w:tcMar>
              <w:left w:w="45" w:type="dxa"/>
              <w:right w:w="45" w:type="dxa"/>
            </w:tcMar>
          </w:tcPr>
          <w:p w14:paraId="4E8AE380"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4"/>
                <w:szCs w:val="4"/>
                <w:lang w:eastAsia="en-IE"/>
              </w:rPr>
            </w:pPr>
          </w:p>
        </w:tc>
        <w:tc>
          <w:tcPr>
            <w:tcW w:w="601" w:type="dxa"/>
            <w:shd w:val="clear" w:color="auto" w:fill="F2F2F2" w:themeFill="background1" w:themeFillShade="F2"/>
            <w:tcMar>
              <w:left w:w="45" w:type="dxa"/>
              <w:right w:w="45" w:type="dxa"/>
            </w:tcMar>
          </w:tcPr>
          <w:p w14:paraId="4146839C"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567" w:type="dxa"/>
            <w:shd w:val="clear" w:color="auto" w:fill="F2F2F2" w:themeFill="background1" w:themeFillShade="F2"/>
            <w:tcMar>
              <w:left w:w="45" w:type="dxa"/>
              <w:right w:w="45" w:type="dxa"/>
            </w:tcMar>
          </w:tcPr>
          <w:p w14:paraId="4933D6E8"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09" w:type="dxa"/>
            <w:shd w:val="clear" w:color="auto" w:fill="F2F2F2" w:themeFill="background1" w:themeFillShade="F2"/>
            <w:tcMar>
              <w:left w:w="45" w:type="dxa"/>
              <w:right w:w="45" w:type="dxa"/>
            </w:tcMar>
          </w:tcPr>
          <w:p w14:paraId="64C856F3"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567" w:type="dxa"/>
            <w:tcMar>
              <w:left w:w="45" w:type="dxa"/>
              <w:right w:w="45" w:type="dxa"/>
            </w:tcMar>
          </w:tcPr>
          <w:p w14:paraId="74BC8BDB"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4"/>
              </w:rPr>
            </w:pPr>
          </w:p>
        </w:tc>
        <w:tc>
          <w:tcPr>
            <w:tcW w:w="709" w:type="dxa"/>
            <w:tcMar>
              <w:left w:w="45" w:type="dxa"/>
              <w:right w:w="45" w:type="dxa"/>
            </w:tcMar>
          </w:tcPr>
          <w:p w14:paraId="004E39C3"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21" w:type="dxa"/>
            <w:tcMar>
              <w:left w:w="45" w:type="dxa"/>
              <w:right w:w="45" w:type="dxa"/>
            </w:tcMar>
          </w:tcPr>
          <w:p w14:paraId="540AA237"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21" w:type="dxa"/>
            <w:tcMar>
              <w:left w:w="45" w:type="dxa"/>
              <w:right w:w="45" w:type="dxa"/>
            </w:tcMar>
          </w:tcPr>
          <w:p w14:paraId="36FDF08C"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4"/>
              </w:rPr>
            </w:pPr>
          </w:p>
        </w:tc>
        <w:tc>
          <w:tcPr>
            <w:tcW w:w="0" w:type="auto"/>
            <w:shd w:val="clear" w:color="auto" w:fill="F2F2F2" w:themeFill="background1" w:themeFillShade="F2"/>
            <w:tcMar>
              <w:left w:w="45" w:type="dxa"/>
              <w:right w:w="45" w:type="dxa"/>
            </w:tcMar>
          </w:tcPr>
          <w:p w14:paraId="4702078C"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4"/>
              </w:rPr>
            </w:pPr>
          </w:p>
        </w:tc>
        <w:tc>
          <w:tcPr>
            <w:tcW w:w="0" w:type="auto"/>
            <w:shd w:val="clear" w:color="auto" w:fill="F2F2F2" w:themeFill="background1" w:themeFillShade="F2"/>
            <w:tcMar>
              <w:left w:w="45" w:type="dxa"/>
              <w:right w:w="45" w:type="dxa"/>
            </w:tcMar>
          </w:tcPr>
          <w:p w14:paraId="33E853C9"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72E31C42"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585" w:type="dxa"/>
            <w:tcMar>
              <w:left w:w="45" w:type="dxa"/>
              <w:right w:w="45" w:type="dxa"/>
            </w:tcMar>
          </w:tcPr>
          <w:p w14:paraId="0DC012CE"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4"/>
              </w:rPr>
            </w:pPr>
          </w:p>
        </w:tc>
        <w:tc>
          <w:tcPr>
            <w:tcW w:w="567" w:type="dxa"/>
            <w:tcMar>
              <w:left w:w="45" w:type="dxa"/>
              <w:right w:w="45" w:type="dxa"/>
            </w:tcMar>
          </w:tcPr>
          <w:p w14:paraId="1C9E2202"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09" w:type="dxa"/>
            <w:tcMar>
              <w:left w:w="45" w:type="dxa"/>
              <w:right w:w="45" w:type="dxa"/>
            </w:tcMar>
          </w:tcPr>
          <w:p w14:paraId="798B70E7"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4"/>
              </w:rPr>
            </w:pPr>
          </w:p>
        </w:tc>
        <w:tc>
          <w:tcPr>
            <w:tcW w:w="838" w:type="dxa"/>
            <w:tcMar>
              <w:left w:w="45" w:type="dxa"/>
              <w:right w:w="45" w:type="dxa"/>
            </w:tcMar>
          </w:tcPr>
          <w:p w14:paraId="75774760"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7BFA18A5" w14:textId="77777777" w:rsidR="00EB02EC" w:rsidRPr="00D26EB4" w:rsidRDefault="00EB02EC"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35"/>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44906C00"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738C11CA"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5F9371C2"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r>
      <w:tr w:rsidR="00E877C8" w:rsidRPr="00D26EB4" w14:paraId="2FD56D19" w14:textId="77777777" w:rsidTr="00EB02EC">
        <w:tc>
          <w:tcPr>
            <w:tcW w:w="0" w:type="auto"/>
            <w:tcMar>
              <w:left w:w="45" w:type="dxa"/>
              <w:right w:w="45" w:type="dxa"/>
            </w:tcMar>
          </w:tcPr>
          <w:p w14:paraId="3580B777" w14:textId="161E663B"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sz w:val="16"/>
              </w:rPr>
            </w:pPr>
            <w:r w:rsidRPr="000C7A56">
              <w:rPr>
                <w:rFonts w:asciiTheme="minorHAnsi" w:hAnsiTheme="minorHAnsi"/>
                <w:sz w:val="16"/>
              </w:rPr>
              <w:t>Sales &amp; marketing</w:t>
            </w:r>
          </w:p>
        </w:tc>
        <w:tc>
          <w:tcPr>
            <w:tcW w:w="601" w:type="dxa"/>
            <w:shd w:val="clear" w:color="auto" w:fill="F2F2F2" w:themeFill="background1" w:themeFillShade="F2"/>
            <w:tcMar>
              <w:left w:w="45" w:type="dxa"/>
              <w:right w:w="45" w:type="dxa"/>
            </w:tcMar>
          </w:tcPr>
          <w:p w14:paraId="260B0DC0" w14:textId="27449D2F"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(240)</w:t>
            </w:r>
          </w:p>
        </w:tc>
        <w:tc>
          <w:tcPr>
            <w:tcW w:w="567" w:type="dxa"/>
            <w:shd w:val="clear" w:color="auto" w:fill="F2F2F2" w:themeFill="background1" w:themeFillShade="F2"/>
            <w:tcMar>
              <w:left w:w="45" w:type="dxa"/>
              <w:right w:w="45" w:type="dxa"/>
            </w:tcMar>
          </w:tcPr>
          <w:p w14:paraId="111B3719" w14:textId="0E4ECCF3"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(242)</w:t>
            </w:r>
          </w:p>
        </w:tc>
        <w:tc>
          <w:tcPr>
            <w:tcW w:w="709" w:type="dxa"/>
            <w:shd w:val="clear" w:color="auto" w:fill="F2F2F2" w:themeFill="background1" w:themeFillShade="F2"/>
            <w:tcMar>
              <w:left w:w="45" w:type="dxa"/>
              <w:right w:w="45" w:type="dxa"/>
            </w:tcMar>
          </w:tcPr>
          <w:p w14:paraId="5C1D8456" w14:textId="00193496"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-1%</w:t>
            </w:r>
          </w:p>
        </w:tc>
        <w:tc>
          <w:tcPr>
            <w:tcW w:w="567" w:type="dxa"/>
            <w:tcMar>
              <w:left w:w="45" w:type="dxa"/>
              <w:right w:w="45" w:type="dxa"/>
            </w:tcMar>
          </w:tcPr>
          <w:p w14:paraId="736AB14E" w14:textId="62031BB5"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(73)</w:t>
            </w:r>
          </w:p>
        </w:tc>
        <w:tc>
          <w:tcPr>
            <w:tcW w:w="709" w:type="dxa"/>
            <w:tcMar>
              <w:left w:w="45" w:type="dxa"/>
              <w:right w:w="45" w:type="dxa"/>
            </w:tcMar>
          </w:tcPr>
          <w:p w14:paraId="5F20E3E9" w14:textId="2C4AD7F5"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(82)</w:t>
            </w:r>
          </w:p>
        </w:tc>
        <w:tc>
          <w:tcPr>
            <w:tcW w:w="721" w:type="dxa"/>
            <w:tcMar>
              <w:left w:w="45" w:type="dxa"/>
              <w:right w:w="45" w:type="dxa"/>
            </w:tcMar>
          </w:tcPr>
          <w:p w14:paraId="0BD4551D" w14:textId="4E4B9404"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-11%</w:t>
            </w:r>
          </w:p>
        </w:tc>
        <w:tc>
          <w:tcPr>
            <w:tcW w:w="721" w:type="dxa"/>
            <w:tcMar>
              <w:left w:w="45" w:type="dxa"/>
              <w:right w:w="45" w:type="dxa"/>
            </w:tcMar>
          </w:tcPr>
          <w:p w14:paraId="6BD1E97D" w14:textId="447A3844"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-9%</w:t>
            </w:r>
          </w:p>
        </w:tc>
        <w:tc>
          <w:tcPr>
            <w:tcW w:w="0" w:type="auto"/>
            <w:shd w:val="clear" w:color="auto" w:fill="F2F2F2" w:themeFill="background1" w:themeFillShade="F2"/>
            <w:tcMar>
              <w:left w:w="45" w:type="dxa"/>
              <w:right w:w="45" w:type="dxa"/>
            </w:tcMar>
          </w:tcPr>
          <w:p w14:paraId="6EF743D6" w14:textId="1FCD683D"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(7)</w:t>
            </w:r>
          </w:p>
        </w:tc>
        <w:tc>
          <w:tcPr>
            <w:tcW w:w="0" w:type="auto"/>
            <w:shd w:val="clear" w:color="auto" w:fill="F2F2F2" w:themeFill="background1" w:themeFillShade="F2"/>
            <w:tcMar>
              <w:left w:w="45" w:type="dxa"/>
              <w:right w:w="45" w:type="dxa"/>
            </w:tcMar>
          </w:tcPr>
          <w:p w14:paraId="1EF26A72" w14:textId="2624B65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(7)</w:t>
            </w:r>
          </w:p>
        </w:tc>
        <w:tc>
          <w:tcPr>
            <w:tcW w:w="0" w:type="auto"/>
            <w:shd w:val="clear" w:color="auto" w:fill="F2F2F2" w:themeFill="background1" w:themeFillShade="F2"/>
            <w:tcMar>
              <w:left w:w="45" w:type="dxa"/>
              <w:right w:w="45" w:type="dxa"/>
            </w:tcMar>
          </w:tcPr>
          <w:p w14:paraId="54EA5B13" w14:textId="6973FAB3"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+4%</w:t>
            </w:r>
          </w:p>
        </w:tc>
        <w:tc>
          <w:tcPr>
            <w:tcW w:w="585" w:type="dxa"/>
            <w:tcMar>
              <w:left w:w="45" w:type="dxa"/>
              <w:right w:w="45" w:type="dxa"/>
            </w:tcMar>
          </w:tcPr>
          <w:p w14:paraId="3DB4C291" w14:textId="21658FBA"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(145)</w:t>
            </w:r>
          </w:p>
        </w:tc>
        <w:tc>
          <w:tcPr>
            <w:tcW w:w="567" w:type="dxa"/>
            <w:tcMar>
              <w:left w:w="45" w:type="dxa"/>
              <w:right w:w="45" w:type="dxa"/>
            </w:tcMar>
          </w:tcPr>
          <w:p w14:paraId="5A990645" w14:textId="50479F39"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(75)</w:t>
            </w:r>
          </w:p>
        </w:tc>
        <w:tc>
          <w:tcPr>
            <w:tcW w:w="709" w:type="dxa"/>
            <w:tcMar>
              <w:left w:w="45" w:type="dxa"/>
              <w:right w:w="45" w:type="dxa"/>
            </w:tcMar>
          </w:tcPr>
          <w:p w14:paraId="3B927DDA" w14:textId="66B42093"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+93%</w:t>
            </w:r>
          </w:p>
        </w:tc>
        <w:tc>
          <w:tcPr>
            <w:tcW w:w="838" w:type="dxa"/>
            <w:tcMar>
              <w:left w:w="45" w:type="dxa"/>
              <w:right w:w="45" w:type="dxa"/>
            </w:tcMar>
          </w:tcPr>
          <w:p w14:paraId="7DF2E68A" w14:textId="2752A38F"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+86%</w:t>
            </w:r>
          </w:p>
        </w:tc>
        <w:tc>
          <w:tcPr>
            <w:tcW w:w="0" w:type="auto"/>
            <w:shd w:val="clear" w:color="auto" w:fill="F2F2F2" w:themeFill="background1" w:themeFillShade="F2"/>
            <w:tcMar>
              <w:left w:w="45" w:type="dxa"/>
              <w:right w:w="45" w:type="dxa"/>
            </w:tcMar>
          </w:tcPr>
          <w:p w14:paraId="6A832DDF" w14:textId="28597DF7" w:rsidR="00EB02EC" w:rsidRPr="000C7A56" w:rsidRDefault="00EB02EC"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35"/>
              </w:tabs>
              <w:jc w:val="right"/>
              <w:rPr>
                <w:rFonts w:asciiTheme="minorHAnsi" w:hAnsiTheme="minorHAnsi"/>
                <w:b/>
                <w:sz w:val="16"/>
              </w:rPr>
            </w:pPr>
            <w:r w:rsidRPr="000C7A56">
              <w:rPr>
                <w:rFonts w:asciiTheme="minorHAnsi" w:hAnsiTheme="minorHAnsi"/>
                <w:sz w:val="16"/>
              </w:rPr>
              <w:t>(465)</w:t>
            </w:r>
          </w:p>
        </w:tc>
        <w:tc>
          <w:tcPr>
            <w:tcW w:w="0" w:type="auto"/>
            <w:shd w:val="clear" w:color="auto" w:fill="F2F2F2" w:themeFill="background1" w:themeFillShade="F2"/>
            <w:tcMar>
              <w:left w:w="45" w:type="dxa"/>
              <w:right w:w="45" w:type="dxa"/>
            </w:tcMar>
          </w:tcPr>
          <w:p w14:paraId="4583BA06" w14:textId="0C423E7B"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(406)</w:t>
            </w:r>
          </w:p>
        </w:tc>
        <w:tc>
          <w:tcPr>
            <w:tcW w:w="0" w:type="auto"/>
            <w:shd w:val="clear" w:color="auto" w:fill="F2F2F2" w:themeFill="background1" w:themeFillShade="F2"/>
            <w:tcMar>
              <w:left w:w="45" w:type="dxa"/>
              <w:right w:w="45" w:type="dxa"/>
            </w:tcMar>
          </w:tcPr>
          <w:p w14:paraId="6984553D" w14:textId="6463AEAD"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+15%</w:t>
            </w:r>
          </w:p>
        </w:tc>
        <w:tc>
          <w:tcPr>
            <w:tcW w:w="0" w:type="auto"/>
            <w:shd w:val="clear" w:color="auto" w:fill="F2F2F2" w:themeFill="background1" w:themeFillShade="F2"/>
            <w:tcMar>
              <w:left w:w="45" w:type="dxa"/>
              <w:right w:w="45" w:type="dxa"/>
            </w:tcMar>
          </w:tcPr>
          <w:p w14:paraId="14C6F5EE" w14:textId="5F311350"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sz w:val="16"/>
              </w:rPr>
              <w:t>+14%</w:t>
            </w:r>
          </w:p>
        </w:tc>
      </w:tr>
      <w:tr w:rsidR="00EB02EC" w:rsidRPr="00D26EB4" w14:paraId="3752DF54" w14:textId="77777777" w:rsidTr="00EB02EC">
        <w:tc>
          <w:tcPr>
            <w:tcW w:w="0" w:type="auto"/>
            <w:tcMar>
              <w:left w:w="45" w:type="dxa"/>
              <w:right w:w="45" w:type="dxa"/>
            </w:tcMar>
          </w:tcPr>
          <w:p w14:paraId="0E61DA41" w14:textId="0926FBCA"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Contribution</w:t>
            </w:r>
          </w:p>
        </w:tc>
        <w:tc>
          <w:tcPr>
            <w:tcW w:w="601" w:type="dxa"/>
            <w:shd w:val="clear" w:color="auto" w:fill="F2F2F2" w:themeFill="background1" w:themeFillShade="F2"/>
            <w:tcMar>
              <w:left w:w="45" w:type="dxa"/>
              <w:right w:w="45" w:type="dxa"/>
            </w:tcMar>
          </w:tcPr>
          <w:p w14:paraId="5AFE9C0B" w14:textId="365F9CBC" w:rsidR="00EB02EC" w:rsidRPr="00D26EB4" w:rsidRDefault="00D977AD"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483</w:t>
            </w:r>
          </w:p>
        </w:tc>
        <w:tc>
          <w:tcPr>
            <w:tcW w:w="567" w:type="dxa"/>
            <w:shd w:val="clear" w:color="auto" w:fill="F2F2F2" w:themeFill="background1" w:themeFillShade="F2"/>
            <w:tcMar>
              <w:left w:w="45" w:type="dxa"/>
              <w:right w:w="45" w:type="dxa"/>
            </w:tcMar>
          </w:tcPr>
          <w:p w14:paraId="74B5472E" w14:textId="018D75B8" w:rsidR="00EB02EC" w:rsidRPr="00D26EB4" w:rsidRDefault="00D977AD"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475</w:t>
            </w:r>
          </w:p>
        </w:tc>
        <w:tc>
          <w:tcPr>
            <w:tcW w:w="709" w:type="dxa"/>
            <w:shd w:val="clear" w:color="auto" w:fill="F2F2F2" w:themeFill="background1" w:themeFillShade="F2"/>
            <w:tcMar>
              <w:left w:w="45" w:type="dxa"/>
              <w:right w:w="45" w:type="dxa"/>
            </w:tcMar>
          </w:tcPr>
          <w:p w14:paraId="6978B335" w14:textId="79B68A80" w:rsidR="00EB02EC" w:rsidRPr="00D26EB4" w:rsidRDefault="00D977AD"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+2%</w:t>
            </w:r>
          </w:p>
        </w:tc>
        <w:tc>
          <w:tcPr>
            <w:tcW w:w="567" w:type="dxa"/>
            <w:tcMar>
              <w:left w:w="45" w:type="dxa"/>
              <w:right w:w="45" w:type="dxa"/>
            </w:tcMar>
          </w:tcPr>
          <w:p w14:paraId="567FF010" w14:textId="721E577F" w:rsidR="00EB02EC" w:rsidRPr="00D26EB4" w:rsidRDefault="00D977AD"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191</w:t>
            </w:r>
          </w:p>
        </w:tc>
        <w:tc>
          <w:tcPr>
            <w:tcW w:w="709" w:type="dxa"/>
            <w:tcMar>
              <w:left w:w="45" w:type="dxa"/>
              <w:right w:w="45" w:type="dxa"/>
            </w:tcMar>
          </w:tcPr>
          <w:p w14:paraId="052980AA" w14:textId="53D11EED" w:rsidR="00EB02EC" w:rsidRPr="00D26EB4" w:rsidRDefault="00D977AD"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199</w:t>
            </w:r>
          </w:p>
        </w:tc>
        <w:tc>
          <w:tcPr>
            <w:tcW w:w="721" w:type="dxa"/>
            <w:tcMar>
              <w:left w:w="45" w:type="dxa"/>
              <w:right w:w="45" w:type="dxa"/>
            </w:tcMar>
          </w:tcPr>
          <w:p w14:paraId="2439ADFC" w14:textId="6ACA16A7" w:rsidR="00EB02EC" w:rsidRPr="00D26EB4" w:rsidRDefault="00D977AD"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-4%</w:t>
            </w:r>
          </w:p>
        </w:tc>
        <w:tc>
          <w:tcPr>
            <w:tcW w:w="721" w:type="dxa"/>
            <w:tcMar>
              <w:left w:w="45" w:type="dxa"/>
              <w:right w:w="45" w:type="dxa"/>
            </w:tcMar>
          </w:tcPr>
          <w:p w14:paraId="53D4672D" w14:textId="1DE5B15D" w:rsidR="00EB02EC" w:rsidRPr="00D26EB4" w:rsidRDefault="00D977AD"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-1%</w:t>
            </w:r>
          </w:p>
        </w:tc>
        <w:tc>
          <w:tcPr>
            <w:tcW w:w="0" w:type="auto"/>
            <w:shd w:val="clear" w:color="auto" w:fill="F2F2F2" w:themeFill="background1" w:themeFillShade="F2"/>
            <w:tcMar>
              <w:left w:w="45" w:type="dxa"/>
              <w:right w:w="45" w:type="dxa"/>
            </w:tcMar>
          </w:tcPr>
          <w:p w14:paraId="1686FFE5" w14:textId="0A7AF77C" w:rsidR="00EB02EC" w:rsidRPr="00D26EB4" w:rsidRDefault="00D26EB4"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235</w:t>
            </w:r>
          </w:p>
        </w:tc>
        <w:tc>
          <w:tcPr>
            <w:tcW w:w="0" w:type="auto"/>
            <w:shd w:val="clear" w:color="auto" w:fill="F2F2F2" w:themeFill="background1" w:themeFillShade="F2"/>
            <w:tcMar>
              <w:left w:w="45" w:type="dxa"/>
              <w:right w:w="45" w:type="dxa"/>
            </w:tcMar>
          </w:tcPr>
          <w:p w14:paraId="54139FCC" w14:textId="252066AD" w:rsidR="00EB02EC" w:rsidRPr="00D26EB4" w:rsidRDefault="00D26EB4"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252</w:t>
            </w:r>
          </w:p>
        </w:tc>
        <w:tc>
          <w:tcPr>
            <w:tcW w:w="0" w:type="auto"/>
            <w:shd w:val="clear" w:color="auto" w:fill="F2F2F2" w:themeFill="background1" w:themeFillShade="F2"/>
            <w:tcMar>
              <w:left w:w="45" w:type="dxa"/>
              <w:right w:w="45" w:type="dxa"/>
            </w:tcMar>
          </w:tcPr>
          <w:p w14:paraId="0FE64A60" w14:textId="0B02EBFB" w:rsidR="00EB02EC" w:rsidRPr="00D26EB4" w:rsidRDefault="00D26EB4"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-7%</w:t>
            </w:r>
          </w:p>
        </w:tc>
        <w:tc>
          <w:tcPr>
            <w:tcW w:w="585" w:type="dxa"/>
            <w:tcMar>
              <w:left w:w="45" w:type="dxa"/>
              <w:right w:w="45" w:type="dxa"/>
            </w:tcMar>
          </w:tcPr>
          <w:p w14:paraId="10C0029E" w14:textId="5FB129D9" w:rsidR="00EB02EC" w:rsidRPr="00D26EB4" w:rsidRDefault="00D977AD"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115</w:t>
            </w:r>
          </w:p>
        </w:tc>
        <w:tc>
          <w:tcPr>
            <w:tcW w:w="567" w:type="dxa"/>
            <w:tcMar>
              <w:left w:w="45" w:type="dxa"/>
              <w:right w:w="45" w:type="dxa"/>
            </w:tcMar>
          </w:tcPr>
          <w:p w14:paraId="313134A7" w14:textId="3D161696" w:rsidR="00EB02EC" w:rsidRPr="00D26EB4" w:rsidRDefault="00D977AD"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72</w:t>
            </w:r>
          </w:p>
        </w:tc>
        <w:tc>
          <w:tcPr>
            <w:tcW w:w="709" w:type="dxa"/>
            <w:tcMar>
              <w:left w:w="45" w:type="dxa"/>
              <w:right w:w="45" w:type="dxa"/>
            </w:tcMar>
          </w:tcPr>
          <w:p w14:paraId="47BDA88F" w14:textId="0313DB8A" w:rsidR="00EB02EC" w:rsidRPr="00D26EB4" w:rsidRDefault="00D662D8"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Pr>
                <w:rFonts w:asciiTheme="minorHAnsi" w:hAnsiTheme="minorHAnsi" w:cs="Times New Roman"/>
                <w:b/>
                <w:sz w:val="16"/>
                <w:szCs w:val="16"/>
                <w:lang w:eastAsia="en-IE"/>
              </w:rPr>
              <w:t>+</w:t>
            </w:r>
            <w:r w:rsidR="00D977AD" w:rsidRPr="00D26EB4">
              <w:rPr>
                <w:rFonts w:asciiTheme="minorHAnsi" w:hAnsiTheme="minorHAnsi" w:cs="Times New Roman"/>
                <w:b/>
                <w:sz w:val="16"/>
                <w:szCs w:val="16"/>
                <w:lang w:eastAsia="en-IE"/>
              </w:rPr>
              <w:t>61%</w:t>
            </w:r>
          </w:p>
        </w:tc>
        <w:tc>
          <w:tcPr>
            <w:tcW w:w="838" w:type="dxa"/>
            <w:tcMar>
              <w:left w:w="45" w:type="dxa"/>
              <w:right w:w="45" w:type="dxa"/>
            </w:tcMar>
          </w:tcPr>
          <w:p w14:paraId="51F85123" w14:textId="2BD9EA17" w:rsidR="00EB02EC" w:rsidRPr="00D26EB4" w:rsidRDefault="00D662D8"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Pr>
                <w:rFonts w:asciiTheme="minorHAnsi" w:hAnsiTheme="minorHAnsi" w:cs="Times New Roman"/>
                <w:b/>
                <w:sz w:val="16"/>
                <w:szCs w:val="16"/>
                <w:lang w:eastAsia="en-IE"/>
              </w:rPr>
              <w:t>+</w:t>
            </w:r>
            <w:r w:rsidR="00D977AD" w:rsidRPr="00D26EB4">
              <w:rPr>
                <w:rFonts w:asciiTheme="minorHAnsi" w:hAnsiTheme="minorHAnsi" w:cs="Times New Roman"/>
                <w:b/>
                <w:sz w:val="16"/>
                <w:szCs w:val="16"/>
                <w:lang w:eastAsia="en-IE"/>
              </w:rPr>
              <w:t>57%</w:t>
            </w:r>
          </w:p>
        </w:tc>
        <w:tc>
          <w:tcPr>
            <w:tcW w:w="0" w:type="auto"/>
            <w:shd w:val="clear" w:color="auto" w:fill="F2F2F2" w:themeFill="background1" w:themeFillShade="F2"/>
            <w:tcMar>
              <w:left w:w="45" w:type="dxa"/>
              <w:right w:w="45" w:type="dxa"/>
            </w:tcMar>
          </w:tcPr>
          <w:p w14:paraId="3E4D87BA" w14:textId="0EC07C40"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35"/>
              </w:tabs>
              <w:jc w:val="right"/>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1,025</w:t>
            </w:r>
          </w:p>
        </w:tc>
        <w:tc>
          <w:tcPr>
            <w:tcW w:w="0" w:type="auto"/>
            <w:shd w:val="clear" w:color="auto" w:fill="F2F2F2" w:themeFill="background1" w:themeFillShade="F2"/>
            <w:tcMar>
              <w:left w:w="45" w:type="dxa"/>
              <w:right w:w="45" w:type="dxa"/>
            </w:tcMar>
          </w:tcPr>
          <w:p w14:paraId="3F5CC682" w14:textId="4B344AB9"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997</w:t>
            </w:r>
          </w:p>
        </w:tc>
        <w:tc>
          <w:tcPr>
            <w:tcW w:w="0" w:type="auto"/>
            <w:shd w:val="clear" w:color="auto" w:fill="F2F2F2" w:themeFill="background1" w:themeFillShade="F2"/>
            <w:tcMar>
              <w:left w:w="45" w:type="dxa"/>
              <w:right w:w="45" w:type="dxa"/>
            </w:tcMar>
          </w:tcPr>
          <w:p w14:paraId="65383E31" w14:textId="78FA0731"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b/>
                <w:sz w:val="16"/>
                <w:szCs w:val="16"/>
                <w:lang w:eastAsia="en-IE"/>
              </w:rPr>
              <w:t>+3%</w:t>
            </w:r>
          </w:p>
        </w:tc>
        <w:tc>
          <w:tcPr>
            <w:tcW w:w="0" w:type="auto"/>
            <w:shd w:val="clear" w:color="auto" w:fill="F2F2F2" w:themeFill="background1" w:themeFillShade="F2"/>
            <w:tcMar>
              <w:left w:w="45" w:type="dxa"/>
              <w:right w:w="45" w:type="dxa"/>
            </w:tcMar>
          </w:tcPr>
          <w:p w14:paraId="39B6DD41" w14:textId="22C5E2C5" w:rsidR="00EB02EC" w:rsidRPr="00D26EB4" w:rsidRDefault="00D662D8"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Pr>
                <w:rFonts w:asciiTheme="minorHAnsi" w:hAnsiTheme="minorHAnsi" w:cs="Times New Roman"/>
                <w:b/>
                <w:sz w:val="16"/>
                <w:szCs w:val="16"/>
                <w:lang w:eastAsia="en-IE"/>
              </w:rPr>
              <w:t>+3</w:t>
            </w:r>
            <w:r w:rsidR="00EB02EC" w:rsidRPr="00D26EB4">
              <w:rPr>
                <w:rFonts w:asciiTheme="minorHAnsi" w:hAnsiTheme="minorHAnsi" w:cs="Times New Roman"/>
                <w:b/>
                <w:sz w:val="16"/>
                <w:szCs w:val="16"/>
                <w:lang w:eastAsia="en-IE"/>
              </w:rPr>
              <w:t>%</w:t>
            </w:r>
          </w:p>
        </w:tc>
      </w:tr>
      <w:tr w:rsidR="00EB02EC" w:rsidRPr="00D26EB4" w14:paraId="10581E2F" w14:textId="77777777" w:rsidTr="00EB02EC">
        <w:tc>
          <w:tcPr>
            <w:tcW w:w="0" w:type="auto"/>
            <w:tcMar>
              <w:left w:w="45" w:type="dxa"/>
              <w:right w:w="45" w:type="dxa"/>
            </w:tcMar>
          </w:tcPr>
          <w:p w14:paraId="1DFFC1AB"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4"/>
                <w:szCs w:val="4"/>
                <w:lang w:eastAsia="en-IE"/>
              </w:rPr>
            </w:pPr>
          </w:p>
        </w:tc>
        <w:tc>
          <w:tcPr>
            <w:tcW w:w="601" w:type="dxa"/>
            <w:shd w:val="clear" w:color="auto" w:fill="F2F2F2" w:themeFill="background1" w:themeFillShade="F2"/>
            <w:tcMar>
              <w:left w:w="45" w:type="dxa"/>
              <w:right w:w="45" w:type="dxa"/>
            </w:tcMar>
          </w:tcPr>
          <w:p w14:paraId="77B584C0"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567" w:type="dxa"/>
            <w:shd w:val="clear" w:color="auto" w:fill="F2F2F2" w:themeFill="background1" w:themeFillShade="F2"/>
            <w:tcMar>
              <w:left w:w="45" w:type="dxa"/>
              <w:right w:w="45" w:type="dxa"/>
            </w:tcMar>
          </w:tcPr>
          <w:p w14:paraId="09B2AC78"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09" w:type="dxa"/>
            <w:shd w:val="clear" w:color="auto" w:fill="F2F2F2" w:themeFill="background1" w:themeFillShade="F2"/>
            <w:tcMar>
              <w:left w:w="45" w:type="dxa"/>
              <w:right w:w="45" w:type="dxa"/>
            </w:tcMar>
          </w:tcPr>
          <w:p w14:paraId="268F2EAB"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567" w:type="dxa"/>
            <w:tcMar>
              <w:left w:w="45" w:type="dxa"/>
              <w:right w:w="45" w:type="dxa"/>
            </w:tcMar>
          </w:tcPr>
          <w:p w14:paraId="5DFE1D00"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709" w:type="dxa"/>
            <w:tcMar>
              <w:left w:w="45" w:type="dxa"/>
              <w:right w:w="45" w:type="dxa"/>
            </w:tcMar>
          </w:tcPr>
          <w:p w14:paraId="78AB82C1"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21" w:type="dxa"/>
            <w:tcMar>
              <w:left w:w="45" w:type="dxa"/>
              <w:right w:w="45" w:type="dxa"/>
            </w:tcMar>
          </w:tcPr>
          <w:p w14:paraId="66C42CAF"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21" w:type="dxa"/>
            <w:tcMar>
              <w:left w:w="45" w:type="dxa"/>
              <w:right w:w="45" w:type="dxa"/>
            </w:tcMar>
          </w:tcPr>
          <w:p w14:paraId="0EF3181C"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0" w:type="auto"/>
            <w:shd w:val="clear" w:color="auto" w:fill="F2F2F2" w:themeFill="background1" w:themeFillShade="F2"/>
            <w:tcMar>
              <w:left w:w="45" w:type="dxa"/>
              <w:right w:w="45" w:type="dxa"/>
            </w:tcMar>
          </w:tcPr>
          <w:p w14:paraId="1EF0982E"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0" w:type="auto"/>
            <w:shd w:val="clear" w:color="auto" w:fill="F2F2F2" w:themeFill="background1" w:themeFillShade="F2"/>
            <w:tcMar>
              <w:left w:w="45" w:type="dxa"/>
              <w:right w:w="45" w:type="dxa"/>
            </w:tcMar>
          </w:tcPr>
          <w:p w14:paraId="0F0AE46C"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2FE9B031"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585" w:type="dxa"/>
            <w:tcMar>
              <w:left w:w="45" w:type="dxa"/>
              <w:right w:w="45" w:type="dxa"/>
            </w:tcMar>
          </w:tcPr>
          <w:p w14:paraId="3319210B"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567" w:type="dxa"/>
            <w:tcMar>
              <w:left w:w="45" w:type="dxa"/>
              <w:right w:w="45" w:type="dxa"/>
            </w:tcMar>
          </w:tcPr>
          <w:p w14:paraId="66156348"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09" w:type="dxa"/>
            <w:tcMar>
              <w:left w:w="45" w:type="dxa"/>
              <w:right w:w="45" w:type="dxa"/>
            </w:tcMar>
          </w:tcPr>
          <w:p w14:paraId="5D8EBB83"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838" w:type="dxa"/>
            <w:tcMar>
              <w:left w:w="45" w:type="dxa"/>
              <w:right w:w="45" w:type="dxa"/>
            </w:tcMar>
          </w:tcPr>
          <w:p w14:paraId="47BC822E"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25DB06A3"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5E9A7294"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662A9006"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0" w:type="auto"/>
            <w:shd w:val="clear" w:color="auto" w:fill="F2F2F2" w:themeFill="background1" w:themeFillShade="F2"/>
            <w:tcMar>
              <w:left w:w="45" w:type="dxa"/>
              <w:right w:w="45" w:type="dxa"/>
            </w:tcMar>
          </w:tcPr>
          <w:p w14:paraId="09E4247A"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r>
      <w:tr w:rsidR="00E877C8" w:rsidRPr="00D26EB4" w14:paraId="29709253" w14:textId="77777777" w:rsidTr="00EB02EC">
        <w:tc>
          <w:tcPr>
            <w:tcW w:w="0" w:type="auto"/>
            <w:tcMar>
              <w:left w:w="45" w:type="dxa"/>
              <w:right w:w="45" w:type="dxa"/>
            </w:tcMar>
          </w:tcPr>
          <w:p w14:paraId="184AB6EF"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Product &amp; technology</w:t>
            </w:r>
          </w:p>
        </w:tc>
        <w:tc>
          <w:tcPr>
            <w:tcW w:w="601" w:type="dxa"/>
            <w:shd w:val="clear" w:color="auto" w:fill="F2F2F2" w:themeFill="background1" w:themeFillShade="F2"/>
            <w:tcMar>
              <w:left w:w="45" w:type="dxa"/>
              <w:right w:w="45" w:type="dxa"/>
            </w:tcMar>
          </w:tcPr>
          <w:p w14:paraId="0558BAA8" w14:textId="032EE91A"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(99)</w:t>
            </w:r>
          </w:p>
        </w:tc>
        <w:tc>
          <w:tcPr>
            <w:tcW w:w="567" w:type="dxa"/>
            <w:shd w:val="clear" w:color="auto" w:fill="F2F2F2" w:themeFill="background1" w:themeFillShade="F2"/>
            <w:tcMar>
              <w:left w:w="45" w:type="dxa"/>
              <w:right w:w="45" w:type="dxa"/>
            </w:tcMar>
          </w:tcPr>
          <w:p w14:paraId="37FD6B9D" w14:textId="7E27CB3E"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(95)</w:t>
            </w:r>
          </w:p>
        </w:tc>
        <w:tc>
          <w:tcPr>
            <w:tcW w:w="709" w:type="dxa"/>
            <w:shd w:val="clear" w:color="auto" w:fill="F2F2F2" w:themeFill="background1" w:themeFillShade="F2"/>
            <w:tcMar>
              <w:left w:w="45" w:type="dxa"/>
              <w:right w:w="45" w:type="dxa"/>
            </w:tcMar>
          </w:tcPr>
          <w:p w14:paraId="101642CD" w14:textId="1E45AE9B"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w:t>
            </w:r>
          </w:p>
        </w:tc>
        <w:tc>
          <w:tcPr>
            <w:tcW w:w="567" w:type="dxa"/>
            <w:tcMar>
              <w:left w:w="45" w:type="dxa"/>
              <w:right w:w="45" w:type="dxa"/>
            </w:tcMar>
          </w:tcPr>
          <w:p w14:paraId="410D6101" w14:textId="7E50BA51"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(21)</w:t>
            </w:r>
          </w:p>
        </w:tc>
        <w:tc>
          <w:tcPr>
            <w:tcW w:w="709" w:type="dxa"/>
            <w:tcMar>
              <w:left w:w="45" w:type="dxa"/>
              <w:right w:w="45" w:type="dxa"/>
            </w:tcMar>
          </w:tcPr>
          <w:p w14:paraId="394F357C" w14:textId="1E4EBE05"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(20)</w:t>
            </w:r>
          </w:p>
        </w:tc>
        <w:tc>
          <w:tcPr>
            <w:tcW w:w="721" w:type="dxa"/>
            <w:tcMar>
              <w:left w:w="45" w:type="dxa"/>
              <w:right w:w="45" w:type="dxa"/>
            </w:tcMar>
          </w:tcPr>
          <w:p w14:paraId="2EC3B2E2" w14:textId="39B12A9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w:t>
            </w:r>
          </w:p>
        </w:tc>
        <w:tc>
          <w:tcPr>
            <w:tcW w:w="721" w:type="dxa"/>
            <w:tcMar>
              <w:left w:w="45" w:type="dxa"/>
              <w:right w:w="45" w:type="dxa"/>
            </w:tcMar>
          </w:tcPr>
          <w:p w14:paraId="24B263F7" w14:textId="5CBBB9C6"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+7%</w:t>
            </w:r>
          </w:p>
        </w:tc>
        <w:tc>
          <w:tcPr>
            <w:tcW w:w="0" w:type="auto"/>
            <w:shd w:val="clear" w:color="auto" w:fill="F2F2F2" w:themeFill="background1" w:themeFillShade="F2"/>
            <w:tcMar>
              <w:left w:w="45" w:type="dxa"/>
              <w:right w:w="45" w:type="dxa"/>
            </w:tcMar>
          </w:tcPr>
          <w:p w14:paraId="6AB1C8BB" w14:textId="110C2E4A"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(6)</w:t>
            </w:r>
          </w:p>
        </w:tc>
        <w:tc>
          <w:tcPr>
            <w:tcW w:w="0" w:type="auto"/>
            <w:shd w:val="clear" w:color="auto" w:fill="F2F2F2" w:themeFill="background1" w:themeFillShade="F2"/>
            <w:tcMar>
              <w:left w:w="45" w:type="dxa"/>
              <w:right w:w="45" w:type="dxa"/>
            </w:tcMar>
          </w:tcPr>
          <w:p w14:paraId="416E8B25" w14:textId="57018B9B"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(6)</w:t>
            </w:r>
          </w:p>
        </w:tc>
        <w:tc>
          <w:tcPr>
            <w:tcW w:w="0" w:type="auto"/>
            <w:shd w:val="clear" w:color="auto" w:fill="F2F2F2" w:themeFill="background1" w:themeFillShade="F2"/>
            <w:tcMar>
              <w:left w:w="45" w:type="dxa"/>
              <w:right w:w="45" w:type="dxa"/>
            </w:tcMar>
          </w:tcPr>
          <w:p w14:paraId="48DCE2C8" w14:textId="047F6C04"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w:t>
            </w:r>
          </w:p>
        </w:tc>
        <w:tc>
          <w:tcPr>
            <w:tcW w:w="585" w:type="dxa"/>
            <w:tcMar>
              <w:left w:w="45" w:type="dxa"/>
              <w:right w:w="45" w:type="dxa"/>
            </w:tcMar>
          </w:tcPr>
          <w:p w14:paraId="5CF4F26A" w14:textId="53F7448F"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(44)</w:t>
            </w:r>
          </w:p>
        </w:tc>
        <w:tc>
          <w:tcPr>
            <w:tcW w:w="567" w:type="dxa"/>
            <w:tcMar>
              <w:left w:w="45" w:type="dxa"/>
              <w:right w:w="45" w:type="dxa"/>
            </w:tcMar>
          </w:tcPr>
          <w:p w14:paraId="3C04AB98" w14:textId="568D2C09"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(23)</w:t>
            </w:r>
          </w:p>
        </w:tc>
        <w:tc>
          <w:tcPr>
            <w:tcW w:w="709" w:type="dxa"/>
            <w:tcMar>
              <w:left w:w="45" w:type="dxa"/>
              <w:right w:w="45" w:type="dxa"/>
            </w:tcMar>
          </w:tcPr>
          <w:p w14:paraId="1A37ACF4" w14:textId="6AC91AE4"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+90%</w:t>
            </w:r>
          </w:p>
        </w:tc>
        <w:tc>
          <w:tcPr>
            <w:tcW w:w="838" w:type="dxa"/>
            <w:tcMar>
              <w:left w:w="45" w:type="dxa"/>
              <w:right w:w="45" w:type="dxa"/>
            </w:tcMar>
          </w:tcPr>
          <w:p w14:paraId="64F2D219" w14:textId="344F8DC3"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+83%</w:t>
            </w:r>
          </w:p>
        </w:tc>
        <w:tc>
          <w:tcPr>
            <w:tcW w:w="0" w:type="auto"/>
            <w:shd w:val="clear" w:color="auto" w:fill="F2F2F2" w:themeFill="background1" w:themeFillShade="F2"/>
            <w:tcMar>
              <w:left w:w="45" w:type="dxa"/>
              <w:right w:w="45" w:type="dxa"/>
            </w:tcMar>
          </w:tcPr>
          <w:p w14:paraId="5272F188" w14:textId="0E0B96E1"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(171)</w:t>
            </w:r>
          </w:p>
        </w:tc>
        <w:tc>
          <w:tcPr>
            <w:tcW w:w="0" w:type="auto"/>
            <w:shd w:val="clear" w:color="auto" w:fill="F2F2F2" w:themeFill="background1" w:themeFillShade="F2"/>
            <w:tcMar>
              <w:left w:w="45" w:type="dxa"/>
              <w:right w:w="45" w:type="dxa"/>
            </w:tcMar>
          </w:tcPr>
          <w:p w14:paraId="1EA8D031" w14:textId="4F83BC62"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(144)</w:t>
            </w:r>
          </w:p>
        </w:tc>
        <w:tc>
          <w:tcPr>
            <w:tcW w:w="0" w:type="auto"/>
            <w:shd w:val="clear" w:color="auto" w:fill="F2F2F2" w:themeFill="background1" w:themeFillShade="F2"/>
            <w:tcMar>
              <w:left w:w="45" w:type="dxa"/>
              <w:right w:w="45" w:type="dxa"/>
            </w:tcMar>
          </w:tcPr>
          <w:p w14:paraId="4D479CD9" w14:textId="79798BF1"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+19%</w:t>
            </w:r>
          </w:p>
        </w:tc>
        <w:tc>
          <w:tcPr>
            <w:tcW w:w="0" w:type="auto"/>
            <w:shd w:val="clear" w:color="auto" w:fill="F2F2F2" w:themeFill="background1" w:themeFillShade="F2"/>
            <w:tcMar>
              <w:left w:w="45" w:type="dxa"/>
              <w:right w:w="45" w:type="dxa"/>
            </w:tcMar>
          </w:tcPr>
          <w:p w14:paraId="4F5921C0" w14:textId="7C64F1F2"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+19%</w:t>
            </w:r>
          </w:p>
        </w:tc>
      </w:tr>
      <w:tr w:rsidR="00E877C8" w:rsidRPr="00D26EB4" w14:paraId="3ED480FB" w14:textId="77777777" w:rsidTr="00EB02EC">
        <w:tc>
          <w:tcPr>
            <w:tcW w:w="0" w:type="auto"/>
            <w:tcMar>
              <w:left w:w="45" w:type="dxa"/>
              <w:right w:w="45" w:type="dxa"/>
            </w:tcMar>
          </w:tcPr>
          <w:p w14:paraId="5EAA503E"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Operations</w:t>
            </w:r>
          </w:p>
        </w:tc>
        <w:tc>
          <w:tcPr>
            <w:tcW w:w="601" w:type="dxa"/>
            <w:shd w:val="clear" w:color="auto" w:fill="F2F2F2" w:themeFill="background1" w:themeFillShade="F2"/>
            <w:tcMar>
              <w:left w:w="45" w:type="dxa"/>
              <w:right w:w="45" w:type="dxa"/>
            </w:tcMar>
          </w:tcPr>
          <w:p w14:paraId="46D54F69" w14:textId="28D2C662"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(76)</w:t>
            </w:r>
          </w:p>
        </w:tc>
        <w:tc>
          <w:tcPr>
            <w:tcW w:w="567" w:type="dxa"/>
            <w:shd w:val="clear" w:color="auto" w:fill="F2F2F2" w:themeFill="background1" w:themeFillShade="F2"/>
            <w:tcMar>
              <w:left w:w="45" w:type="dxa"/>
              <w:right w:w="45" w:type="dxa"/>
            </w:tcMar>
          </w:tcPr>
          <w:p w14:paraId="005456C6" w14:textId="57ACFF29"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(64)</w:t>
            </w:r>
          </w:p>
        </w:tc>
        <w:tc>
          <w:tcPr>
            <w:tcW w:w="709" w:type="dxa"/>
            <w:shd w:val="clear" w:color="auto" w:fill="F2F2F2" w:themeFill="background1" w:themeFillShade="F2"/>
            <w:tcMar>
              <w:left w:w="45" w:type="dxa"/>
              <w:right w:w="45" w:type="dxa"/>
            </w:tcMar>
          </w:tcPr>
          <w:p w14:paraId="3E91A56C" w14:textId="39117532"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+20%</w:t>
            </w:r>
          </w:p>
        </w:tc>
        <w:tc>
          <w:tcPr>
            <w:tcW w:w="567" w:type="dxa"/>
            <w:tcMar>
              <w:left w:w="45" w:type="dxa"/>
              <w:right w:w="45" w:type="dxa"/>
            </w:tcMar>
          </w:tcPr>
          <w:p w14:paraId="7484029D" w14:textId="6DC9BF9A"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(45)</w:t>
            </w:r>
          </w:p>
        </w:tc>
        <w:tc>
          <w:tcPr>
            <w:tcW w:w="709" w:type="dxa"/>
            <w:tcMar>
              <w:left w:w="45" w:type="dxa"/>
              <w:right w:w="45" w:type="dxa"/>
            </w:tcMar>
          </w:tcPr>
          <w:p w14:paraId="07653C39" w14:textId="1FEE5769"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(42)</w:t>
            </w:r>
          </w:p>
        </w:tc>
        <w:tc>
          <w:tcPr>
            <w:tcW w:w="721" w:type="dxa"/>
            <w:tcMar>
              <w:left w:w="45" w:type="dxa"/>
              <w:right w:w="45" w:type="dxa"/>
            </w:tcMar>
          </w:tcPr>
          <w:p w14:paraId="51C3FB7F" w14:textId="6FC858E0"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+7%</w:t>
            </w:r>
          </w:p>
        </w:tc>
        <w:tc>
          <w:tcPr>
            <w:tcW w:w="721" w:type="dxa"/>
            <w:tcMar>
              <w:left w:w="45" w:type="dxa"/>
              <w:right w:w="45" w:type="dxa"/>
            </w:tcMar>
          </w:tcPr>
          <w:p w14:paraId="66941818" w14:textId="740672CC"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+10%</w:t>
            </w:r>
          </w:p>
        </w:tc>
        <w:tc>
          <w:tcPr>
            <w:tcW w:w="0" w:type="auto"/>
            <w:shd w:val="clear" w:color="auto" w:fill="F2F2F2" w:themeFill="background1" w:themeFillShade="F2"/>
            <w:tcMar>
              <w:left w:w="45" w:type="dxa"/>
              <w:right w:w="45" w:type="dxa"/>
            </w:tcMar>
          </w:tcPr>
          <w:p w14:paraId="5A6D2C34" w14:textId="40376FCF"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(175)</w:t>
            </w:r>
          </w:p>
        </w:tc>
        <w:tc>
          <w:tcPr>
            <w:tcW w:w="0" w:type="auto"/>
            <w:shd w:val="clear" w:color="auto" w:fill="F2F2F2" w:themeFill="background1" w:themeFillShade="F2"/>
            <w:tcMar>
              <w:left w:w="45" w:type="dxa"/>
              <w:right w:w="45" w:type="dxa"/>
            </w:tcMar>
          </w:tcPr>
          <w:p w14:paraId="2945BEC7" w14:textId="7ED7BDFC"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(174)</w:t>
            </w:r>
          </w:p>
        </w:tc>
        <w:tc>
          <w:tcPr>
            <w:tcW w:w="0" w:type="auto"/>
            <w:shd w:val="clear" w:color="auto" w:fill="F2F2F2" w:themeFill="background1" w:themeFillShade="F2"/>
            <w:tcMar>
              <w:left w:w="45" w:type="dxa"/>
              <w:right w:w="45" w:type="dxa"/>
            </w:tcMar>
          </w:tcPr>
          <w:p w14:paraId="73B4A3BE" w14:textId="7E4ABC7B"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w:t>
            </w:r>
          </w:p>
        </w:tc>
        <w:tc>
          <w:tcPr>
            <w:tcW w:w="585" w:type="dxa"/>
            <w:tcMar>
              <w:left w:w="45" w:type="dxa"/>
              <w:right w:w="45" w:type="dxa"/>
            </w:tcMar>
          </w:tcPr>
          <w:p w14:paraId="73FAACDA" w14:textId="366EEBD4"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(112)</w:t>
            </w:r>
          </w:p>
        </w:tc>
        <w:tc>
          <w:tcPr>
            <w:tcW w:w="567" w:type="dxa"/>
            <w:tcMar>
              <w:left w:w="45" w:type="dxa"/>
              <w:right w:w="45" w:type="dxa"/>
            </w:tcMar>
          </w:tcPr>
          <w:p w14:paraId="72C618B5" w14:textId="0C19829E"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(63)</w:t>
            </w:r>
          </w:p>
        </w:tc>
        <w:tc>
          <w:tcPr>
            <w:tcW w:w="709" w:type="dxa"/>
            <w:tcMar>
              <w:left w:w="45" w:type="dxa"/>
              <w:right w:w="45" w:type="dxa"/>
            </w:tcMar>
          </w:tcPr>
          <w:p w14:paraId="34AEDF26" w14:textId="5859F743"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+78%</w:t>
            </w:r>
          </w:p>
        </w:tc>
        <w:tc>
          <w:tcPr>
            <w:tcW w:w="838" w:type="dxa"/>
            <w:tcMar>
              <w:left w:w="45" w:type="dxa"/>
              <w:right w:w="45" w:type="dxa"/>
            </w:tcMar>
          </w:tcPr>
          <w:p w14:paraId="33B39756" w14:textId="6A182671"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+73%</w:t>
            </w:r>
          </w:p>
        </w:tc>
        <w:tc>
          <w:tcPr>
            <w:tcW w:w="0" w:type="auto"/>
            <w:shd w:val="clear" w:color="auto" w:fill="F2F2F2" w:themeFill="background1" w:themeFillShade="F2"/>
            <w:tcMar>
              <w:left w:w="45" w:type="dxa"/>
              <w:right w:w="45" w:type="dxa"/>
            </w:tcMar>
          </w:tcPr>
          <w:p w14:paraId="0BC1929D" w14:textId="3B87B709"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(409)</w:t>
            </w:r>
          </w:p>
        </w:tc>
        <w:tc>
          <w:tcPr>
            <w:tcW w:w="0" w:type="auto"/>
            <w:shd w:val="clear" w:color="auto" w:fill="F2F2F2" w:themeFill="background1" w:themeFillShade="F2"/>
            <w:tcMar>
              <w:left w:w="45" w:type="dxa"/>
              <w:right w:w="45" w:type="dxa"/>
            </w:tcMar>
          </w:tcPr>
          <w:p w14:paraId="1C2258BE" w14:textId="7F055DD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(343)</w:t>
            </w:r>
          </w:p>
        </w:tc>
        <w:tc>
          <w:tcPr>
            <w:tcW w:w="0" w:type="auto"/>
            <w:shd w:val="clear" w:color="auto" w:fill="F2F2F2" w:themeFill="background1" w:themeFillShade="F2"/>
            <w:tcMar>
              <w:left w:w="45" w:type="dxa"/>
              <w:right w:w="45" w:type="dxa"/>
            </w:tcMar>
          </w:tcPr>
          <w:p w14:paraId="6CB34457" w14:textId="6085A304"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+19%</w:t>
            </w:r>
          </w:p>
        </w:tc>
        <w:tc>
          <w:tcPr>
            <w:tcW w:w="0" w:type="auto"/>
            <w:shd w:val="clear" w:color="auto" w:fill="F2F2F2" w:themeFill="background1" w:themeFillShade="F2"/>
            <w:tcMar>
              <w:left w:w="45" w:type="dxa"/>
              <w:right w:w="45" w:type="dxa"/>
            </w:tcMar>
          </w:tcPr>
          <w:p w14:paraId="3451BD36" w14:textId="01CBCCFD"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+19%</w:t>
            </w:r>
          </w:p>
        </w:tc>
      </w:tr>
      <w:tr w:rsidR="00E877C8" w:rsidRPr="00D26EB4" w14:paraId="7B4DCC9B" w14:textId="77777777" w:rsidTr="00EB02EC">
        <w:tc>
          <w:tcPr>
            <w:tcW w:w="0" w:type="auto"/>
            <w:tcMar>
              <w:left w:w="45" w:type="dxa"/>
              <w:right w:w="45" w:type="dxa"/>
            </w:tcMar>
          </w:tcPr>
          <w:p w14:paraId="7964F825"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Unallocated central costs</w:t>
            </w:r>
          </w:p>
        </w:tc>
        <w:tc>
          <w:tcPr>
            <w:tcW w:w="601" w:type="dxa"/>
            <w:shd w:val="clear" w:color="auto" w:fill="F2F2F2" w:themeFill="background1" w:themeFillShade="F2"/>
            <w:tcMar>
              <w:left w:w="45" w:type="dxa"/>
              <w:right w:w="45" w:type="dxa"/>
            </w:tcMar>
          </w:tcPr>
          <w:p w14:paraId="319090EA"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567" w:type="dxa"/>
            <w:shd w:val="clear" w:color="auto" w:fill="F2F2F2" w:themeFill="background1" w:themeFillShade="F2"/>
            <w:tcMar>
              <w:left w:w="45" w:type="dxa"/>
              <w:right w:w="45" w:type="dxa"/>
            </w:tcMar>
          </w:tcPr>
          <w:p w14:paraId="12142306"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709" w:type="dxa"/>
            <w:shd w:val="clear" w:color="auto" w:fill="F2F2F2" w:themeFill="background1" w:themeFillShade="F2"/>
            <w:tcMar>
              <w:left w:w="45" w:type="dxa"/>
              <w:right w:w="45" w:type="dxa"/>
            </w:tcMar>
          </w:tcPr>
          <w:p w14:paraId="299051A2"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highlight w:val="yellow"/>
              </w:rPr>
            </w:pPr>
          </w:p>
        </w:tc>
        <w:tc>
          <w:tcPr>
            <w:tcW w:w="567" w:type="dxa"/>
            <w:tcMar>
              <w:left w:w="45" w:type="dxa"/>
              <w:right w:w="45" w:type="dxa"/>
            </w:tcMar>
          </w:tcPr>
          <w:p w14:paraId="20986D06"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709" w:type="dxa"/>
            <w:tcMar>
              <w:left w:w="45" w:type="dxa"/>
              <w:right w:w="45" w:type="dxa"/>
            </w:tcMar>
          </w:tcPr>
          <w:p w14:paraId="129B495D"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721" w:type="dxa"/>
            <w:tcMar>
              <w:left w:w="45" w:type="dxa"/>
              <w:right w:w="45" w:type="dxa"/>
            </w:tcMar>
          </w:tcPr>
          <w:p w14:paraId="6A5A2184"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721" w:type="dxa"/>
            <w:tcMar>
              <w:left w:w="45" w:type="dxa"/>
              <w:right w:w="45" w:type="dxa"/>
            </w:tcMar>
          </w:tcPr>
          <w:p w14:paraId="1EC4AFA7"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highlight w:val="yellow"/>
              </w:rPr>
            </w:pPr>
          </w:p>
        </w:tc>
        <w:tc>
          <w:tcPr>
            <w:tcW w:w="0" w:type="auto"/>
            <w:shd w:val="clear" w:color="auto" w:fill="F2F2F2" w:themeFill="background1" w:themeFillShade="F2"/>
            <w:tcMar>
              <w:left w:w="45" w:type="dxa"/>
              <w:right w:w="45" w:type="dxa"/>
            </w:tcMar>
          </w:tcPr>
          <w:p w14:paraId="7A936651"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0" w:type="auto"/>
            <w:shd w:val="clear" w:color="auto" w:fill="F2F2F2" w:themeFill="background1" w:themeFillShade="F2"/>
            <w:tcMar>
              <w:left w:w="45" w:type="dxa"/>
              <w:right w:w="45" w:type="dxa"/>
            </w:tcMar>
          </w:tcPr>
          <w:p w14:paraId="03C92AAA"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0" w:type="auto"/>
            <w:shd w:val="clear" w:color="auto" w:fill="F2F2F2" w:themeFill="background1" w:themeFillShade="F2"/>
            <w:tcMar>
              <w:left w:w="45" w:type="dxa"/>
              <w:right w:w="45" w:type="dxa"/>
            </w:tcMar>
          </w:tcPr>
          <w:p w14:paraId="57766B56"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585" w:type="dxa"/>
            <w:tcMar>
              <w:left w:w="45" w:type="dxa"/>
              <w:right w:w="45" w:type="dxa"/>
            </w:tcMar>
          </w:tcPr>
          <w:p w14:paraId="7500A931"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567" w:type="dxa"/>
            <w:tcMar>
              <w:left w:w="45" w:type="dxa"/>
              <w:right w:w="45" w:type="dxa"/>
            </w:tcMar>
          </w:tcPr>
          <w:p w14:paraId="3567ACAB"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709" w:type="dxa"/>
            <w:tcMar>
              <w:left w:w="45" w:type="dxa"/>
              <w:right w:w="45" w:type="dxa"/>
            </w:tcMar>
          </w:tcPr>
          <w:p w14:paraId="6557FD4D"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838" w:type="dxa"/>
            <w:tcMar>
              <w:left w:w="45" w:type="dxa"/>
              <w:right w:w="45" w:type="dxa"/>
            </w:tcMar>
          </w:tcPr>
          <w:p w14:paraId="7B9D635D"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highlight w:val="yellow"/>
              </w:rPr>
            </w:pPr>
          </w:p>
        </w:tc>
        <w:tc>
          <w:tcPr>
            <w:tcW w:w="0" w:type="auto"/>
            <w:shd w:val="clear" w:color="auto" w:fill="F2F2F2" w:themeFill="background1" w:themeFillShade="F2"/>
            <w:tcMar>
              <w:left w:w="45" w:type="dxa"/>
              <w:right w:w="45" w:type="dxa"/>
            </w:tcMar>
          </w:tcPr>
          <w:p w14:paraId="5FF9D24E" w14:textId="0A89D035"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(60)</w:t>
            </w:r>
          </w:p>
        </w:tc>
        <w:tc>
          <w:tcPr>
            <w:tcW w:w="0" w:type="auto"/>
            <w:shd w:val="clear" w:color="auto" w:fill="F2F2F2" w:themeFill="background1" w:themeFillShade="F2"/>
            <w:tcMar>
              <w:left w:w="45" w:type="dxa"/>
              <w:right w:w="45" w:type="dxa"/>
            </w:tcMar>
          </w:tcPr>
          <w:p w14:paraId="0E05ED5B" w14:textId="435C14F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(59)</w:t>
            </w:r>
          </w:p>
        </w:tc>
        <w:tc>
          <w:tcPr>
            <w:tcW w:w="0" w:type="auto"/>
            <w:shd w:val="clear" w:color="auto" w:fill="F2F2F2" w:themeFill="background1" w:themeFillShade="F2"/>
            <w:tcMar>
              <w:left w:w="45" w:type="dxa"/>
              <w:right w:w="45" w:type="dxa"/>
            </w:tcMar>
          </w:tcPr>
          <w:p w14:paraId="146F6892" w14:textId="0283B50B"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w:t>
            </w:r>
          </w:p>
        </w:tc>
        <w:tc>
          <w:tcPr>
            <w:tcW w:w="0" w:type="auto"/>
            <w:shd w:val="clear" w:color="auto" w:fill="F2F2F2" w:themeFill="background1" w:themeFillShade="F2"/>
            <w:tcMar>
              <w:left w:w="45" w:type="dxa"/>
              <w:right w:w="45" w:type="dxa"/>
            </w:tcMar>
          </w:tcPr>
          <w:p w14:paraId="110B5879" w14:textId="11C52425"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w:t>
            </w:r>
          </w:p>
        </w:tc>
      </w:tr>
      <w:tr w:rsidR="00E877C8" w:rsidRPr="00D26EB4" w14:paraId="1DD23716" w14:textId="77777777" w:rsidTr="00EB02EC">
        <w:tc>
          <w:tcPr>
            <w:tcW w:w="0" w:type="auto"/>
            <w:tcMar>
              <w:left w:w="45" w:type="dxa"/>
              <w:right w:w="45" w:type="dxa"/>
            </w:tcMar>
          </w:tcPr>
          <w:p w14:paraId="72AF4E6A" w14:textId="0372156B"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sz w:val="16"/>
              </w:rPr>
            </w:pPr>
            <w:r w:rsidRPr="00D26EB4">
              <w:rPr>
                <w:rFonts w:asciiTheme="minorHAnsi" w:hAnsiTheme="minorHAnsi" w:cs="Times New Roman"/>
                <w:b/>
                <w:sz w:val="16"/>
                <w:szCs w:val="16"/>
                <w:lang w:eastAsia="en-IE"/>
              </w:rPr>
              <w:t>Other operating</w:t>
            </w:r>
            <w:r w:rsidRPr="000C7A56">
              <w:rPr>
                <w:rFonts w:asciiTheme="minorHAnsi" w:hAnsiTheme="minorHAnsi"/>
                <w:b/>
                <w:sz w:val="16"/>
              </w:rPr>
              <w:t xml:space="preserve"> costs</w:t>
            </w:r>
          </w:p>
        </w:tc>
        <w:tc>
          <w:tcPr>
            <w:tcW w:w="601" w:type="dxa"/>
            <w:shd w:val="clear" w:color="auto" w:fill="F2F2F2" w:themeFill="background1" w:themeFillShade="F2"/>
            <w:tcMar>
              <w:left w:w="45" w:type="dxa"/>
              <w:right w:w="45" w:type="dxa"/>
            </w:tcMar>
          </w:tcPr>
          <w:p w14:paraId="4A603F4E" w14:textId="1C997570" w:rsidR="00EB02EC" w:rsidRPr="000C7A56" w:rsidRDefault="00D977AD"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Pr="00D26EB4">
              <w:rPr>
                <w:rFonts w:asciiTheme="minorHAnsi" w:hAnsiTheme="minorHAnsi" w:cs="Times New Roman"/>
                <w:b/>
                <w:sz w:val="16"/>
                <w:szCs w:val="16"/>
                <w:lang w:eastAsia="en-IE"/>
              </w:rPr>
              <w:t>17</w:t>
            </w:r>
            <w:r w:rsidR="00F60704">
              <w:rPr>
                <w:rFonts w:asciiTheme="minorHAnsi" w:hAnsiTheme="minorHAnsi" w:cs="Times New Roman"/>
                <w:b/>
                <w:sz w:val="16"/>
                <w:szCs w:val="16"/>
                <w:lang w:eastAsia="en-IE"/>
              </w:rPr>
              <w:t>6</w:t>
            </w:r>
            <w:r w:rsidR="00EB02EC" w:rsidRPr="000C7A56">
              <w:rPr>
                <w:rFonts w:asciiTheme="minorHAnsi" w:hAnsiTheme="minorHAnsi"/>
                <w:b/>
                <w:sz w:val="16"/>
              </w:rPr>
              <w:t>)</w:t>
            </w:r>
          </w:p>
        </w:tc>
        <w:tc>
          <w:tcPr>
            <w:tcW w:w="567" w:type="dxa"/>
            <w:shd w:val="clear" w:color="auto" w:fill="F2F2F2" w:themeFill="background1" w:themeFillShade="F2"/>
            <w:tcMar>
              <w:left w:w="45" w:type="dxa"/>
              <w:right w:w="45" w:type="dxa"/>
            </w:tcMar>
          </w:tcPr>
          <w:p w14:paraId="6969647B" w14:textId="463B034F"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D977AD" w:rsidRPr="00D26EB4">
              <w:rPr>
                <w:rFonts w:asciiTheme="minorHAnsi" w:hAnsiTheme="minorHAnsi" w:cs="Times New Roman"/>
                <w:b/>
                <w:sz w:val="16"/>
                <w:szCs w:val="16"/>
                <w:lang w:eastAsia="en-IE"/>
              </w:rPr>
              <w:t>15</w:t>
            </w:r>
            <w:r w:rsidR="00D662D8">
              <w:rPr>
                <w:rFonts w:asciiTheme="minorHAnsi" w:hAnsiTheme="minorHAnsi" w:cs="Times New Roman"/>
                <w:b/>
                <w:sz w:val="16"/>
                <w:szCs w:val="16"/>
                <w:lang w:eastAsia="en-IE"/>
              </w:rPr>
              <w:t>8</w:t>
            </w:r>
            <w:r w:rsidRPr="000C7A56">
              <w:rPr>
                <w:rFonts w:asciiTheme="minorHAnsi" w:hAnsiTheme="minorHAnsi"/>
                <w:b/>
                <w:sz w:val="16"/>
              </w:rPr>
              <w:t>)</w:t>
            </w:r>
          </w:p>
        </w:tc>
        <w:tc>
          <w:tcPr>
            <w:tcW w:w="709" w:type="dxa"/>
            <w:shd w:val="clear" w:color="auto" w:fill="F2F2F2" w:themeFill="background1" w:themeFillShade="F2"/>
            <w:tcMar>
              <w:left w:w="45" w:type="dxa"/>
              <w:right w:w="45" w:type="dxa"/>
            </w:tcMar>
          </w:tcPr>
          <w:p w14:paraId="0B40B806" w14:textId="235D07BE"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D977AD" w:rsidRPr="00D26EB4">
              <w:rPr>
                <w:rFonts w:asciiTheme="minorHAnsi" w:hAnsiTheme="minorHAnsi" w:cs="Times New Roman"/>
                <w:b/>
                <w:sz w:val="16"/>
                <w:szCs w:val="16"/>
                <w:lang w:eastAsia="en-IE"/>
              </w:rPr>
              <w:t>11</w:t>
            </w:r>
            <w:r w:rsidRPr="000C7A56">
              <w:rPr>
                <w:rFonts w:asciiTheme="minorHAnsi" w:hAnsiTheme="minorHAnsi"/>
                <w:b/>
                <w:sz w:val="16"/>
              </w:rPr>
              <w:t>%</w:t>
            </w:r>
          </w:p>
        </w:tc>
        <w:tc>
          <w:tcPr>
            <w:tcW w:w="567" w:type="dxa"/>
            <w:tcMar>
              <w:left w:w="45" w:type="dxa"/>
              <w:right w:w="45" w:type="dxa"/>
            </w:tcMar>
          </w:tcPr>
          <w:p w14:paraId="4CE082E3" w14:textId="42FEC0CA"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D977AD" w:rsidRPr="00D26EB4">
              <w:rPr>
                <w:rFonts w:asciiTheme="minorHAnsi" w:hAnsiTheme="minorHAnsi" w:cs="Times New Roman"/>
                <w:b/>
                <w:sz w:val="16"/>
                <w:szCs w:val="16"/>
                <w:lang w:eastAsia="en-IE"/>
              </w:rPr>
              <w:t>67</w:t>
            </w:r>
            <w:r w:rsidRPr="000C7A56">
              <w:rPr>
                <w:rFonts w:asciiTheme="minorHAnsi" w:hAnsiTheme="minorHAnsi"/>
                <w:b/>
                <w:sz w:val="16"/>
              </w:rPr>
              <w:t>)</w:t>
            </w:r>
          </w:p>
        </w:tc>
        <w:tc>
          <w:tcPr>
            <w:tcW w:w="709" w:type="dxa"/>
            <w:tcMar>
              <w:left w:w="45" w:type="dxa"/>
              <w:right w:w="45" w:type="dxa"/>
            </w:tcMar>
          </w:tcPr>
          <w:p w14:paraId="5C0A2DF5" w14:textId="4236EB23"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D977AD" w:rsidRPr="00D26EB4">
              <w:rPr>
                <w:rFonts w:asciiTheme="minorHAnsi" w:hAnsiTheme="minorHAnsi" w:cs="Times New Roman"/>
                <w:b/>
                <w:sz w:val="16"/>
                <w:szCs w:val="16"/>
                <w:lang w:eastAsia="en-IE"/>
              </w:rPr>
              <w:t>62</w:t>
            </w:r>
            <w:r w:rsidRPr="000C7A56">
              <w:rPr>
                <w:rFonts w:asciiTheme="minorHAnsi" w:hAnsiTheme="minorHAnsi"/>
                <w:b/>
                <w:sz w:val="16"/>
              </w:rPr>
              <w:t>)</w:t>
            </w:r>
          </w:p>
        </w:tc>
        <w:tc>
          <w:tcPr>
            <w:tcW w:w="721" w:type="dxa"/>
            <w:tcMar>
              <w:left w:w="45" w:type="dxa"/>
              <w:right w:w="45" w:type="dxa"/>
            </w:tcMar>
          </w:tcPr>
          <w:p w14:paraId="0D91F4A3" w14:textId="4FE76AD1" w:rsidR="00EB02EC" w:rsidRPr="000C7A56" w:rsidRDefault="00D977AD"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D26EB4">
              <w:rPr>
                <w:rFonts w:asciiTheme="minorHAnsi" w:hAnsiTheme="minorHAnsi" w:cs="Times New Roman"/>
                <w:b/>
                <w:sz w:val="16"/>
                <w:szCs w:val="16"/>
                <w:lang w:eastAsia="en-IE"/>
              </w:rPr>
              <w:t>+7</w:t>
            </w:r>
            <w:r w:rsidRPr="000C7A56">
              <w:rPr>
                <w:rFonts w:asciiTheme="minorHAnsi" w:hAnsiTheme="minorHAnsi"/>
                <w:b/>
                <w:sz w:val="16"/>
              </w:rPr>
              <w:t>%</w:t>
            </w:r>
          </w:p>
        </w:tc>
        <w:tc>
          <w:tcPr>
            <w:tcW w:w="721" w:type="dxa"/>
            <w:tcMar>
              <w:left w:w="45" w:type="dxa"/>
              <w:right w:w="45" w:type="dxa"/>
            </w:tcMar>
          </w:tcPr>
          <w:p w14:paraId="3362C285" w14:textId="7BF9AA3D" w:rsidR="00EB02EC" w:rsidRPr="000C7A56" w:rsidRDefault="00D977AD"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D26EB4">
              <w:rPr>
                <w:rFonts w:asciiTheme="minorHAnsi" w:hAnsiTheme="minorHAnsi" w:cs="Times New Roman"/>
                <w:b/>
                <w:sz w:val="16"/>
                <w:szCs w:val="16"/>
                <w:lang w:eastAsia="en-IE"/>
              </w:rPr>
              <w:t>+9</w:t>
            </w:r>
            <w:r w:rsidR="00EB02EC" w:rsidRPr="000C7A56">
              <w:rPr>
                <w:rFonts w:asciiTheme="minorHAnsi" w:hAnsiTheme="minorHAnsi"/>
                <w:b/>
                <w:sz w:val="16"/>
              </w:rPr>
              <w:t>%</w:t>
            </w:r>
          </w:p>
        </w:tc>
        <w:tc>
          <w:tcPr>
            <w:tcW w:w="0" w:type="auto"/>
            <w:shd w:val="clear" w:color="auto" w:fill="F2F2F2" w:themeFill="background1" w:themeFillShade="F2"/>
            <w:tcMar>
              <w:left w:w="45" w:type="dxa"/>
              <w:right w:w="45" w:type="dxa"/>
            </w:tcMar>
          </w:tcPr>
          <w:p w14:paraId="6ECD2FB8" w14:textId="60FABB53"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(18</w:t>
            </w:r>
            <w:r w:rsidR="00D662D8">
              <w:rPr>
                <w:rFonts w:asciiTheme="minorHAnsi" w:hAnsiTheme="minorHAnsi"/>
                <w:b/>
                <w:sz w:val="16"/>
              </w:rPr>
              <w:t>2</w:t>
            </w:r>
            <w:r w:rsidRPr="000C7A56">
              <w:rPr>
                <w:rFonts w:asciiTheme="minorHAnsi" w:hAnsiTheme="minorHAnsi"/>
                <w:b/>
                <w:sz w:val="16"/>
              </w:rPr>
              <w:t>)</w:t>
            </w:r>
          </w:p>
        </w:tc>
        <w:tc>
          <w:tcPr>
            <w:tcW w:w="0" w:type="auto"/>
            <w:shd w:val="clear" w:color="auto" w:fill="F2F2F2" w:themeFill="background1" w:themeFillShade="F2"/>
            <w:tcMar>
              <w:left w:w="45" w:type="dxa"/>
              <w:right w:w="45" w:type="dxa"/>
            </w:tcMar>
          </w:tcPr>
          <w:p w14:paraId="50ACAA04" w14:textId="0DF13FE3"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(18</w:t>
            </w:r>
            <w:r w:rsidR="00D662D8">
              <w:rPr>
                <w:rFonts w:asciiTheme="minorHAnsi" w:hAnsiTheme="minorHAnsi"/>
                <w:b/>
                <w:sz w:val="16"/>
              </w:rPr>
              <w:t>0</w:t>
            </w:r>
            <w:r w:rsidRPr="000C7A56">
              <w:rPr>
                <w:rFonts w:asciiTheme="minorHAnsi" w:hAnsiTheme="minorHAnsi"/>
                <w:b/>
                <w:sz w:val="16"/>
              </w:rPr>
              <w:t>)</w:t>
            </w:r>
          </w:p>
        </w:tc>
        <w:tc>
          <w:tcPr>
            <w:tcW w:w="0" w:type="auto"/>
            <w:shd w:val="clear" w:color="auto" w:fill="F2F2F2" w:themeFill="background1" w:themeFillShade="F2"/>
            <w:tcMar>
              <w:left w:w="45" w:type="dxa"/>
              <w:right w:w="45" w:type="dxa"/>
            </w:tcMar>
          </w:tcPr>
          <w:p w14:paraId="0B03452E" w14:textId="260A24CE"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w:t>
            </w:r>
          </w:p>
        </w:tc>
        <w:tc>
          <w:tcPr>
            <w:tcW w:w="585" w:type="dxa"/>
            <w:tcMar>
              <w:left w:w="45" w:type="dxa"/>
              <w:right w:w="45" w:type="dxa"/>
            </w:tcMar>
          </w:tcPr>
          <w:p w14:paraId="1781B481" w14:textId="3404EFF4"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D977AD" w:rsidRPr="00D26EB4">
              <w:rPr>
                <w:rFonts w:asciiTheme="minorHAnsi" w:hAnsiTheme="minorHAnsi" w:cs="Times New Roman"/>
                <w:b/>
                <w:sz w:val="16"/>
                <w:szCs w:val="16"/>
                <w:lang w:eastAsia="en-IE"/>
              </w:rPr>
              <w:t>156</w:t>
            </w:r>
            <w:r w:rsidRPr="000C7A56">
              <w:rPr>
                <w:rFonts w:asciiTheme="minorHAnsi" w:hAnsiTheme="minorHAnsi"/>
                <w:b/>
                <w:sz w:val="16"/>
              </w:rPr>
              <w:t>)</w:t>
            </w:r>
          </w:p>
        </w:tc>
        <w:tc>
          <w:tcPr>
            <w:tcW w:w="567" w:type="dxa"/>
            <w:tcMar>
              <w:left w:w="45" w:type="dxa"/>
              <w:right w:w="45" w:type="dxa"/>
            </w:tcMar>
          </w:tcPr>
          <w:p w14:paraId="65F67494" w14:textId="3C763EFB"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D977AD" w:rsidRPr="00D26EB4">
              <w:rPr>
                <w:rFonts w:asciiTheme="minorHAnsi" w:hAnsiTheme="minorHAnsi" w:cs="Times New Roman"/>
                <w:b/>
                <w:sz w:val="16"/>
                <w:szCs w:val="16"/>
                <w:lang w:eastAsia="en-IE"/>
              </w:rPr>
              <w:t>86</w:t>
            </w:r>
            <w:r w:rsidRPr="000C7A56">
              <w:rPr>
                <w:rFonts w:asciiTheme="minorHAnsi" w:hAnsiTheme="minorHAnsi"/>
                <w:b/>
                <w:sz w:val="16"/>
              </w:rPr>
              <w:t>)</w:t>
            </w:r>
          </w:p>
        </w:tc>
        <w:tc>
          <w:tcPr>
            <w:tcW w:w="709" w:type="dxa"/>
            <w:tcMar>
              <w:left w:w="45" w:type="dxa"/>
              <w:right w:w="45" w:type="dxa"/>
            </w:tcMar>
          </w:tcPr>
          <w:p w14:paraId="3AE3490D" w14:textId="7D53E742"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D977AD" w:rsidRPr="00D26EB4">
              <w:rPr>
                <w:rFonts w:asciiTheme="minorHAnsi" w:hAnsiTheme="minorHAnsi" w:cs="Times New Roman"/>
                <w:b/>
                <w:sz w:val="16"/>
                <w:szCs w:val="16"/>
                <w:lang w:eastAsia="en-IE"/>
              </w:rPr>
              <w:t>81</w:t>
            </w:r>
            <w:r w:rsidRPr="000C7A56">
              <w:rPr>
                <w:rFonts w:asciiTheme="minorHAnsi" w:hAnsiTheme="minorHAnsi"/>
                <w:b/>
                <w:sz w:val="16"/>
              </w:rPr>
              <w:t>%</w:t>
            </w:r>
          </w:p>
        </w:tc>
        <w:tc>
          <w:tcPr>
            <w:tcW w:w="838" w:type="dxa"/>
            <w:tcMar>
              <w:left w:w="45" w:type="dxa"/>
              <w:right w:w="45" w:type="dxa"/>
            </w:tcMar>
          </w:tcPr>
          <w:p w14:paraId="3C765828" w14:textId="16DBCB10"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D977AD" w:rsidRPr="00D26EB4">
              <w:rPr>
                <w:rFonts w:asciiTheme="minorHAnsi" w:hAnsiTheme="minorHAnsi" w:cs="Times New Roman"/>
                <w:b/>
                <w:sz w:val="16"/>
                <w:szCs w:val="16"/>
                <w:lang w:eastAsia="en-IE"/>
              </w:rPr>
              <w:t>76</w:t>
            </w:r>
            <w:r w:rsidRPr="000C7A56">
              <w:rPr>
                <w:rFonts w:asciiTheme="minorHAnsi" w:hAnsiTheme="minorHAnsi"/>
                <w:b/>
                <w:sz w:val="16"/>
              </w:rPr>
              <w:t>%</w:t>
            </w:r>
          </w:p>
        </w:tc>
        <w:tc>
          <w:tcPr>
            <w:tcW w:w="0" w:type="auto"/>
            <w:shd w:val="clear" w:color="auto" w:fill="F2F2F2" w:themeFill="background1" w:themeFillShade="F2"/>
            <w:tcMar>
              <w:left w:w="45" w:type="dxa"/>
              <w:right w:w="45" w:type="dxa"/>
            </w:tcMar>
          </w:tcPr>
          <w:p w14:paraId="2320C79B" w14:textId="58906E01"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D977AD" w:rsidRPr="00D26EB4">
              <w:rPr>
                <w:rFonts w:asciiTheme="minorHAnsi" w:hAnsiTheme="minorHAnsi" w:cs="Times New Roman"/>
                <w:b/>
                <w:sz w:val="16"/>
                <w:szCs w:val="16"/>
                <w:lang w:eastAsia="en-IE"/>
              </w:rPr>
              <w:t>639</w:t>
            </w:r>
            <w:r w:rsidRPr="000C7A56">
              <w:rPr>
                <w:rFonts w:asciiTheme="minorHAnsi" w:hAnsiTheme="minorHAnsi"/>
                <w:b/>
                <w:sz w:val="16"/>
              </w:rPr>
              <w:t>)</w:t>
            </w:r>
          </w:p>
        </w:tc>
        <w:tc>
          <w:tcPr>
            <w:tcW w:w="0" w:type="auto"/>
            <w:shd w:val="clear" w:color="auto" w:fill="F2F2F2" w:themeFill="background1" w:themeFillShade="F2"/>
            <w:tcMar>
              <w:left w:w="45" w:type="dxa"/>
              <w:right w:w="45" w:type="dxa"/>
            </w:tcMar>
          </w:tcPr>
          <w:p w14:paraId="3B964D51" w14:textId="37D8FC59"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D977AD" w:rsidRPr="00D26EB4">
              <w:rPr>
                <w:rFonts w:asciiTheme="minorHAnsi" w:hAnsiTheme="minorHAnsi" w:cs="Times New Roman"/>
                <w:b/>
                <w:sz w:val="16"/>
                <w:szCs w:val="16"/>
                <w:lang w:eastAsia="en-IE"/>
              </w:rPr>
              <w:t>546</w:t>
            </w:r>
            <w:r w:rsidRPr="000C7A56">
              <w:rPr>
                <w:rFonts w:asciiTheme="minorHAnsi" w:hAnsiTheme="minorHAnsi"/>
                <w:b/>
                <w:sz w:val="16"/>
              </w:rPr>
              <w:t>)</w:t>
            </w:r>
          </w:p>
        </w:tc>
        <w:tc>
          <w:tcPr>
            <w:tcW w:w="0" w:type="auto"/>
            <w:shd w:val="clear" w:color="auto" w:fill="F2F2F2" w:themeFill="background1" w:themeFillShade="F2"/>
            <w:tcMar>
              <w:left w:w="45" w:type="dxa"/>
              <w:right w:w="45" w:type="dxa"/>
            </w:tcMar>
          </w:tcPr>
          <w:p w14:paraId="1020E542" w14:textId="644C2ABC"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Pr="00D26EB4">
              <w:rPr>
                <w:rFonts w:asciiTheme="minorHAnsi" w:hAnsiTheme="minorHAnsi" w:cs="Times New Roman"/>
                <w:b/>
                <w:sz w:val="16"/>
                <w:szCs w:val="16"/>
                <w:lang w:eastAsia="en-IE"/>
              </w:rPr>
              <w:t>1</w:t>
            </w:r>
            <w:r w:rsidR="00D977AD" w:rsidRPr="00D26EB4">
              <w:rPr>
                <w:rFonts w:asciiTheme="minorHAnsi" w:hAnsiTheme="minorHAnsi" w:cs="Times New Roman"/>
                <w:b/>
                <w:sz w:val="16"/>
                <w:szCs w:val="16"/>
                <w:lang w:eastAsia="en-IE"/>
              </w:rPr>
              <w:t>7</w:t>
            </w:r>
            <w:r w:rsidRPr="000C7A56">
              <w:rPr>
                <w:rFonts w:asciiTheme="minorHAnsi" w:hAnsiTheme="minorHAnsi"/>
                <w:b/>
                <w:sz w:val="16"/>
              </w:rPr>
              <w:t>%</w:t>
            </w:r>
          </w:p>
        </w:tc>
        <w:tc>
          <w:tcPr>
            <w:tcW w:w="0" w:type="auto"/>
            <w:shd w:val="clear" w:color="auto" w:fill="F2F2F2" w:themeFill="background1" w:themeFillShade="F2"/>
            <w:tcMar>
              <w:left w:w="45" w:type="dxa"/>
              <w:right w:w="45" w:type="dxa"/>
            </w:tcMar>
          </w:tcPr>
          <w:p w14:paraId="5907DDBB" w14:textId="59105B3E"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Pr="00D26EB4">
              <w:rPr>
                <w:rFonts w:asciiTheme="minorHAnsi" w:hAnsiTheme="minorHAnsi" w:cs="Times New Roman"/>
                <w:b/>
                <w:sz w:val="16"/>
                <w:szCs w:val="16"/>
                <w:lang w:eastAsia="en-IE"/>
              </w:rPr>
              <w:t>1</w:t>
            </w:r>
            <w:r w:rsidR="00D977AD" w:rsidRPr="00D26EB4">
              <w:rPr>
                <w:rFonts w:asciiTheme="minorHAnsi" w:hAnsiTheme="minorHAnsi" w:cs="Times New Roman"/>
                <w:b/>
                <w:sz w:val="16"/>
                <w:szCs w:val="16"/>
                <w:lang w:eastAsia="en-IE"/>
              </w:rPr>
              <w:t>7</w:t>
            </w:r>
            <w:r w:rsidRPr="000C7A56">
              <w:rPr>
                <w:rFonts w:asciiTheme="minorHAnsi" w:hAnsiTheme="minorHAnsi"/>
                <w:b/>
                <w:sz w:val="16"/>
              </w:rPr>
              <w:t>%</w:t>
            </w:r>
          </w:p>
        </w:tc>
      </w:tr>
      <w:tr w:rsidR="00E877C8" w:rsidRPr="00D26EB4" w14:paraId="34CBC59F" w14:textId="77777777" w:rsidTr="00EB02EC">
        <w:trPr>
          <w:trHeight w:val="70"/>
        </w:trPr>
        <w:tc>
          <w:tcPr>
            <w:tcW w:w="0" w:type="auto"/>
            <w:tcMar>
              <w:left w:w="45" w:type="dxa"/>
              <w:right w:w="45" w:type="dxa"/>
            </w:tcMar>
          </w:tcPr>
          <w:p w14:paraId="24980CE7"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4"/>
                <w:szCs w:val="4"/>
                <w:lang w:eastAsia="en-IE"/>
              </w:rPr>
            </w:pPr>
          </w:p>
        </w:tc>
        <w:tc>
          <w:tcPr>
            <w:tcW w:w="601" w:type="dxa"/>
            <w:shd w:val="clear" w:color="auto" w:fill="F2F2F2" w:themeFill="background1" w:themeFillShade="F2"/>
            <w:tcMar>
              <w:left w:w="45" w:type="dxa"/>
              <w:right w:w="45" w:type="dxa"/>
            </w:tcMar>
          </w:tcPr>
          <w:p w14:paraId="7833BF73"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567" w:type="dxa"/>
            <w:shd w:val="clear" w:color="auto" w:fill="F2F2F2" w:themeFill="background1" w:themeFillShade="F2"/>
            <w:tcMar>
              <w:left w:w="45" w:type="dxa"/>
              <w:right w:w="45" w:type="dxa"/>
            </w:tcMar>
          </w:tcPr>
          <w:p w14:paraId="74448E31"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709" w:type="dxa"/>
            <w:shd w:val="clear" w:color="auto" w:fill="F2F2F2" w:themeFill="background1" w:themeFillShade="F2"/>
            <w:tcMar>
              <w:left w:w="45" w:type="dxa"/>
              <w:right w:w="45" w:type="dxa"/>
            </w:tcMar>
          </w:tcPr>
          <w:p w14:paraId="050FF1E7"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567" w:type="dxa"/>
            <w:tcMar>
              <w:left w:w="45" w:type="dxa"/>
              <w:right w:w="45" w:type="dxa"/>
            </w:tcMar>
          </w:tcPr>
          <w:p w14:paraId="4FBFE762"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709" w:type="dxa"/>
            <w:tcMar>
              <w:left w:w="45" w:type="dxa"/>
              <w:right w:w="45" w:type="dxa"/>
            </w:tcMar>
          </w:tcPr>
          <w:p w14:paraId="101C8AD9"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721" w:type="dxa"/>
            <w:tcMar>
              <w:left w:w="45" w:type="dxa"/>
              <w:right w:w="45" w:type="dxa"/>
            </w:tcMar>
          </w:tcPr>
          <w:p w14:paraId="32075E0E"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highlight w:val="yellow"/>
                <w:lang w:eastAsia="en-IE"/>
              </w:rPr>
            </w:pPr>
          </w:p>
        </w:tc>
        <w:tc>
          <w:tcPr>
            <w:tcW w:w="721" w:type="dxa"/>
            <w:tcMar>
              <w:left w:w="45" w:type="dxa"/>
              <w:right w:w="45" w:type="dxa"/>
            </w:tcMar>
          </w:tcPr>
          <w:p w14:paraId="5FB013E7"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0" w:type="auto"/>
            <w:shd w:val="clear" w:color="auto" w:fill="F2F2F2" w:themeFill="background1" w:themeFillShade="F2"/>
            <w:tcMar>
              <w:left w:w="45" w:type="dxa"/>
              <w:right w:w="45" w:type="dxa"/>
            </w:tcMar>
          </w:tcPr>
          <w:p w14:paraId="00F87670"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0" w:type="auto"/>
            <w:shd w:val="clear" w:color="auto" w:fill="F2F2F2" w:themeFill="background1" w:themeFillShade="F2"/>
            <w:tcMar>
              <w:left w:w="45" w:type="dxa"/>
              <w:right w:w="45" w:type="dxa"/>
            </w:tcMar>
          </w:tcPr>
          <w:p w14:paraId="56E46148"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0" w:type="auto"/>
            <w:shd w:val="clear" w:color="auto" w:fill="F2F2F2" w:themeFill="background1" w:themeFillShade="F2"/>
            <w:tcMar>
              <w:left w:w="45" w:type="dxa"/>
              <w:right w:w="45" w:type="dxa"/>
            </w:tcMar>
          </w:tcPr>
          <w:p w14:paraId="1274E2A6"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highlight w:val="yellow"/>
                <w:lang w:eastAsia="en-IE"/>
              </w:rPr>
            </w:pPr>
          </w:p>
        </w:tc>
        <w:tc>
          <w:tcPr>
            <w:tcW w:w="585" w:type="dxa"/>
            <w:tcMar>
              <w:left w:w="45" w:type="dxa"/>
              <w:right w:w="45" w:type="dxa"/>
            </w:tcMar>
          </w:tcPr>
          <w:p w14:paraId="2927B0EE"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567" w:type="dxa"/>
            <w:tcMar>
              <w:left w:w="45" w:type="dxa"/>
              <w:right w:w="45" w:type="dxa"/>
            </w:tcMar>
          </w:tcPr>
          <w:p w14:paraId="72BB5DE5"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709" w:type="dxa"/>
            <w:tcMar>
              <w:left w:w="45" w:type="dxa"/>
              <w:right w:w="45" w:type="dxa"/>
            </w:tcMar>
          </w:tcPr>
          <w:p w14:paraId="190E0651"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838" w:type="dxa"/>
            <w:tcMar>
              <w:left w:w="45" w:type="dxa"/>
              <w:right w:w="45" w:type="dxa"/>
            </w:tcMar>
          </w:tcPr>
          <w:p w14:paraId="4A150919"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0" w:type="auto"/>
            <w:shd w:val="clear" w:color="auto" w:fill="F2F2F2" w:themeFill="background1" w:themeFillShade="F2"/>
            <w:tcMar>
              <w:left w:w="45" w:type="dxa"/>
              <w:right w:w="45" w:type="dxa"/>
            </w:tcMar>
          </w:tcPr>
          <w:p w14:paraId="240ADC59"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0" w:type="auto"/>
            <w:shd w:val="clear" w:color="auto" w:fill="F2F2F2" w:themeFill="background1" w:themeFillShade="F2"/>
            <w:tcMar>
              <w:left w:w="45" w:type="dxa"/>
              <w:right w:w="45" w:type="dxa"/>
            </w:tcMar>
          </w:tcPr>
          <w:p w14:paraId="4FB41B1F"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0" w:type="auto"/>
            <w:shd w:val="clear" w:color="auto" w:fill="F2F2F2" w:themeFill="background1" w:themeFillShade="F2"/>
            <w:tcMar>
              <w:left w:w="45" w:type="dxa"/>
              <w:right w:w="45" w:type="dxa"/>
            </w:tcMar>
          </w:tcPr>
          <w:p w14:paraId="4B815777"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highlight w:val="yellow"/>
                <w:lang w:eastAsia="en-IE"/>
              </w:rPr>
            </w:pPr>
          </w:p>
        </w:tc>
        <w:tc>
          <w:tcPr>
            <w:tcW w:w="0" w:type="auto"/>
            <w:shd w:val="clear" w:color="auto" w:fill="F2F2F2" w:themeFill="background1" w:themeFillShade="F2"/>
            <w:tcMar>
              <w:left w:w="45" w:type="dxa"/>
              <w:right w:w="45" w:type="dxa"/>
            </w:tcMar>
          </w:tcPr>
          <w:p w14:paraId="3C055CF4" w14:textId="77777777" w:rsidR="00EB02EC" w:rsidRP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highlight w:val="yellow"/>
                <w:lang w:eastAsia="en-IE"/>
              </w:rPr>
            </w:pPr>
          </w:p>
        </w:tc>
      </w:tr>
      <w:tr w:rsidR="00E877C8" w:rsidRPr="00D26EB4" w14:paraId="235996EE" w14:textId="77777777" w:rsidTr="00EB02EC">
        <w:tc>
          <w:tcPr>
            <w:tcW w:w="0" w:type="auto"/>
            <w:tcMar>
              <w:left w:w="45" w:type="dxa"/>
              <w:right w:w="45" w:type="dxa"/>
            </w:tcMar>
          </w:tcPr>
          <w:p w14:paraId="08693B75" w14:textId="7777777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sz w:val="16"/>
              </w:rPr>
            </w:pPr>
            <w:r w:rsidRPr="000C7A56">
              <w:rPr>
                <w:rFonts w:asciiTheme="minorHAnsi" w:hAnsiTheme="minorHAnsi"/>
                <w:b/>
                <w:sz w:val="16"/>
              </w:rPr>
              <w:t>Underlying EBITDA</w:t>
            </w:r>
          </w:p>
        </w:tc>
        <w:tc>
          <w:tcPr>
            <w:tcW w:w="601" w:type="dxa"/>
            <w:shd w:val="clear" w:color="auto" w:fill="F2F2F2" w:themeFill="background1" w:themeFillShade="F2"/>
            <w:tcMar>
              <w:left w:w="45" w:type="dxa"/>
              <w:right w:w="45" w:type="dxa"/>
            </w:tcMar>
          </w:tcPr>
          <w:p w14:paraId="481AB10C" w14:textId="0E278147"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307</w:t>
            </w:r>
          </w:p>
        </w:tc>
        <w:tc>
          <w:tcPr>
            <w:tcW w:w="567" w:type="dxa"/>
            <w:shd w:val="clear" w:color="auto" w:fill="F2F2F2" w:themeFill="background1" w:themeFillShade="F2"/>
            <w:tcMar>
              <w:left w:w="45" w:type="dxa"/>
              <w:right w:w="45" w:type="dxa"/>
            </w:tcMar>
          </w:tcPr>
          <w:p w14:paraId="43070661" w14:textId="13E2EF13"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316</w:t>
            </w:r>
          </w:p>
        </w:tc>
        <w:tc>
          <w:tcPr>
            <w:tcW w:w="709" w:type="dxa"/>
            <w:shd w:val="clear" w:color="auto" w:fill="F2F2F2" w:themeFill="background1" w:themeFillShade="F2"/>
            <w:tcMar>
              <w:left w:w="45" w:type="dxa"/>
              <w:right w:w="45" w:type="dxa"/>
            </w:tcMar>
          </w:tcPr>
          <w:p w14:paraId="7F8C9C17" w14:textId="776E8660"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-3%</w:t>
            </w:r>
          </w:p>
        </w:tc>
        <w:tc>
          <w:tcPr>
            <w:tcW w:w="567" w:type="dxa"/>
            <w:tcMar>
              <w:left w:w="45" w:type="dxa"/>
              <w:right w:w="45" w:type="dxa"/>
            </w:tcMar>
          </w:tcPr>
          <w:p w14:paraId="504D0AED" w14:textId="77081168"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125</w:t>
            </w:r>
          </w:p>
        </w:tc>
        <w:tc>
          <w:tcPr>
            <w:tcW w:w="709" w:type="dxa"/>
            <w:tcMar>
              <w:left w:w="45" w:type="dxa"/>
              <w:right w:w="45" w:type="dxa"/>
            </w:tcMar>
          </w:tcPr>
          <w:p w14:paraId="36A90795" w14:textId="3E9786AE"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137</w:t>
            </w:r>
          </w:p>
        </w:tc>
        <w:tc>
          <w:tcPr>
            <w:tcW w:w="721" w:type="dxa"/>
            <w:tcMar>
              <w:left w:w="45" w:type="dxa"/>
              <w:right w:w="45" w:type="dxa"/>
            </w:tcMar>
          </w:tcPr>
          <w:p w14:paraId="0D949EAC" w14:textId="1C974C79"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-9%</w:t>
            </w:r>
          </w:p>
        </w:tc>
        <w:tc>
          <w:tcPr>
            <w:tcW w:w="721" w:type="dxa"/>
            <w:tcMar>
              <w:left w:w="45" w:type="dxa"/>
              <w:right w:w="45" w:type="dxa"/>
            </w:tcMar>
          </w:tcPr>
          <w:p w14:paraId="1997E129" w14:textId="54374399"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-6%</w:t>
            </w:r>
          </w:p>
        </w:tc>
        <w:tc>
          <w:tcPr>
            <w:tcW w:w="0" w:type="auto"/>
            <w:shd w:val="clear" w:color="auto" w:fill="F2F2F2" w:themeFill="background1" w:themeFillShade="F2"/>
            <w:tcMar>
              <w:left w:w="45" w:type="dxa"/>
              <w:right w:w="45" w:type="dxa"/>
            </w:tcMar>
          </w:tcPr>
          <w:p w14:paraId="72A5AFF8" w14:textId="69B22948"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53</w:t>
            </w:r>
          </w:p>
        </w:tc>
        <w:tc>
          <w:tcPr>
            <w:tcW w:w="0" w:type="auto"/>
            <w:shd w:val="clear" w:color="auto" w:fill="F2F2F2" w:themeFill="background1" w:themeFillShade="F2"/>
            <w:tcMar>
              <w:left w:w="45" w:type="dxa"/>
              <w:right w:w="45" w:type="dxa"/>
            </w:tcMar>
          </w:tcPr>
          <w:p w14:paraId="595CA146" w14:textId="09C2094D"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72</w:t>
            </w:r>
          </w:p>
        </w:tc>
        <w:tc>
          <w:tcPr>
            <w:tcW w:w="0" w:type="auto"/>
            <w:shd w:val="clear" w:color="auto" w:fill="F2F2F2" w:themeFill="background1" w:themeFillShade="F2"/>
            <w:tcMar>
              <w:left w:w="45" w:type="dxa"/>
              <w:right w:w="45" w:type="dxa"/>
            </w:tcMar>
          </w:tcPr>
          <w:p w14:paraId="51A3CEB9" w14:textId="11355E01"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-26%</w:t>
            </w:r>
          </w:p>
        </w:tc>
        <w:tc>
          <w:tcPr>
            <w:tcW w:w="585" w:type="dxa"/>
            <w:tcMar>
              <w:left w:w="45" w:type="dxa"/>
              <w:right w:w="45" w:type="dxa"/>
            </w:tcMar>
          </w:tcPr>
          <w:p w14:paraId="143E7650" w14:textId="42CBC42E"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(40)</w:t>
            </w:r>
          </w:p>
        </w:tc>
        <w:tc>
          <w:tcPr>
            <w:tcW w:w="567" w:type="dxa"/>
            <w:tcMar>
              <w:left w:w="45" w:type="dxa"/>
              <w:right w:w="45" w:type="dxa"/>
            </w:tcMar>
          </w:tcPr>
          <w:p w14:paraId="3B4D8C24" w14:textId="167B4798"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(14)</w:t>
            </w:r>
          </w:p>
        </w:tc>
        <w:tc>
          <w:tcPr>
            <w:tcW w:w="709" w:type="dxa"/>
            <w:tcMar>
              <w:left w:w="45" w:type="dxa"/>
              <w:right w:w="45" w:type="dxa"/>
            </w:tcMar>
          </w:tcPr>
          <w:p w14:paraId="290619F2" w14:textId="7D81FB7A"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+178%</w:t>
            </w:r>
          </w:p>
        </w:tc>
        <w:tc>
          <w:tcPr>
            <w:tcW w:w="838" w:type="dxa"/>
            <w:tcMar>
              <w:left w:w="45" w:type="dxa"/>
              <w:right w:w="45" w:type="dxa"/>
            </w:tcMar>
          </w:tcPr>
          <w:p w14:paraId="6A1E1CB9" w14:textId="2E60D425"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+168%</w:t>
            </w:r>
          </w:p>
        </w:tc>
        <w:tc>
          <w:tcPr>
            <w:tcW w:w="0" w:type="auto"/>
            <w:shd w:val="clear" w:color="auto" w:fill="F2F2F2" w:themeFill="background1" w:themeFillShade="F2"/>
            <w:tcMar>
              <w:left w:w="45" w:type="dxa"/>
              <w:right w:w="45" w:type="dxa"/>
            </w:tcMar>
          </w:tcPr>
          <w:p w14:paraId="2040CDCF" w14:textId="27BD2F76"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385</w:t>
            </w:r>
          </w:p>
        </w:tc>
        <w:tc>
          <w:tcPr>
            <w:tcW w:w="0" w:type="auto"/>
            <w:shd w:val="clear" w:color="auto" w:fill="F2F2F2" w:themeFill="background1" w:themeFillShade="F2"/>
            <w:tcMar>
              <w:left w:w="45" w:type="dxa"/>
              <w:right w:w="45" w:type="dxa"/>
            </w:tcMar>
          </w:tcPr>
          <w:p w14:paraId="7124478D" w14:textId="3B0CA9BD"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451</w:t>
            </w:r>
          </w:p>
        </w:tc>
        <w:tc>
          <w:tcPr>
            <w:tcW w:w="0" w:type="auto"/>
            <w:shd w:val="clear" w:color="auto" w:fill="F2F2F2" w:themeFill="background1" w:themeFillShade="F2"/>
            <w:tcMar>
              <w:left w:w="45" w:type="dxa"/>
              <w:right w:w="45" w:type="dxa"/>
            </w:tcMar>
          </w:tcPr>
          <w:p w14:paraId="17D9E5C2" w14:textId="303F2AF2"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-15%</w:t>
            </w:r>
          </w:p>
        </w:tc>
        <w:tc>
          <w:tcPr>
            <w:tcW w:w="0" w:type="auto"/>
            <w:shd w:val="clear" w:color="auto" w:fill="F2F2F2" w:themeFill="background1" w:themeFillShade="F2"/>
            <w:tcMar>
              <w:left w:w="45" w:type="dxa"/>
              <w:right w:w="45" w:type="dxa"/>
            </w:tcMar>
          </w:tcPr>
          <w:p w14:paraId="1D500EEF" w14:textId="7C1DE03E" w:rsidR="00EB02EC"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Pr="00D26EB4">
              <w:rPr>
                <w:rFonts w:asciiTheme="minorHAnsi" w:hAnsiTheme="minorHAnsi" w:cs="Times New Roman"/>
                <w:b/>
                <w:sz w:val="16"/>
                <w:szCs w:val="16"/>
                <w:lang w:eastAsia="en-IE"/>
              </w:rPr>
              <w:t>1</w:t>
            </w:r>
            <w:r w:rsidR="00D662D8">
              <w:rPr>
                <w:rFonts w:asciiTheme="minorHAnsi" w:hAnsiTheme="minorHAnsi" w:cs="Times New Roman"/>
                <w:b/>
                <w:sz w:val="16"/>
                <w:szCs w:val="16"/>
                <w:lang w:eastAsia="en-IE"/>
              </w:rPr>
              <w:t>4</w:t>
            </w:r>
            <w:r w:rsidRPr="000C7A56">
              <w:rPr>
                <w:rFonts w:asciiTheme="minorHAnsi" w:hAnsiTheme="minorHAnsi"/>
                <w:b/>
                <w:sz w:val="16"/>
              </w:rPr>
              <w:t>%</w:t>
            </w:r>
          </w:p>
        </w:tc>
      </w:tr>
      <w:tr w:rsidR="00D977AD" w:rsidRPr="00D26EB4" w14:paraId="27F4DEE5" w14:textId="77777777" w:rsidTr="00EB02EC">
        <w:tc>
          <w:tcPr>
            <w:tcW w:w="0" w:type="auto"/>
            <w:tcMar>
              <w:left w:w="45" w:type="dxa"/>
              <w:right w:w="45" w:type="dxa"/>
            </w:tcMar>
          </w:tcPr>
          <w:p w14:paraId="197AB383" w14:textId="2ACCECD9"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6"/>
                <w:szCs w:val="16"/>
                <w:lang w:eastAsia="en-IE"/>
              </w:rPr>
            </w:pPr>
            <w:r w:rsidRPr="00D26EB4">
              <w:rPr>
                <w:rFonts w:asciiTheme="minorHAnsi" w:hAnsiTheme="minorHAnsi" w:cs="Times New Roman"/>
                <w:i/>
                <w:sz w:val="16"/>
                <w:szCs w:val="16"/>
                <w:lang w:eastAsia="en-IE"/>
              </w:rPr>
              <w:t>Underlying EBITDA margin</w:t>
            </w:r>
          </w:p>
        </w:tc>
        <w:tc>
          <w:tcPr>
            <w:tcW w:w="601" w:type="dxa"/>
            <w:shd w:val="clear" w:color="auto" w:fill="F2F2F2" w:themeFill="background1" w:themeFillShade="F2"/>
            <w:tcMar>
              <w:left w:w="45" w:type="dxa"/>
              <w:right w:w="45" w:type="dxa"/>
            </w:tcMar>
          </w:tcPr>
          <w:p w14:paraId="134564FC" w14:textId="2E0A9FEB"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30.5%</w:t>
            </w:r>
          </w:p>
        </w:tc>
        <w:tc>
          <w:tcPr>
            <w:tcW w:w="567" w:type="dxa"/>
            <w:shd w:val="clear" w:color="auto" w:fill="F2F2F2" w:themeFill="background1" w:themeFillShade="F2"/>
            <w:tcMar>
              <w:left w:w="45" w:type="dxa"/>
              <w:right w:w="45" w:type="dxa"/>
            </w:tcMar>
          </w:tcPr>
          <w:p w14:paraId="683FDA75" w14:textId="59E28120"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33.4%</w:t>
            </w:r>
          </w:p>
        </w:tc>
        <w:tc>
          <w:tcPr>
            <w:tcW w:w="709" w:type="dxa"/>
            <w:shd w:val="clear" w:color="auto" w:fill="F2F2F2" w:themeFill="background1" w:themeFillShade="F2"/>
            <w:tcMar>
              <w:left w:w="45" w:type="dxa"/>
              <w:right w:w="45" w:type="dxa"/>
            </w:tcMar>
          </w:tcPr>
          <w:p w14:paraId="74AC9C35" w14:textId="5E9A92C6"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-280bps</w:t>
            </w:r>
          </w:p>
        </w:tc>
        <w:tc>
          <w:tcPr>
            <w:tcW w:w="567" w:type="dxa"/>
            <w:tcMar>
              <w:left w:w="45" w:type="dxa"/>
              <w:right w:w="45" w:type="dxa"/>
            </w:tcMar>
          </w:tcPr>
          <w:p w14:paraId="1CF19810" w14:textId="43688D04"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28.0%</w:t>
            </w:r>
          </w:p>
        </w:tc>
        <w:tc>
          <w:tcPr>
            <w:tcW w:w="709" w:type="dxa"/>
            <w:tcMar>
              <w:left w:w="45" w:type="dxa"/>
              <w:right w:w="45" w:type="dxa"/>
            </w:tcMar>
          </w:tcPr>
          <w:p w14:paraId="7B636C8F" w14:textId="7F132591"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34.0%</w:t>
            </w:r>
          </w:p>
        </w:tc>
        <w:tc>
          <w:tcPr>
            <w:tcW w:w="721" w:type="dxa"/>
            <w:tcMar>
              <w:left w:w="45" w:type="dxa"/>
              <w:right w:w="45" w:type="dxa"/>
            </w:tcMar>
          </w:tcPr>
          <w:p w14:paraId="3048A67B" w14:textId="0B8C6AB8"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-600bps</w:t>
            </w:r>
          </w:p>
        </w:tc>
        <w:tc>
          <w:tcPr>
            <w:tcW w:w="721" w:type="dxa"/>
            <w:tcMar>
              <w:left w:w="45" w:type="dxa"/>
              <w:right w:w="45" w:type="dxa"/>
            </w:tcMar>
          </w:tcPr>
          <w:p w14:paraId="6E279253" w14:textId="0035FB53"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-590bps</w:t>
            </w:r>
          </w:p>
        </w:tc>
        <w:tc>
          <w:tcPr>
            <w:tcW w:w="0" w:type="auto"/>
            <w:shd w:val="clear" w:color="auto" w:fill="F2F2F2" w:themeFill="background1" w:themeFillShade="F2"/>
            <w:tcMar>
              <w:left w:w="45" w:type="dxa"/>
              <w:right w:w="45" w:type="dxa"/>
            </w:tcMar>
          </w:tcPr>
          <w:p w14:paraId="7F256B97" w14:textId="7F471425" w:rsidR="00D977AD" w:rsidRPr="00D26EB4" w:rsidRDefault="00D26EB4"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17.1%</w:t>
            </w:r>
          </w:p>
        </w:tc>
        <w:tc>
          <w:tcPr>
            <w:tcW w:w="0" w:type="auto"/>
            <w:shd w:val="clear" w:color="auto" w:fill="F2F2F2" w:themeFill="background1" w:themeFillShade="F2"/>
            <w:tcMar>
              <w:left w:w="45" w:type="dxa"/>
              <w:right w:w="45" w:type="dxa"/>
            </w:tcMar>
          </w:tcPr>
          <w:p w14:paraId="599D805B" w14:textId="53E25B81" w:rsidR="00D977AD" w:rsidRPr="00D26EB4" w:rsidRDefault="00D26EB4"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21.6%</w:t>
            </w:r>
          </w:p>
        </w:tc>
        <w:tc>
          <w:tcPr>
            <w:tcW w:w="0" w:type="auto"/>
            <w:shd w:val="clear" w:color="auto" w:fill="F2F2F2" w:themeFill="background1" w:themeFillShade="F2"/>
            <w:tcMar>
              <w:left w:w="45" w:type="dxa"/>
              <w:right w:w="45" w:type="dxa"/>
            </w:tcMar>
          </w:tcPr>
          <w:p w14:paraId="0A5210AF" w14:textId="6CDBAECB" w:rsidR="00D977AD" w:rsidRPr="00D26EB4" w:rsidRDefault="00D26EB4"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-450bps</w:t>
            </w:r>
          </w:p>
        </w:tc>
        <w:tc>
          <w:tcPr>
            <w:tcW w:w="585" w:type="dxa"/>
            <w:tcMar>
              <w:left w:w="45" w:type="dxa"/>
              <w:right w:w="45" w:type="dxa"/>
            </w:tcMar>
          </w:tcPr>
          <w:p w14:paraId="0956B317" w14:textId="2F911841" w:rsidR="00D977AD" w:rsidRPr="00D26EB4" w:rsidRDefault="00D26EB4"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-10.7%</w:t>
            </w:r>
          </w:p>
        </w:tc>
        <w:tc>
          <w:tcPr>
            <w:tcW w:w="567" w:type="dxa"/>
            <w:tcMar>
              <w:left w:w="45" w:type="dxa"/>
              <w:right w:w="45" w:type="dxa"/>
            </w:tcMar>
          </w:tcPr>
          <w:p w14:paraId="5E211E98" w14:textId="4B16864D" w:rsidR="00D977AD" w:rsidRPr="00D26EB4" w:rsidRDefault="00D26EB4"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-7.6%</w:t>
            </w:r>
          </w:p>
        </w:tc>
        <w:tc>
          <w:tcPr>
            <w:tcW w:w="709" w:type="dxa"/>
            <w:tcMar>
              <w:left w:w="45" w:type="dxa"/>
              <w:right w:w="45" w:type="dxa"/>
            </w:tcMar>
          </w:tcPr>
          <w:p w14:paraId="379F91A0" w14:textId="1A281BA6" w:rsidR="00D977AD" w:rsidRPr="00D26EB4" w:rsidRDefault="00D26EB4"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-310bps</w:t>
            </w:r>
          </w:p>
        </w:tc>
        <w:tc>
          <w:tcPr>
            <w:tcW w:w="838" w:type="dxa"/>
            <w:tcMar>
              <w:left w:w="45" w:type="dxa"/>
              <w:right w:w="45" w:type="dxa"/>
            </w:tcMar>
          </w:tcPr>
          <w:p w14:paraId="7FA269E2" w14:textId="4C7F3FB2" w:rsidR="00D977AD" w:rsidRPr="00D26EB4" w:rsidRDefault="00D26EB4"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-310bps</w:t>
            </w:r>
          </w:p>
        </w:tc>
        <w:tc>
          <w:tcPr>
            <w:tcW w:w="0" w:type="auto"/>
            <w:shd w:val="clear" w:color="auto" w:fill="F2F2F2" w:themeFill="background1" w:themeFillShade="F2"/>
            <w:tcMar>
              <w:left w:w="45" w:type="dxa"/>
              <w:right w:w="45" w:type="dxa"/>
            </w:tcMar>
          </w:tcPr>
          <w:p w14:paraId="14C4FD3D" w14:textId="21BEF30C"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18.0%</w:t>
            </w:r>
          </w:p>
        </w:tc>
        <w:tc>
          <w:tcPr>
            <w:tcW w:w="0" w:type="auto"/>
            <w:shd w:val="clear" w:color="auto" w:fill="F2F2F2" w:themeFill="background1" w:themeFillShade="F2"/>
            <w:tcMar>
              <w:left w:w="45" w:type="dxa"/>
              <w:right w:w="45" w:type="dxa"/>
            </w:tcMar>
          </w:tcPr>
          <w:p w14:paraId="6433C3A2" w14:textId="70C2C4E9"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24.1%</w:t>
            </w:r>
          </w:p>
        </w:tc>
        <w:tc>
          <w:tcPr>
            <w:tcW w:w="0" w:type="auto"/>
            <w:shd w:val="clear" w:color="auto" w:fill="F2F2F2" w:themeFill="background1" w:themeFillShade="F2"/>
            <w:tcMar>
              <w:left w:w="45" w:type="dxa"/>
              <w:right w:w="45" w:type="dxa"/>
            </w:tcMar>
          </w:tcPr>
          <w:p w14:paraId="30E4F9B7" w14:textId="77932D1C"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-610bps</w:t>
            </w:r>
          </w:p>
        </w:tc>
        <w:tc>
          <w:tcPr>
            <w:tcW w:w="0" w:type="auto"/>
            <w:shd w:val="clear" w:color="auto" w:fill="F2F2F2" w:themeFill="background1" w:themeFillShade="F2"/>
            <w:tcMar>
              <w:left w:w="45" w:type="dxa"/>
              <w:right w:w="45" w:type="dxa"/>
            </w:tcMar>
          </w:tcPr>
          <w:p w14:paraId="5B4CAF7B" w14:textId="399D59DD"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D26EB4">
              <w:rPr>
                <w:rFonts w:asciiTheme="minorHAnsi" w:hAnsiTheme="minorHAnsi" w:cs="Times New Roman"/>
                <w:i/>
                <w:sz w:val="16"/>
                <w:szCs w:val="16"/>
                <w:lang w:eastAsia="en-IE"/>
              </w:rPr>
              <w:t>-600bps</w:t>
            </w:r>
          </w:p>
        </w:tc>
      </w:tr>
      <w:tr w:rsidR="00D977AD" w:rsidRPr="00D26EB4" w14:paraId="215B1793" w14:textId="77777777" w:rsidTr="00EB02EC">
        <w:tc>
          <w:tcPr>
            <w:tcW w:w="0" w:type="auto"/>
            <w:tcMar>
              <w:left w:w="45" w:type="dxa"/>
              <w:right w:w="45" w:type="dxa"/>
            </w:tcMar>
          </w:tcPr>
          <w:p w14:paraId="6EACD570"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4"/>
                <w:szCs w:val="4"/>
                <w:lang w:eastAsia="en-IE"/>
              </w:rPr>
            </w:pPr>
          </w:p>
        </w:tc>
        <w:tc>
          <w:tcPr>
            <w:tcW w:w="601" w:type="dxa"/>
            <w:shd w:val="clear" w:color="auto" w:fill="F2F2F2" w:themeFill="background1" w:themeFillShade="F2"/>
            <w:tcMar>
              <w:left w:w="45" w:type="dxa"/>
              <w:right w:w="45" w:type="dxa"/>
            </w:tcMar>
          </w:tcPr>
          <w:p w14:paraId="77852098"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567" w:type="dxa"/>
            <w:shd w:val="clear" w:color="auto" w:fill="F2F2F2" w:themeFill="background1" w:themeFillShade="F2"/>
            <w:tcMar>
              <w:left w:w="45" w:type="dxa"/>
              <w:right w:w="45" w:type="dxa"/>
            </w:tcMar>
          </w:tcPr>
          <w:p w14:paraId="4940719C"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709" w:type="dxa"/>
            <w:shd w:val="clear" w:color="auto" w:fill="F2F2F2" w:themeFill="background1" w:themeFillShade="F2"/>
            <w:tcMar>
              <w:left w:w="45" w:type="dxa"/>
              <w:right w:w="45" w:type="dxa"/>
            </w:tcMar>
          </w:tcPr>
          <w:p w14:paraId="48535A65"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567" w:type="dxa"/>
            <w:tcMar>
              <w:left w:w="45" w:type="dxa"/>
              <w:right w:w="45" w:type="dxa"/>
            </w:tcMar>
          </w:tcPr>
          <w:p w14:paraId="40BF9DAC"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709" w:type="dxa"/>
            <w:tcMar>
              <w:left w:w="45" w:type="dxa"/>
              <w:right w:w="45" w:type="dxa"/>
            </w:tcMar>
          </w:tcPr>
          <w:p w14:paraId="1210A62E"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721" w:type="dxa"/>
            <w:tcMar>
              <w:left w:w="45" w:type="dxa"/>
              <w:right w:w="45" w:type="dxa"/>
            </w:tcMar>
          </w:tcPr>
          <w:p w14:paraId="23C3EC42"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721" w:type="dxa"/>
            <w:tcMar>
              <w:left w:w="45" w:type="dxa"/>
              <w:right w:w="45" w:type="dxa"/>
            </w:tcMar>
          </w:tcPr>
          <w:p w14:paraId="2E4B66A3"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0" w:type="auto"/>
            <w:shd w:val="clear" w:color="auto" w:fill="F2F2F2" w:themeFill="background1" w:themeFillShade="F2"/>
            <w:tcMar>
              <w:left w:w="45" w:type="dxa"/>
              <w:right w:w="45" w:type="dxa"/>
            </w:tcMar>
          </w:tcPr>
          <w:p w14:paraId="1DAD39B5"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0" w:type="auto"/>
            <w:shd w:val="clear" w:color="auto" w:fill="F2F2F2" w:themeFill="background1" w:themeFillShade="F2"/>
            <w:tcMar>
              <w:left w:w="45" w:type="dxa"/>
              <w:right w:w="45" w:type="dxa"/>
            </w:tcMar>
          </w:tcPr>
          <w:p w14:paraId="198B9AF7"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0" w:type="auto"/>
            <w:shd w:val="clear" w:color="auto" w:fill="F2F2F2" w:themeFill="background1" w:themeFillShade="F2"/>
            <w:tcMar>
              <w:left w:w="45" w:type="dxa"/>
              <w:right w:w="45" w:type="dxa"/>
            </w:tcMar>
          </w:tcPr>
          <w:p w14:paraId="1BC4B0C7"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585" w:type="dxa"/>
            <w:tcMar>
              <w:left w:w="45" w:type="dxa"/>
              <w:right w:w="45" w:type="dxa"/>
            </w:tcMar>
          </w:tcPr>
          <w:p w14:paraId="63BE7ADD"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567" w:type="dxa"/>
            <w:tcMar>
              <w:left w:w="45" w:type="dxa"/>
              <w:right w:w="45" w:type="dxa"/>
            </w:tcMar>
          </w:tcPr>
          <w:p w14:paraId="1D7C4F72"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709" w:type="dxa"/>
            <w:tcMar>
              <w:left w:w="45" w:type="dxa"/>
              <w:right w:w="45" w:type="dxa"/>
            </w:tcMar>
          </w:tcPr>
          <w:p w14:paraId="4500961D"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838" w:type="dxa"/>
            <w:tcMar>
              <w:left w:w="45" w:type="dxa"/>
              <w:right w:w="45" w:type="dxa"/>
            </w:tcMar>
          </w:tcPr>
          <w:p w14:paraId="428BBE3C"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0" w:type="auto"/>
            <w:shd w:val="clear" w:color="auto" w:fill="F2F2F2" w:themeFill="background1" w:themeFillShade="F2"/>
            <w:tcMar>
              <w:left w:w="45" w:type="dxa"/>
              <w:right w:w="45" w:type="dxa"/>
            </w:tcMar>
          </w:tcPr>
          <w:p w14:paraId="060DECA0"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0" w:type="auto"/>
            <w:shd w:val="clear" w:color="auto" w:fill="F2F2F2" w:themeFill="background1" w:themeFillShade="F2"/>
            <w:tcMar>
              <w:left w:w="45" w:type="dxa"/>
              <w:right w:w="45" w:type="dxa"/>
            </w:tcMar>
          </w:tcPr>
          <w:p w14:paraId="5F3B6E05"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0" w:type="auto"/>
            <w:shd w:val="clear" w:color="auto" w:fill="F2F2F2" w:themeFill="background1" w:themeFillShade="F2"/>
            <w:tcMar>
              <w:left w:w="45" w:type="dxa"/>
              <w:right w:w="45" w:type="dxa"/>
            </w:tcMar>
          </w:tcPr>
          <w:p w14:paraId="05F8A2FE"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0" w:type="auto"/>
            <w:shd w:val="clear" w:color="auto" w:fill="F2F2F2" w:themeFill="background1" w:themeFillShade="F2"/>
            <w:tcMar>
              <w:left w:w="45" w:type="dxa"/>
              <w:right w:w="45" w:type="dxa"/>
            </w:tcMar>
          </w:tcPr>
          <w:p w14:paraId="2E919057" w14:textId="77777777" w:rsidR="00D977AD" w:rsidRPr="00D26EB4"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r>
      <w:tr w:rsidR="00E877C8" w:rsidRPr="00D26EB4" w14:paraId="584DC340" w14:textId="77777777" w:rsidTr="00EB02EC">
        <w:tc>
          <w:tcPr>
            <w:tcW w:w="0" w:type="auto"/>
            <w:tcMar>
              <w:left w:w="45" w:type="dxa"/>
              <w:right w:w="45" w:type="dxa"/>
            </w:tcMar>
          </w:tcPr>
          <w:p w14:paraId="3EFFF377" w14:textId="77777777"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Depreciation &amp; amortisation</w:t>
            </w:r>
          </w:p>
        </w:tc>
        <w:tc>
          <w:tcPr>
            <w:tcW w:w="601" w:type="dxa"/>
            <w:shd w:val="clear" w:color="auto" w:fill="F2F2F2" w:themeFill="background1" w:themeFillShade="F2"/>
            <w:tcMar>
              <w:left w:w="45" w:type="dxa"/>
              <w:right w:w="45" w:type="dxa"/>
            </w:tcMar>
          </w:tcPr>
          <w:p w14:paraId="7C2BEF3F" w14:textId="5AF87DED"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(45)</w:t>
            </w:r>
          </w:p>
        </w:tc>
        <w:tc>
          <w:tcPr>
            <w:tcW w:w="567" w:type="dxa"/>
            <w:shd w:val="clear" w:color="auto" w:fill="F2F2F2" w:themeFill="background1" w:themeFillShade="F2"/>
            <w:tcMar>
              <w:left w:w="45" w:type="dxa"/>
              <w:right w:w="45" w:type="dxa"/>
            </w:tcMar>
          </w:tcPr>
          <w:p w14:paraId="3C864DFB" w14:textId="03FA636E"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(42)</w:t>
            </w:r>
          </w:p>
        </w:tc>
        <w:tc>
          <w:tcPr>
            <w:tcW w:w="709" w:type="dxa"/>
            <w:shd w:val="clear" w:color="auto" w:fill="F2F2F2" w:themeFill="background1" w:themeFillShade="F2"/>
            <w:tcMar>
              <w:left w:w="45" w:type="dxa"/>
              <w:right w:w="45" w:type="dxa"/>
            </w:tcMar>
          </w:tcPr>
          <w:p w14:paraId="076A6709" w14:textId="135A1282"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+8%</w:t>
            </w:r>
          </w:p>
        </w:tc>
        <w:tc>
          <w:tcPr>
            <w:tcW w:w="567" w:type="dxa"/>
            <w:tcMar>
              <w:left w:w="45" w:type="dxa"/>
              <w:right w:w="45" w:type="dxa"/>
            </w:tcMar>
          </w:tcPr>
          <w:p w14:paraId="17FF7760" w14:textId="2097B893"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(21)</w:t>
            </w:r>
          </w:p>
        </w:tc>
        <w:tc>
          <w:tcPr>
            <w:tcW w:w="709" w:type="dxa"/>
            <w:tcMar>
              <w:left w:w="45" w:type="dxa"/>
              <w:right w:w="45" w:type="dxa"/>
            </w:tcMar>
          </w:tcPr>
          <w:p w14:paraId="3E934CB5" w14:textId="39B1F124"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(18)</w:t>
            </w:r>
          </w:p>
        </w:tc>
        <w:tc>
          <w:tcPr>
            <w:tcW w:w="721" w:type="dxa"/>
            <w:tcMar>
              <w:left w:w="45" w:type="dxa"/>
              <w:right w:w="45" w:type="dxa"/>
            </w:tcMar>
          </w:tcPr>
          <w:p w14:paraId="33F28363" w14:textId="7B40B4BD"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+22%</w:t>
            </w:r>
          </w:p>
        </w:tc>
        <w:tc>
          <w:tcPr>
            <w:tcW w:w="721" w:type="dxa"/>
            <w:tcMar>
              <w:left w:w="45" w:type="dxa"/>
              <w:right w:w="45" w:type="dxa"/>
            </w:tcMar>
          </w:tcPr>
          <w:p w14:paraId="79A73950" w14:textId="787BC17A"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+25%</w:t>
            </w:r>
          </w:p>
        </w:tc>
        <w:tc>
          <w:tcPr>
            <w:tcW w:w="0" w:type="auto"/>
            <w:shd w:val="clear" w:color="auto" w:fill="F2F2F2" w:themeFill="background1" w:themeFillShade="F2"/>
            <w:tcMar>
              <w:left w:w="45" w:type="dxa"/>
              <w:right w:w="45" w:type="dxa"/>
            </w:tcMar>
          </w:tcPr>
          <w:p w14:paraId="1F4EB5CA" w14:textId="08D94D9B"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(22)</w:t>
            </w:r>
          </w:p>
        </w:tc>
        <w:tc>
          <w:tcPr>
            <w:tcW w:w="0" w:type="auto"/>
            <w:shd w:val="clear" w:color="auto" w:fill="F2F2F2" w:themeFill="background1" w:themeFillShade="F2"/>
            <w:tcMar>
              <w:left w:w="45" w:type="dxa"/>
              <w:right w:w="45" w:type="dxa"/>
            </w:tcMar>
          </w:tcPr>
          <w:p w14:paraId="29A0C673" w14:textId="2BDBB441"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(21)</w:t>
            </w:r>
          </w:p>
        </w:tc>
        <w:tc>
          <w:tcPr>
            <w:tcW w:w="0" w:type="auto"/>
            <w:shd w:val="clear" w:color="auto" w:fill="F2F2F2" w:themeFill="background1" w:themeFillShade="F2"/>
            <w:tcMar>
              <w:left w:w="45" w:type="dxa"/>
              <w:right w:w="45" w:type="dxa"/>
            </w:tcMar>
          </w:tcPr>
          <w:p w14:paraId="17E9E8DF" w14:textId="55259C00"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w:t>
            </w:r>
          </w:p>
        </w:tc>
        <w:tc>
          <w:tcPr>
            <w:tcW w:w="585" w:type="dxa"/>
            <w:tcMar>
              <w:left w:w="45" w:type="dxa"/>
              <w:right w:w="45" w:type="dxa"/>
            </w:tcMar>
          </w:tcPr>
          <w:p w14:paraId="0397643E" w14:textId="3B729C51"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(20)</w:t>
            </w:r>
          </w:p>
        </w:tc>
        <w:tc>
          <w:tcPr>
            <w:tcW w:w="567" w:type="dxa"/>
            <w:tcMar>
              <w:left w:w="45" w:type="dxa"/>
              <w:right w:w="45" w:type="dxa"/>
            </w:tcMar>
          </w:tcPr>
          <w:p w14:paraId="61ED5EF6" w14:textId="624D81F1"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(11)</w:t>
            </w:r>
          </w:p>
        </w:tc>
        <w:tc>
          <w:tcPr>
            <w:tcW w:w="709" w:type="dxa"/>
            <w:tcMar>
              <w:left w:w="45" w:type="dxa"/>
              <w:right w:w="45" w:type="dxa"/>
            </w:tcMar>
          </w:tcPr>
          <w:p w14:paraId="6A60E54C" w14:textId="712446A8"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+92%</w:t>
            </w:r>
          </w:p>
        </w:tc>
        <w:tc>
          <w:tcPr>
            <w:tcW w:w="838" w:type="dxa"/>
            <w:tcMar>
              <w:left w:w="45" w:type="dxa"/>
              <w:right w:w="45" w:type="dxa"/>
            </w:tcMar>
          </w:tcPr>
          <w:p w14:paraId="22497DF6" w14:textId="066923ED"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+84%</w:t>
            </w:r>
          </w:p>
        </w:tc>
        <w:tc>
          <w:tcPr>
            <w:tcW w:w="0" w:type="auto"/>
            <w:shd w:val="clear" w:color="auto" w:fill="F2F2F2" w:themeFill="background1" w:themeFillShade="F2"/>
            <w:tcMar>
              <w:left w:w="45" w:type="dxa"/>
              <w:right w:w="45" w:type="dxa"/>
            </w:tcMar>
          </w:tcPr>
          <w:p w14:paraId="787208AD" w14:textId="318E4040"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(108)</w:t>
            </w:r>
          </w:p>
        </w:tc>
        <w:tc>
          <w:tcPr>
            <w:tcW w:w="0" w:type="auto"/>
            <w:shd w:val="clear" w:color="auto" w:fill="F2F2F2" w:themeFill="background1" w:themeFillShade="F2"/>
            <w:tcMar>
              <w:left w:w="45" w:type="dxa"/>
              <w:right w:w="45" w:type="dxa"/>
            </w:tcMar>
          </w:tcPr>
          <w:p w14:paraId="49C3CB89" w14:textId="61195B44"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(90)</w:t>
            </w:r>
          </w:p>
        </w:tc>
        <w:tc>
          <w:tcPr>
            <w:tcW w:w="0" w:type="auto"/>
            <w:shd w:val="clear" w:color="auto" w:fill="F2F2F2" w:themeFill="background1" w:themeFillShade="F2"/>
            <w:tcMar>
              <w:left w:w="45" w:type="dxa"/>
              <w:right w:w="45" w:type="dxa"/>
            </w:tcMar>
          </w:tcPr>
          <w:p w14:paraId="776415D1" w14:textId="3E9CEFA4"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+19%</w:t>
            </w:r>
          </w:p>
        </w:tc>
        <w:tc>
          <w:tcPr>
            <w:tcW w:w="0" w:type="auto"/>
            <w:shd w:val="clear" w:color="auto" w:fill="F2F2F2" w:themeFill="background1" w:themeFillShade="F2"/>
            <w:tcMar>
              <w:left w:w="45" w:type="dxa"/>
              <w:right w:w="45" w:type="dxa"/>
            </w:tcMar>
          </w:tcPr>
          <w:p w14:paraId="55A5E4F7" w14:textId="21B311FE"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+20%</w:t>
            </w:r>
          </w:p>
        </w:tc>
      </w:tr>
      <w:tr w:rsidR="00E877C8" w:rsidRPr="00D26EB4" w14:paraId="79B692D8" w14:textId="77777777" w:rsidTr="00EB02EC">
        <w:tc>
          <w:tcPr>
            <w:tcW w:w="0" w:type="auto"/>
            <w:tcMar>
              <w:left w:w="45" w:type="dxa"/>
              <w:right w:w="45" w:type="dxa"/>
            </w:tcMar>
          </w:tcPr>
          <w:p w14:paraId="3A486131" w14:textId="77777777"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sz w:val="16"/>
              </w:rPr>
            </w:pPr>
            <w:r w:rsidRPr="000C7A56">
              <w:rPr>
                <w:rFonts w:asciiTheme="minorHAnsi" w:hAnsiTheme="minorHAnsi"/>
                <w:b/>
                <w:sz w:val="16"/>
              </w:rPr>
              <w:t>Underlying operating profit</w:t>
            </w:r>
          </w:p>
        </w:tc>
        <w:tc>
          <w:tcPr>
            <w:tcW w:w="601" w:type="dxa"/>
            <w:shd w:val="clear" w:color="auto" w:fill="F2F2F2" w:themeFill="background1" w:themeFillShade="F2"/>
            <w:tcMar>
              <w:left w:w="45" w:type="dxa"/>
              <w:right w:w="45" w:type="dxa"/>
            </w:tcMar>
          </w:tcPr>
          <w:p w14:paraId="05C560B5" w14:textId="7279FAF6"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263</w:t>
            </w:r>
          </w:p>
        </w:tc>
        <w:tc>
          <w:tcPr>
            <w:tcW w:w="567" w:type="dxa"/>
            <w:shd w:val="clear" w:color="auto" w:fill="F2F2F2" w:themeFill="background1" w:themeFillShade="F2"/>
            <w:tcMar>
              <w:left w:w="45" w:type="dxa"/>
              <w:right w:w="45" w:type="dxa"/>
            </w:tcMar>
          </w:tcPr>
          <w:p w14:paraId="001BB34F" w14:textId="37C516ED"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275</w:t>
            </w:r>
          </w:p>
        </w:tc>
        <w:tc>
          <w:tcPr>
            <w:tcW w:w="709" w:type="dxa"/>
            <w:shd w:val="clear" w:color="auto" w:fill="F2F2F2" w:themeFill="background1" w:themeFillShade="F2"/>
            <w:tcMar>
              <w:left w:w="45" w:type="dxa"/>
              <w:right w:w="45" w:type="dxa"/>
            </w:tcMar>
          </w:tcPr>
          <w:p w14:paraId="41BA8FFA" w14:textId="7B0C867B"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-4%</w:t>
            </w:r>
          </w:p>
        </w:tc>
        <w:tc>
          <w:tcPr>
            <w:tcW w:w="567" w:type="dxa"/>
            <w:tcMar>
              <w:left w:w="45" w:type="dxa"/>
              <w:right w:w="45" w:type="dxa"/>
            </w:tcMar>
          </w:tcPr>
          <w:p w14:paraId="2D323F17" w14:textId="30A06FD0"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103</w:t>
            </w:r>
          </w:p>
        </w:tc>
        <w:tc>
          <w:tcPr>
            <w:tcW w:w="709" w:type="dxa"/>
            <w:tcMar>
              <w:left w:w="45" w:type="dxa"/>
              <w:right w:w="45" w:type="dxa"/>
            </w:tcMar>
          </w:tcPr>
          <w:p w14:paraId="7BAB3257" w14:textId="1EE75C38"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119</w:t>
            </w:r>
          </w:p>
        </w:tc>
        <w:tc>
          <w:tcPr>
            <w:tcW w:w="721" w:type="dxa"/>
            <w:tcMar>
              <w:left w:w="45" w:type="dxa"/>
              <w:right w:w="45" w:type="dxa"/>
            </w:tcMar>
          </w:tcPr>
          <w:p w14:paraId="71B71D67" w14:textId="093A32BE"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-13%</w:t>
            </w:r>
          </w:p>
        </w:tc>
        <w:tc>
          <w:tcPr>
            <w:tcW w:w="721" w:type="dxa"/>
            <w:tcMar>
              <w:left w:w="45" w:type="dxa"/>
              <w:right w:w="45" w:type="dxa"/>
            </w:tcMar>
          </w:tcPr>
          <w:p w14:paraId="18EFE48B" w14:textId="4906921C"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-11%</w:t>
            </w:r>
          </w:p>
        </w:tc>
        <w:tc>
          <w:tcPr>
            <w:tcW w:w="0" w:type="auto"/>
            <w:shd w:val="clear" w:color="auto" w:fill="F2F2F2" w:themeFill="background1" w:themeFillShade="F2"/>
            <w:tcMar>
              <w:left w:w="45" w:type="dxa"/>
              <w:right w:w="45" w:type="dxa"/>
            </w:tcMar>
          </w:tcPr>
          <w:p w14:paraId="461F602B" w14:textId="2060B8BF"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32</w:t>
            </w:r>
          </w:p>
        </w:tc>
        <w:tc>
          <w:tcPr>
            <w:tcW w:w="0" w:type="auto"/>
            <w:shd w:val="clear" w:color="auto" w:fill="F2F2F2" w:themeFill="background1" w:themeFillShade="F2"/>
            <w:tcMar>
              <w:left w:w="45" w:type="dxa"/>
              <w:right w:w="45" w:type="dxa"/>
            </w:tcMar>
          </w:tcPr>
          <w:p w14:paraId="3CB929E3" w14:textId="39F97BA5"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51</w:t>
            </w:r>
          </w:p>
        </w:tc>
        <w:tc>
          <w:tcPr>
            <w:tcW w:w="0" w:type="auto"/>
            <w:shd w:val="clear" w:color="auto" w:fill="F2F2F2" w:themeFill="background1" w:themeFillShade="F2"/>
            <w:tcMar>
              <w:left w:w="45" w:type="dxa"/>
              <w:right w:w="45" w:type="dxa"/>
            </w:tcMar>
          </w:tcPr>
          <w:p w14:paraId="2688C242" w14:textId="2DBFD00C"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-38%</w:t>
            </w:r>
          </w:p>
        </w:tc>
        <w:tc>
          <w:tcPr>
            <w:tcW w:w="585" w:type="dxa"/>
            <w:tcMar>
              <w:left w:w="45" w:type="dxa"/>
              <w:right w:w="45" w:type="dxa"/>
            </w:tcMar>
          </w:tcPr>
          <w:p w14:paraId="67911AD1" w14:textId="65FF706F"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(60)</w:t>
            </w:r>
          </w:p>
        </w:tc>
        <w:tc>
          <w:tcPr>
            <w:tcW w:w="567" w:type="dxa"/>
            <w:tcMar>
              <w:left w:w="45" w:type="dxa"/>
              <w:right w:w="45" w:type="dxa"/>
            </w:tcMar>
          </w:tcPr>
          <w:p w14:paraId="44BEB0A6" w14:textId="68479F3F"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(25)</w:t>
            </w:r>
          </w:p>
        </w:tc>
        <w:tc>
          <w:tcPr>
            <w:tcW w:w="709" w:type="dxa"/>
            <w:tcMar>
              <w:left w:w="45" w:type="dxa"/>
              <w:right w:w="45" w:type="dxa"/>
            </w:tcMar>
          </w:tcPr>
          <w:p w14:paraId="628B9948" w14:textId="376CAA07"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+142%</w:t>
            </w:r>
          </w:p>
        </w:tc>
        <w:tc>
          <w:tcPr>
            <w:tcW w:w="838" w:type="dxa"/>
            <w:tcMar>
              <w:left w:w="45" w:type="dxa"/>
              <w:right w:w="45" w:type="dxa"/>
            </w:tcMar>
          </w:tcPr>
          <w:p w14:paraId="20845C37" w14:textId="7078CCFA"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highlight w:val="yellow"/>
              </w:rPr>
            </w:pPr>
            <w:r w:rsidRPr="000C7A56">
              <w:rPr>
                <w:rFonts w:asciiTheme="minorHAnsi" w:hAnsiTheme="minorHAnsi"/>
                <w:b/>
                <w:sz w:val="16"/>
              </w:rPr>
              <w:t>+133%</w:t>
            </w:r>
          </w:p>
        </w:tc>
        <w:tc>
          <w:tcPr>
            <w:tcW w:w="0" w:type="auto"/>
            <w:shd w:val="clear" w:color="auto" w:fill="F2F2F2" w:themeFill="background1" w:themeFillShade="F2"/>
            <w:tcMar>
              <w:left w:w="45" w:type="dxa"/>
              <w:right w:w="45" w:type="dxa"/>
            </w:tcMar>
          </w:tcPr>
          <w:p w14:paraId="10D26387" w14:textId="4115F950"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277</w:t>
            </w:r>
          </w:p>
        </w:tc>
        <w:tc>
          <w:tcPr>
            <w:tcW w:w="0" w:type="auto"/>
            <w:shd w:val="clear" w:color="auto" w:fill="F2F2F2" w:themeFill="background1" w:themeFillShade="F2"/>
            <w:tcMar>
              <w:left w:w="45" w:type="dxa"/>
              <w:right w:w="45" w:type="dxa"/>
            </w:tcMar>
          </w:tcPr>
          <w:p w14:paraId="7240F8B3" w14:textId="3C18CCDF"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360</w:t>
            </w:r>
          </w:p>
        </w:tc>
        <w:tc>
          <w:tcPr>
            <w:tcW w:w="0" w:type="auto"/>
            <w:shd w:val="clear" w:color="auto" w:fill="F2F2F2" w:themeFill="background1" w:themeFillShade="F2"/>
            <w:tcMar>
              <w:left w:w="45" w:type="dxa"/>
              <w:right w:w="45" w:type="dxa"/>
            </w:tcMar>
          </w:tcPr>
          <w:p w14:paraId="4191CFE2" w14:textId="23C17136"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-23%</w:t>
            </w:r>
          </w:p>
        </w:tc>
        <w:tc>
          <w:tcPr>
            <w:tcW w:w="0" w:type="auto"/>
            <w:shd w:val="clear" w:color="auto" w:fill="F2F2F2" w:themeFill="background1" w:themeFillShade="F2"/>
            <w:tcMar>
              <w:left w:w="45" w:type="dxa"/>
              <w:right w:w="45" w:type="dxa"/>
            </w:tcMar>
          </w:tcPr>
          <w:p w14:paraId="11E0D776" w14:textId="5E6BFBCF" w:rsidR="00D977AD" w:rsidRPr="000C7A56" w:rsidRDefault="00D977AD" w:rsidP="00D977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-22%</w:t>
            </w:r>
          </w:p>
        </w:tc>
      </w:tr>
    </w:tbl>
    <w:p w14:paraId="6C2C6586"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tbl>
      <w:tblPr>
        <w:tblpPr w:leftFromText="180" w:rightFromText="180" w:vertAnchor="text" w:horzAnchor="page" w:tblpX="6198" w:tblpY="46"/>
        <w:tblW w:w="7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0"/>
        <w:gridCol w:w="601"/>
        <w:gridCol w:w="567"/>
        <w:gridCol w:w="709"/>
        <w:gridCol w:w="674"/>
        <w:gridCol w:w="711"/>
        <w:gridCol w:w="600"/>
        <w:gridCol w:w="708"/>
        <w:gridCol w:w="816"/>
      </w:tblGrid>
      <w:tr w:rsidR="00E877C8" w:rsidRPr="00D26EB4" w14:paraId="5E59C847" w14:textId="77777777" w:rsidTr="00E877C8">
        <w:tc>
          <w:tcPr>
            <w:tcW w:w="2600" w:type="dxa"/>
            <w:tcBorders>
              <w:top w:val="nil"/>
              <w:left w:val="nil"/>
            </w:tcBorders>
            <w:tcMar>
              <w:left w:w="45" w:type="dxa"/>
              <w:right w:w="45" w:type="dxa"/>
            </w:tcMar>
          </w:tcPr>
          <w:p w14:paraId="7E3FA5A9" w14:textId="77777777"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sz w:val="16"/>
              </w:rPr>
            </w:pPr>
          </w:p>
        </w:tc>
        <w:tc>
          <w:tcPr>
            <w:tcW w:w="5386" w:type="dxa"/>
            <w:gridSpan w:val="8"/>
            <w:tcMar>
              <w:left w:w="45" w:type="dxa"/>
              <w:right w:w="45" w:type="dxa"/>
            </w:tcMar>
          </w:tcPr>
          <w:p w14:paraId="6AC33875" w14:textId="73EE8164"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b/>
                <w:sz w:val="16"/>
              </w:rPr>
            </w:pPr>
            <w:r w:rsidRPr="000C7A56">
              <w:rPr>
                <w:rFonts w:asciiTheme="minorHAnsi" w:hAnsiTheme="minorHAnsi"/>
                <w:b/>
                <w:sz w:val="16"/>
              </w:rPr>
              <w:t>Proforma Basis</w:t>
            </w:r>
          </w:p>
        </w:tc>
      </w:tr>
      <w:tr w:rsidR="00E877C8" w:rsidRPr="00D26EB4" w14:paraId="496B532D" w14:textId="77777777" w:rsidTr="00D26EB4">
        <w:tc>
          <w:tcPr>
            <w:tcW w:w="2600" w:type="dxa"/>
            <w:tcMar>
              <w:left w:w="45" w:type="dxa"/>
              <w:right w:w="45" w:type="dxa"/>
            </w:tcMar>
          </w:tcPr>
          <w:p w14:paraId="35653B96" w14:textId="77777777"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sz w:val="16"/>
              </w:rPr>
            </w:pPr>
            <w:r w:rsidRPr="000C7A56">
              <w:rPr>
                <w:rFonts w:asciiTheme="minorHAnsi" w:hAnsiTheme="minorHAnsi"/>
                <w:b/>
                <w:sz w:val="16"/>
              </w:rPr>
              <w:t>£m</w:t>
            </w:r>
          </w:p>
        </w:tc>
        <w:tc>
          <w:tcPr>
            <w:tcW w:w="2551" w:type="dxa"/>
            <w:gridSpan w:val="4"/>
            <w:tcMar>
              <w:left w:w="45" w:type="dxa"/>
              <w:right w:w="45" w:type="dxa"/>
            </w:tcMar>
          </w:tcPr>
          <w:p w14:paraId="07ABC3A2" w14:textId="77777777"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b/>
                <w:sz w:val="16"/>
              </w:rPr>
            </w:pPr>
            <w:r w:rsidRPr="000C7A56">
              <w:rPr>
                <w:rFonts w:asciiTheme="minorHAnsi" w:hAnsiTheme="minorHAnsi"/>
                <w:b/>
                <w:sz w:val="16"/>
              </w:rPr>
              <w:t>US</w:t>
            </w:r>
          </w:p>
        </w:tc>
        <w:tc>
          <w:tcPr>
            <w:tcW w:w="2835" w:type="dxa"/>
            <w:gridSpan w:val="4"/>
            <w:shd w:val="clear" w:color="auto" w:fill="F2F2F2" w:themeFill="background1" w:themeFillShade="F2"/>
            <w:tcMar>
              <w:left w:w="45" w:type="dxa"/>
              <w:right w:w="45" w:type="dxa"/>
            </w:tcMar>
          </w:tcPr>
          <w:p w14:paraId="637CE508" w14:textId="77777777"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b/>
                <w:sz w:val="16"/>
              </w:rPr>
            </w:pPr>
            <w:r w:rsidRPr="000C7A56">
              <w:rPr>
                <w:rFonts w:asciiTheme="minorHAnsi" w:hAnsiTheme="minorHAnsi"/>
                <w:b/>
                <w:sz w:val="16"/>
              </w:rPr>
              <w:t>Group</w:t>
            </w:r>
          </w:p>
        </w:tc>
      </w:tr>
      <w:tr w:rsidR="00E877C8" w:rsidRPr="00D26EB4" w14:paraId="3AB718AC" w14:textId="77777777" w:rsidTr="00D26EB4">
        <w:tc>
          <w:tcPr>
            <w:tcW w:w="2600" w:type="dxa"/>
            <w:tcMar>
              <w:left w:w="45" w:type="dxa"/>
              <w:right w:w="45" w:type="dxa"/>
            </w:tcMar>
          </w:tcPr>
          <w:p w14:paraId="3562B513" w14:textId="2639B8A8" w:rsidR="00324B39" w:rsidRPr="000C7A56" w:rsidRDefault="0055477A"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E877C8">
              <w:rPr>
                <w:rFonts w:asciiTheme="minorHAnsi" w:hAnsiTheme="minorHAnsi"/>
                <w:i/>
                <w:sz w:val="16"/>
              </w:rPr>
              <w:t>Pre IFRS 16 adjustments</w:t>
            </w:r>
          </w:p>
        </w:tc>
        <w:tc>
          <w:tcPr>
            <w:tcW w:w="601" w:type="dxa"/>
            <w:tcMar>
              <w:left w:w="45" w:type="dxa"/>
              <w:right w:w="45" w:type="dxa"/>
            </w:tcMar>
          </w:tcPr>
          <w:p w14:paraId="26C95792" w14:textId="7B52B0AD"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201</w:t>
            </w:r>
            <w:r w:rsidR="00406643" w:rsidRPr="000C7A56">
              <w:rPr>
                <w:rFonts w:asciiTheme="minorHAnsi" w:hAnsiTheme="minorHAnsi"/>
                <w:b/>
                <w:sz w:val="16"/>
              </w:rPr>
              <w:t>9</w:t>
            </w:r>
          </w:p>
        </w:tc>
        <w:tc>
          <w:tcPr>
            <w:tcW w:w="567" w:type="dxa"/>
            <w:tcMar>
              <w:left w:w="45" w:type="dxa"/>
              <w:right w:w="45" w:type="dxa"/>
            </w:tcMar>
          </w:tcPr>
          <w:p w14:paraId="15314253" w14:textId="6E87F58A"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201</w:t>
            </w:r>
            <w:r w:rsidR="00406643" w:rsidRPr="000C7A56">
              <w:rPr>
                <w:rFonts w:asciiTheme="minorHAnsi" w:hAnsiTheme="minorHAnsi"/>
                <w:b/>
                <w:sz w:val="16"/>
              </w:rPr>
              <w:t>8</w:t>
            </w:r>
          </w:p>
        </w:tc>
        <w:tc>
          <w:tcPr>
            <w:tcW w:w="709" w:type="dxa"/>
            <w:tcMar>
              <w:left w:w="45" w:type="dxa"/>
              <w:right w:w="45" w:type="dxa"/>
            </w:tcMar>
          </w:tcPr>
          <w:p w14:paraId="1DCA2C2B" w14:textId="77777777"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w:t>
            </w:r>
          </w:p>
          <w:p w14:paraId="700D2211" w14:textId="77777777"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D26EB4">
              <w:rPr>
                <w:rFonts w:asciiTheme="minorHAnsi" w:hAnsiTheme="minorHAnsi" w:cs="Times New Roman"/>
                <w:b/>
                <w:sz w:val="16"/>
                <w:szCs w:val="16"/>
                <w:lang w:eastAsia="en-IE"/>
              </w:rPr>
              <w:t>Change</w:t>
            </w:r>
          </w:p>
        </w:tc>
        <w:tc>
          <w:tcPr>
            <w:tcW w:w="674" w:type="dxa"/>
            <w:tcMar>
              <w:left w:w="45" w:type="dxa"/>
              <w:right w:w="45" w:type="dxa"/>
            </w:tcMar>
          </w:tcPr>
          <w:p w14:paraId="42E0EC13" w14:textId="77777777"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b/>
                <w:sz w:val="16"/>
              </w:rPr>
              <w:t>US$ % Change</w:t>
            </w:r>
          </w:p>
        </w:tc>
        <w:tc>
          <w:tcPr>
            <w:tcW w:w="711" w:type="dxa"/>
            <w:shd w:val="clear" w:color="auto" w:fill="F2F2F2" w:themeFill="background1" w:themeFillShade="F2"/>
            <w:tcMar>
              <w:left w:w="45" w:type="dxa"/>
              <w:right w:w="45" w:type="dxa"/>
            </w:tcMar>
          </w:tcPr>
          <w:p w14:paraId="49CD5F28" w14:textId="37C96296"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201</w:t>
            </w:r>
            <w:r w:rsidR="00406643" w:rsidRPr="000C7A56">
              <w:rPr>
                <w:rFonts w:asciiTheme="minorHAnsi" w:hAnsiTheme="minorHAnsi"/>
                <w:b/>
                <w:sz w:val="16"/>
              </w:rPr>
              <w:t>9</w:t>
            </w:r>
          </w:p>
        </w:tc>
        <w:tc>
          <w:tcPr>
            <w:tcW w:w="600" w:type="dxa"/>
            <w:shd w:val="clear" w:color="auto" w:fill="F2F2F2" w:themeFill="background1" w:themeFillShade="F2"/>
            <w:tcMar>
              <w:left w:w="45" w:type="dxa"/>
              <w:right w:w="45" w:type="dxa"/>
            </w:tcMar>
          </w:tcPr>
          <w:p w14:paraId="66C85B98" w14:textId="6862F83A"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201</w:t>
            </w:r>
            <w:r w:rsidR="00406643" w:rsidRPr="000C7A56">
              <w:rPr>
                <w:rFonts w:asciiTheme="minorHAnsi" w:hAnsiTheme="minorHAnsi"/>
                <w:b/>
                <w:sz w:val="16"/>
              </w:rPr>
              <w:t>8</w:t>
            </w:r>
          </w:p>
        </w:tc>
        <w:tc>
          <w:tcPr>
            <w:tcW w:w="708" w:type="dxa"/>
            <w:shd w:val="clear" w:color="auto" w:fill="F2F2F2" w:themeFill="background1" w:themeFillShade="F2"/>
            <w:tcMar>
              <w:left w:w="45" w:type="dxa"/>
              <w:right w:w="45" w:type="dxa"/>
            </w:tcMar>
          </w:tcPr>
          <w:p w14:paraId="2F6EBCCC" w14:textId="77777777"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w:t>
            </w:r>
          </w:p>
          <w:p w14:paraId="464DAB23" w14:textId="77777777"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D26EB4">
              <w:rPr>
                <w:rFonts w:asciiTheme="minorHAnsi" w:hAnsiTheme="minorHAnsi" w:cs="Times New Roman"/>
                <w:b/>
                <w:sz w:val="16"/>
                <w:szCs w:val="16"/>
                <w:lang w:eastAsia="en-IE"/>
              </w:rPr>
              <w:t>Change</w:t>
            </w:r>
          </w:p>
        </w:tc>
        <w:tc>
          <w:tcPr>
            <w:tcW w:w="816" w:type="dxa"/>
            <w:shd w:val="clear" w:color="auto" w:fill="F2F2F2" w:themeFill="background1" w:themeFillShade="F2"/>
            <w:tcMar>
              <w:left w:w="45" w:type="dxa"/>
              <w:right w:w="45" w:type="dxa"/>
            </w:tcMar>
          </w:tcPr>
          <w:p w14:paraId="2CAB2D11" w14:textId="77777777"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 xml:space="preserve"> CC</w:t>
            </w:r>
            <w:r w:rsidRPr="000C7A56">
              <w:rPr>
                <w:rFonts w:asciiTheme="minorHAnsi" w:hAnsiTheme="minorHAnsi"/>
                <w:b/>
                <w:sz w:val="16"/>
                <w:vertAlign w:val="superscript"/>
              </w:rPr>
              <w:t>1</w:t>
            </w:r>
            <w:r w:rsidRPr="000C7A56">
              <w:rPr>
                <w:rFonts w:asciiTheme="minorHAnsi" w:hAnsiTheme="minorHAnsi"/>
                <w:b/>
                <w:sz w:val="16"/>
              </w:rPr>
              <w:t xml:space="preserve">% </w:t>
            </w:r>
          </w:p>
          <w:p w14:paraId="3DECA65D" w14:textId="77777777" w:rsidR="00324B39" w:rsidRPr="000C7A56" w:rsidRDefault="00324B39"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D26EB4">
              <w:rPr>
                <w:rFonts w:asciiTheme="minorHAnsi" w:hAnsiTheme="minorHAnsi" w:cs="Times New Roman"/>
                <w:b/>
                <w:sz w:val="16"/>
                <w:szCs w:val="16"/>
                <w:lang w:eastAsia="en-IE"/>
              </w:rPr>
              <w:t>Change</w:t>
            </w:r>
          </w:p>
        </w:tc>
      </w:tr>
      <w:tr w:rsidR="00E877C8" w:rsidRPr="00D26EB4" w14:paraId="48F7B98C" w14:textId="77777777" w:rsidTr="00D26EB4">
        <w:tc>
          <w:tcPr>
            <w:tcW w:w="2600" w:type="dxa"/>
            <w:tcMar>
              <w:left w:w="45" w:type="dxa"/>
              <w:right w:w="45" w:type="dxa"/>
            </w:tcMar>
          </w:tcPr>
          <w:p w14:paraId="1D3A64FD" w14:textId="77777777" w:rsidR="00406643" w:rsidRPr="000C7A56"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Sports revenue</w:t>
            </w:r>
          </w:p>
        </w:tc>
        <w:tc>
          <w:tcPr>
            <w:tcW w:w="601" w:type="dxa"/>
            <w:tcMar>
              <w:left w:w="45" w:type="dxa"/>
              <w:right w:w="45" w:type="dxa"/>
            </w:tcMar>
          </w:tcPr>
          <w:p w14:paraId="644103F7" w14:textId="66319F78" w:rsidR="00406643" w:rsidRPr="000C7A56" w:rsidRDefault="00A70216"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325</w:t>
            </w:r>
          </w:p>
        </w:tc>
        <w:tc>
          <w:tcPr>
            <w:tcW w:w="567" w:type="dxa"/>
            <w:tcMar>
              <w:left w:w="45" w:type="dxa"/>
              <w:right w:w="45" w:type="dxa"/>
            </w:tcMar>
          </w:tcPr>
          <w:p w14:paraId="2D421491" w14:textId="1FD7D5A6" w:rsidR="00406643" w:rsidRPr="000C7A56"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216</w:t>
            </w:r>
          </w:p>
        </w:tc>
        <w:tc>
          <w:tcPr>
            <w:tcW w:w="709" w:type="dxa"/>
            <w:shd w:val="clear" w:color="auto" w:fill="auto"/>
            <w:tcMar>
              <w:left w:w="45" w:type="dxa"/>
              <w:right w:w="45" w:type="dxa"/>
            </w:tcMar>
          </w:tcPr>
          <w:p w14:paraId="5B1BBF7D" w14:textId="15337348" w:rsidR="00406643" w:rsidRPr="000C7A56" w:rsidRDefault="00A70216"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+51%</w:t>
            </w:r>
          </w:p>
        </w:tc>
        <w:tc>
          <w:tcPr>
            <w:tcW w:w="674" w:type="dxa"/>
            <w:shd w:val="clear" w:color="auto" w:fill="auto"/>
            <w:tcMar>
              <w:left w:w="45" w:type="dxa"/>
              <w:right w:w="45" w:type="dxa"/>
            </w:tcMar>
          </w:tcPr>
          <w:p w14:paraId="528DFCD2" w14:textId="3F7A864F" w:rsidR="00406643" w:rsidRPr="000C7A56" w:rsidRDefault="00A70216"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+45%</w:t>
            </w:r>
          </w:p>
        </w:tc>
        <w:tc>
          <w:tcPr>
            <w:tcW w:w="711" w:type="dxa"/>
            <w:shd w:val="clear" w:color="auto" w:fill="F2F2F2" w:themeFill="background1" w:themeFillShade="F2"/>
            <w:tcMar>
              <w:left w:w="45" w:type="dxa"/>
              <w:right w:w="45" w:type="dxa"/>
            </w:tcMar>
          </w:tcPr>
          <w:p w14:paraId="2C28D909" w14:textId="29C3355C" w:rsidR="00406643" w:rsidRPr="000C7A56" w:rsidRDefault="004016C1"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1,667</w:t>
            </w:r>
          </w:p>
        </w:tc>
        <w:tc>
          <w:tcPr>
            <w:tcW w:w="600" w:type="dxa"/>
            <w:shd w:val="clear" w:color="auto" w:fill="F2F2F2" w:themeFill="background1" w:themeFillShade="F2"/>
            <w:tcMar>
              <w:left w:w="45" w:type="dxa"/>
              <w:right w:w="45" w:type="dxa"/>
            </w:tcMar>
          </w:tcPr>
          <w:p w14:paraId="361AF275" w14:textId="02F1AC85" w:rsidR="00406643" w:rsidRPr="000C7A56"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1,5</w:t>
            </w:r>
            <w:r w:rsidR="00005495" w:rsidRPr="000C7A56">
              <w:rPr>
                <w:rFonts w:asciiTheme="minorHAnsi" w:hAnsiTheme="minorHAnsi"/>
                <w:sz w:val="16"/>
              </w:rPr>
              <w:t>25</w:t>
            </w:r>
          </w:p>
        </w:tc>
        <w:tc>
          <w:tcPr>
            <w:tcW w:w="708" w:type="dxa"/>
            <w:shd w:val="clear" w:color="auto" w:fill="F2F2F2" w:themeFill="background1" w:themeFillShade="F2"/>
            <w:tcMar>
              <w:left w:w="45" w:type="dxa"/>
              <w:right w:w="45" w:type="dxa"/>
            </w:tcMar>
          </w:tcPr>
          <w:p w14:paraId="42D43138" w14:textId="78D7302D" w:rsidR="00406643" w:rsidRPr="000C7A56" w:rsidRDefault="00D32CFF"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+9%</w:t>
            </w:r>
          </w:p>
        </w:tc>
        <w:tc>
          <w:tcPr>
            <w:tcW w:w="816" w:type="dxa"/>
            <w:shd w:val="clear" w:color="auto" w:fill="F2F2F2" w:themeFill="background1" w:themeFillShade="F2"/>
            <w:tcMar>
              <w:left w:w="45" w:type="dxa"/>
              <w:right w:w="45" w:type="dxa"/>
            </w:tcMar>
          </w:tcPr>
          <w:p w14:paraId="61710C74" w14:textId="6A688073" w:rsidR="00406643" w:rsidRPr="000C7A56" w:rsidRDefault="00D32CFF"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+10%</w:t>
            </w:r>
          </w:p>
        </w:tc>
      </w:tr>
      <w:tr w:rsidR="00E877C8" w:rsidRPr="00D26EB4" w14:paraId="65AB0F03" w14:textId="77777777" w:rsidTr="00D26EB4">
        <w:tc>
          <w:tcPr>
            <w:tcW w:w="2600" w:type="dxa"/>
            <w:tcMar>
              <w:left w:w="45" w:type="dxa"/>
              <w:right w:w="45" w:type="dxa"/>
            </w:tcMar>
          </w:tcPr>
          <w:p w14:paraId="62960FEA" w14:textId="77777777" w:rsidR="00406643" w:rsidRPr="000C7A56"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Gaming revenue</w:t>
            </w:r>
          </w:p>
        </w:tc>
        <w:tc>
          <w:tcPr>
            <w:tcW w:w="601" w:type="dxa"/>
            <w:tcMar>
              <w:left w:w="45" w:type="dxa"/>
              <w:right w:w="45" w:type="dxa"/>
            </w:tcMar>
          </w:tcPr>
          <w:p w14:paraId="31ED7EF7" w14:textId="0A0B2335" w:rsidR="00406643" w:rsidRPr="000C7A56" w:rsidRDefault="00A70216"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51</w:t>
            </w:r>
          </w:p>
        </w:tc>
        <w:tc>
          <w:tcPr>
            <w:tcW w:w="567" w:type="dxa"/>
            <w:tcMar>
              <w:left w:w="45" w:type="dxa"/>
              <w:right w:w="45" w:type="dxa"/>
            </w:tcMar>
          </w:tcPr>
          <w:p w14:paraId="7F2CA657" w14:textId="5179B5E2" w:rsidR="00406643" w:rsidRPr="000C7A56"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20</w:t>
            </w:r>
          </w:p>
        </w:tc>
        <w:tc>
          <w:tcPr>
            <w:tcW w:w="709" w:type="dxa"/>
            <w:shd w:val="clear" w:color="auto" w:fill="auto"/>
            <w:tcMar>
              <w:left w:w="45" w:type="dxa"/>
              <w:right w:w="45" w:type="dxa"/>
            </w:tcMar>
          </w:tcPr>
          <w:p w14:paraId="6EF644EC" w14:textId="5BC01F80" w:rsidR="00406643" w:rsidRPr="000C7A56" w:rsidRDefault="00A70216"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+160%</w:t>
            </w:r>
          </w:p>
        </w:tc>
        <w:tc>
          <w:tcPr>
            <w:tcW w:w="674" w:type="dxa"/>
            <w:shd w:val="clear" w:color="auto" w:fill="auto"/>
            <w:tcMar>
              <w:left w:w="45" w:type="dxa"/>
              <w:right w:w="45" w:type="dxa"/>
            </w:tcMar>
          </w:tcPr>
          <w:p w14:paraId="78BF1288" w14:textId="2F977547" w:rsidR="00406643" w:rsidRPr="000C7A56" w:rsidRDefault="00A70216"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+149%</w:t>
            </w:r>
          </w:p>
        </w:tc>
        <w:tc>
          <w:tcPr>
            <w:tcW w:w="711" w:type="dxa"/>
            <w:shd w:val="clear" w:color="auto" w:fill="F2F2F2" w:themeFill="background1" w:themeFillShade="F2"/>
            <w:tcMar>
              <w:left w:w="45" w:type="dxa"/>
              <w:right w:w="45" w:type="dxa"/>
            </w:tcMar>
          </w:tcPr>
          <w:p w14:paraId="5536F4E6" w14:textId="24E02099" w:rsidR="00406643" w:rsidRPr="000C7A56" w:rsidRDefault="004016C1"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478</w:t>
            </w:r>
          </w:p>
        </w:tc>
        <w:tc>
          <w:tcPr>
            <w:tcW w:w="600" w:type="dxa"/>
            <w:shd w:val="clear" w:color="auto" w:fill="F2F2F2" w:themeFill="background1" w:themeFillShade="F2"/>
            <w:tcMar>
              <w:left w:w="45" w:type="dxa"/>
              <w:right w:w="45" w:type="dxa"/>
            </w:tcMar>
          </w:tcPr>
          <w:p w14:paraId="385E0162" w14:textId="149C49B8" w:rsidR="00406643" w:rsidRPr="000C7A56" w:rsidRDefault="00005495"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455</w:t>
            </w:r>
          </w:p>
        </w:tc>
        <w:tc>
          <w:tcPr>
            <w:tcW w:w="708" w:type="dxa"/>
            <w:shd w:val="clear" w:color="auto" w:fill="F2F2F2" w:themeFill="background1" w:themeFillShade="F2"/>
            <w:tcMar>
              <w:left w:w="45" w:type="dxa"/>
              <w:right w:w="45" w:type="dxa"/>
            </w:tcMar>
          </w:tcPr>
          <w:p w14:paraId="0967E0AD" w14:textId="37F3C510" w:rsidR="00406643" w:rsidRPr="000C7A56" w:rsidRDefault="00D32CFF"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w:t>
            </w:r>
          </w:p>
        </w:tc>
        <w:tc>
          <w:tcPr>
            <w:tcW w:w="816" w:type="dxa"/>
            <w:shd w:val="clear" w:color="auto" w:fill="F2F2F2" w:themeFill="background1" w:themeFillShade="F2"/>
            <w:tcMar>
              <w:left w:w="45" w:type="dxa"/>
              <w:right w:w="45" w:type="dxa"/>
            </w:tcMar>
          </w:tcPr>
          <w:p w14:paraId="7122F8AE" w14:textId="64BCD5CE" w:rsidR="00406643" w:rsidRPr="000C7A56" w:rsidRDefault="00D32CFF"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+6%</w:t>
            </w:r>
          </w:p>
        </w:tc>
      </w:tr>
      <w:tr w:rsidR="00E877C8" w:rsidRPr="00D26EB4" w14:paraId="385A29D0" w14:textId="77777777" w:rsidTr="00D26EB4">
        <w:tc>
          <w:tcPr>
            <w:tcW w:w="2600" w:type="dxa"/>
            <w:tcMar>
              <w:left w:w="45" w:type="dxa"/>
              <w:right w:w="45" w:type="dxa"/>
            </w:tcMar>
          </w:tcPr>
          <w:p w14:paraId="6E6BE431" w14:textId="77777777" w:rsidR="00406643" w:rsidRPr="000C7A56"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sz w:val="16"/>
              </w:rPr>
            </w:pPr>
            <w:r w:rsidRPr="000C7A56">
              <w:rPr>
                <w:rFonts w:asciiTheme="minorHAnsi" w:hAnsiTheme="minorHAnsi"/>
                <w:b/>
                <w:sz w:val="16"/>
              </w:rPr>
              <w:t>Total revenue</w:t>
            </w:r>
          </w:p>
        </w:tc>
        <w:tc>
          <w:tcPr>
            <w:tcW w:w="601" w:type="dxa"/>
            <w:tcMar>
              <w:left w:w="45" w:type="dxa"/>
              <w:right w:w="45" w:type="dxa"/>
            </w:tcMar>
          </w:tcPr>
          <w:p w14:paraId="3C1E208A" w14:textId="5B2D9F69" w:rsidR="00406643" w:rsidRPr="000C7A56" w:rsidRDefault="00A70216"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376</w:t>
            </w:r>
          </w:p>
        </w:tc>
        <w:tc>
          <w:tcPr>
            <w:tcW w:w="567" w:type="dxa"/>
            <w:tcMar>
              <w:left w:w="45" w:type="dxa"/>
              <w:right w:w="45" w:type="dxa"/>
            </w:tcMar>
          </w:tcPr>
          <w:p w14:paraId="6AD327F8" w14:textId="4C7479D4" w:rsidR="00406643" w:rsidRPr="000C7A56"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236</w:t>
            </w:r>
          </w:p>
        </w:tc>
        <w:tc>
          <w:tcPr>
            <w:tcW w:w="709" w:type="dxa"/>
            <w:shd w:val="clear" w:color="auto" w:fill="auto"/>
            <w:tcMar>
              <w:left w:w="45" w:type="dxa"/>
              <w:right w:w="45" w:type="dxa"/>
            </w:tcMar>
          </w:tcPr>
          <w:p w14:paraId="41B14D21" w14:textId="68E4034D" w:rsidR="00406643" w:rsidRPr="000C7A56" w:rsidRDefault="00A70216"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+60%</w:t>
            </w:r>
          </w:p>
        </w:tc>
        <w:tc>
          <w:tcPr>
            <w:tcW w:w="674" w:type="dxa"/>
            <w:shd w:val="clear" w:color="auto" w:fill="auto"/>
            <w:tcMar>
              <w:left w:w="45" w:type="dxa"/>
              <w:right w:w="45" w:type="dxa"/>
            </w:tcMar>
          </w:tcPr>
          <w:p w14:paraId="49E8C487" w14:textId="3F2FB48B" w:rsidR="00406643" w:rsidRPr="000C7A56" w:rsidRDefault="00A70216"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+54%</w:t>
            </w:r>
          </w:p>
        </w:tc>
        <w:tc>
          <w:tcPr>
            <w:tcW w:w="711" w:type="dxa"/>
            <w:shd w:val="clear" w:color="auto" w:fill="F2F2F2" w:themeFill="background1" w:themeFillShade="F2"/>
            <w:tcMar>
              <w:left w:w="45" w:type="dxa"/>
              <w:right w:w="45" w:type="dxa"/>
            </w:tcMar>
          </w:tcPr>
          <w:p w14:paraId="01C84B35" w14:textId="1A394A0E" w:rsidR="00406643" w:rsidRPr="000C7A56" w:rsidRDefault="004016C1"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2,145</w:t>
            </w:r>
          </w:p>
        </w:tc>
        <w:tc>
          <w:tcPr>
            <w:tcW w:w="600" w:type="dxa"/>
            <w:shd w:val="clear" w:color="auto" w:fill="F2F2F2" w:themeFill="background1" w:themeFillShade="F2"/>
            <w:tcMar>
              <w:left w:w="45" w:type="dxa"/>
              <w:right w:w="45" w:type="dxa"/>
            </w:tcMar>
          </w:tcPr>
          <w:p w14:paraId="7BF9F3C3" w14:textId="51EB6228" w:rsidR="00406643" w:rsidRPr="000C7A56"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highlight w:val="yellow"/>
              </w:rPr>
            </w:pPr>
            <w:r w:rsidRPr="000C7A56">
              <w:rPr>
                <w:rFonts w:asciiTheme="minorHAnsi" w:hAnsiTheme="minorHAnsi"/>
                <w:b/>
                <w:sz w:val="16"/>
              </w:rPr>
              <w:t>1,9</w:t>
            </w:r>
            <w:r w:rsidR="00005495" w:rsidRPr="000C7A56">
              <w:rPr>
                <w:rFonts w:asciiTheme="minorHAnsi" w:hAnsiTheme="minorHAnsi"/>
                <w:b/>
                <w:sz w:val="16"/>
              </w:rPr>
              <w:t>80</w:t>
            </w:r>
          </w:p>
        </w:tc>
        <w:tc>
          <w:tcPr>
            <w:tcW w:w="708" w:type="dxa"/>
            <w:shd w:val="clear" w:color="auto" w:fill="F2F2F2" w:themeFill="background1" w:themeFillShade="F2"/>
            <w:tcMar>
              <w:left w:w="45" w:type="dxa"/>
              <w:right w:w="45" w:type="dxa"/>
            </w:tcMar>
          </w:tcPr>
          <w:p w14:paraId="3F0972EF" w14:textId="5EC19D0D" w:rsidR="00406643" w:rsidRPr="000C7A56" w:rsidRDefault="00D32CFF"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+8%</w:t>
            </w:r>
          </w:p>
        </w:tc>
        <w:tc>
          <w:tcPr>
            <w:tcW w:w="816" w:type="dxa"/>
            <w:shd w:val="clear" w:color="auto" w:fill="F2F2F2" w:themeFill="background1" w:themeFillShade="F2"/>
            <w:tcMar>
              <w:left w:w="45" w:type="dxa"/>
              <w:right w:w="45" w:type="dxa"/>
            </w:tcMar>
          </w:tcPr>
          <w:p w14:paraId="688B0560" w14:textId="020D230B" w:rsidR="00406643" w:rsidRPr="000C7A56" w:rsidRDefault="00D32CFF"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+9%</w:t>
            </w:r>
          </w:p>
        </w:tc>
      </w:tr>
      <w:tr w:rsidR="00E877C8" w:rsidRPr="00D26EB4" w14:paraId="0B08B517" w14:textId="77777777" w:rsidTr="00D26EB4">
        <w:tc>
          <w:tcPr>
            <w:tcW w:w="2600" w:type="dxa"/>
            <w:tcMar>
              <w:left w:w="45" w:type="dxa"/>
              <w:right w:w="45" w:type="dxa"/>
            </w:tcMar>
          </w:tcPr>
          <w:p w14:paraId="7602E6A7" w14:textId="77777777" w:rsidR="00406643" w:rsidRPr="00D26EB4"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4"/>
                <w:szCs w:val="4"/>
                <w:lang w:eastAsia="en-IE"/>
              </w:rPr>
            </w:pPr>
          </w:p>
        </w:tc>
        <w:tc>
          <w:tcPr>
            <w:tcW w:w="601" w:type="dxa"/>
            <w:tcMar>
              <w:left w:w="45" w:type="dxa"/>
              <w:right w:w="45" w:type="dxa"/>
            </w:tcMar>
          </w:tcPr>
          <w:p w14:paraId="6857898E" w14:textId="77777777" w:rsidR="00406643" w:rsidRPr="00D26EB4"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567" w:type="dxa"/>
            <w:tcMar>
              <w:left w:w="45" w:type="dxa"/>
              <w:right w:w="45" w:type="dxa"/>
            </w:tcMar>
          </w:tcPr>
          <w:p w14:paraId="0144F437" w14:textId="77777777" w:rsidR="00406643" w:rsidRPr="00D26EB4"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09" w:type="dxa"/>
            <w:shd w:val="clear" w:color="auto" w:fill="auto"/>
            <w:tcMar>
              <w:left w:w="45" w:type="dxa"/>
              <w:right w:w="45" w:type="dxa"/>
            </w:tcMar>
          </w:tcPr>
          <w:p w14:paraId="4D599D79" w14:textId="77777777" w:rsidR="00406643" w:rsidRPr="00D26EB4"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674" w:type="dxa"/>
            <w:shd w:val="clear" w:color="auto" w:fill="auto"/>
            <w:tcMar>
              <w:left w:w="45" w:type="dxa"/>
              <w:right w:w="45" w:type="dxa"/>
            </w:tcMar>
          </w:tcPr>
          <w:p w14:paraId="01FB0D58" w14:textId="77777777" w:rsidR="00406643" w:rsidRPr="00D26EB4"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711" w:type="dxa"/>
            <w:shd w:val="clear" w:color="auto" w:fill="F2F2F2" w:themeFill="background1" w:themeFillShade="F2"/>
            <w:tcMar>
              <w:left w:w="45" w:type="dxa"/>
              <w:right w:w="45" w:type="dxa"/>
            </w:tcMar>
          </w:tcPr>
          <w:p w14:paraId="173B9481" w14:textId="77777777" w:rsidR="00406643" w:rsidRPr="00D26EB4"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600" w:type="dxa"/>
            <w:shd w:val="clear" w:color="auto" w:fill="F2F2F2" w:themeFill="background1" w:themeFillShade="F2"/>
            <w:tcMar>
              <w:left w:w="45" w:type="dxa"/>
              <w:right w:w="45" w:type="dxa"/>
            </w:tcMar>
          </w:tcPr>
          <w:p w14:paraId="63BCE0CC" w14:textId="77777777" w:rsidR="00406643" w:rsidRPr="00D26EB4"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708" w:type="dxa"/>
            <w:shd w:val="clear" w:color="auto" w:fill="F2F2F2" w:themeFill="background1" w:themeFillShade="F2"/>
            <w:tcMar>
              <w:left w:w="45" w:type="dxa"/>
              <w:right w:w="45" w:type="dxa"/>
            </w:tcMar>
          </w:tcPr>
          <w:p w14:paraId="6008CAF9" w14:textId="77777777" w:rsidR="00406643" w:rsidRPr="00D26EB4"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816" w:type="dxa"/>
            <w:shd w:val="clear" w:color="auto" w:fill="F2F2F2" w:themeFill="background1" w:themeFillShade="F2"/>
            <w:tcMar>
              <w:left w:w="45" w:type="dxa"/>
              <w:right w:w="45" w:type="dxa"/>
            </w:tcMar>
          </w:tcPr>
          <w:p w14:paraId="4C5F9CA1" w14:textId="77777777" w:rsidR="00406643" w:rsidRPr="00D26EB4"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r>
      <w:tr w:rsidR="00E877C8" w:rsidRPr="00D26EB4" w14:paraId="0C897DA8" w14:textId="77777777" w:rsidTr="00D26EB4">
        <w:tc>
          <w:tcPr>
            <w:tcW w:w="2600" w:type="dxa"/>
            <w:tcMar>
              <w:left w:w="45" w:type="dxa"/>
              <w:right w:w="45" w:type="dxa"/>
            </w:tcMar>
          </w:tcPr>
          <w:p w14:paraId="6817FCB5" w14:textId="77777777" w:rsidR="00406643" w:rsidRPr="000C7A56"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Cost of sales</w:t>
            </w:r>
          </w:p>
        </w:tc>
        <w:tc>
          <w:tcPr>
            <w:tcW w:w="601" w:type="dxa"/>
            <w:tcMar>
              <w:left w:w="45" w:type="dxa"/>
              <w:right w:w="45" w:type="dxa"/>
            </w:tcMar>
          </w:tcPr>
          <w:p w14:paraId="7B46A549" w14:textId="735D82F7" w:rsidR="00406643" w:rsidRPr="000C7A56" w:rsidRDefault="00A70216"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(11</w:t>
            </w:r>
            <w:r w:rsidR="00C75379" w:rsidRPr="000C7A56">
              <w:rPr>
                <w:rFonts w:asciiTheme="minorHAnsi" w:hAnsiTheme="minorHAnsi"/>
                <w:sz w:val="16"/>
              </w:rPr>
              <w:t>6</w:t>
            </w:r>
            <w:r w:rsidRPr="000C7A56">
              <w:rPr>
                <w:rFonts w:asciiTheme="minorHAnsi" w:hAnsiTheme="minorHAnsi"/>
                <w:sz w:val="16"/>
              </w:rPr>
              <w:t>)</w:t>
            </w:r>
          </w:p>
        </w:tc>
        <w:tc>
          <w:tcPr>
            <w:tcW w:w="567" w:type="dxa"/>
            <w:tcMar>
              <w:left w:w="45" w:type="dxa"/>
              <w:right w:w="45" w:type="dxa"/>
            </w:tcMar>
          </w:tcPr>
          <w:p w14:paraId="603FD32F" w14:textId="673FD77A" w:rsidR="00406643" w:rsidRPr="000C7A56"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(50)</w:t>
            </w:r>
          </w:p>
        </w:tc>
        <w:tc>
          <w:tcPr>
            <w:tcW w:w="709" w:type="dxa"/>
            <w:tcMar>
              <w:left w:w="45" w:type="dxa"/>
              <w:right w:w="45" w:type="dxa"/>
            </w:tcMar>
          </w:tcPr>
          <w:p w14:paraId="0B95A10C" w14:textId="657622BB" w:rsidR="00406643" w:rsidRPr="000C7A56" w:rsidRDefault="00A70216"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+13</w:t>
            </w:r>
            <w:r w:rsidR="00C75379" w:rsidRPr="000C7A56">
              <w:rPr>
                <w:rFonts w:asciiTheme="minorHAnsi" w:hAnsiTheme="minorHAnsi"/>
                <w:sz w:val="16"/>
              </w:rPr>
              <w:t>2</w:t>
            </w:r>
            <w:r w:rsidRPr="000C7A56">
              <w:rPr>
                <w:rFonts w:asciiTheme="minorHAnsi" w:hAnsiTheme="minorHAnsi"/>
                <w:sz w:val="16"/>
              </w:rPr>
              <w:t>%</w:t>
            </w:r>
          </w:p>
        </w:tc>
        <w:tc>
          <w:tcPr>
            <w:tcW w:w="674" w:type="dxa"/>
            <w:tcMar>
              <w:left w:w="45" w:type="dxa"/>
              <w:right w:w="45" w:type="dxa"/>
            </w:tcMar>
          </w:tcPr>
          <w:p w14:paraId="064FFD37" w14:textId="001F5A72" w:rsidR="00406643" w:rsidRPr="000C7A56" w:rsidRDefault="00A70216"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w:t>
            </w:r>
            <w:r w:rsidR="00C75379" w:rsidRPr="000C7A56">
              <w:rPr>
                <w:rFonts w:asciiTheme="minorHAnsi" w:hAnsiTheme="minorHAnsi"/>
                <w:sz w:val="16"/>
              </w:rPr>
              <w:t>24</w:t>
            </w:r>
            <w:r w:rsidRPr="000C7A56">
              <w:rPr>
                <w:rFonts w:asciiTheme="minorHAnsi" w:hAnsiTheme="minorHAnsi"/>
                <w:sz w:val="16"/>
              </w:rPr>
              <w:t>%</w:t>
            </w:r>
          </w:p>
        </w:tc>
        <w:tc>
          <w:tcPr>
            <w:tcW w:w="711" w:type="dxa"/>
            <w:shd w:val="clear" w:color="auto" w:fill="F2F2F2" w:themeFill="background1" w:themeFillShade="F2"/>
            <w:tcMar>
              <w:left w:w="45" w:type="dxa"/>
              <w:right w:w="45" w:type="dxa"/>
            </w:tcMar>
          </w:tcPr>
          <w:p w14:paraId="45B1CEC4" w14:textId="4DDD7A37" w:rsidR="00406643" w:rsidRPr="000C7A56" w:rsidRDefault="004016C1"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(6</w:t>
            </w:r>
            <w:r w:rsidR="00C75379" w:rsidRPr="000C7A56">
              <w:rPr>
                <w:rFonts w:asciiTheme="minorHAnsi" w:hAnsiTheme="minorHAnsi"/>
                <w:sz w:val="16"/>
              </w:rPr>
              <w:t>52</w:t>
            </w:r>
            <w:r w:rsidRPr="000C7A56">
              <w:rPr>
                <w:rFonts w:asciiTheme="minorHAnsi" w:hAnsiTheme="minorHAnsi"/>
                <w:sz w:val="16"/>
              </w:rPr>
              <w:t>)</w:t>
            </w:r>
          </w:p>
        </w:tc>
        <w:tc>
          <w:tcPr>
            <w:tcW w:w="600" w:type="dxa"/>
            <w:shd w:val="clear" w:color="auto" w:fill="F2F2F2" w:themeFill="background1" w:themeFillShade="F2"/>
            <w:tcMar>
              <w:left w:w="45" w:type="dxa"/>
              <w:right w:w="45" w:type="dxa"/>
            </w:tcMar>
          </w:tcPr>
          <w:p w14:paraId="5156205A" w14:textId="69600AF9" w:rsidR="00406643" w:rsidRPr="000C7A56" w:rsidRDefault="00406643"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w:t>
            </w:r>
            <w:r w:rsidR="00005495" w:rsidRPr="000C7A56">
              <w:rPr>
                <w:rFonts w:asciiTheme="minorHAnsi" w:hAnsiTheme="minorHAnsi"/>
                <w:sz w:val="16"/>
              </w:rPr>
              <w:t>97</w:t>
            </w:r>
            <w:r w:rsidRPr="000C7A56">
              <w:rPr>
                <w:rFonts w:asciiTheme="minorHAnsi" w:hAnsiTheme="minorHAnsi"/>
                <w:sz w:val="16"/>
              </w:rPr>
              <w:t>)</w:t>
            </w:r>
          </w:p>
        </w:tc>
        <w:tc>
          <w:tcPr>
            <w:tcW w:w="708" w:type="dxa"/>
            <w:shd w:val="clear" w:color="auto" w:fill="F2F2F2" w:themeFill="background1" w:themeFillShade="F2"/>
            <w:tcMar>
              <w:left w:w="45" w:type="dxa"/>
              <w:right w:w="45" w:type="dxa"/>
            </w:tcMar>
          </w:tcPr>
          <w:p w14:paraId="7023ECCB" w14:textId="44A66FAA" w:rsidR="00406643" w:rsidRPr="000C7A56" w:rsidRDefault="00D32CFF"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+3</w:t>
            </w:r>
            <w:r w:rsidR="00C75379" w:rsidRPr="000C7A56">
              <w:rPr>
                <w:rFonts w:asciiTheme="minorHAnsi" w:hAnsiTheme="minorHAnsi"/>
                <w:sz w:val="16"/>
              </w:rPr>
              <w:t>1</w:t>
            </w:r>
            <w:r w:rsidRPr="000C7A56">
              <w:rPr>
                <w:rFonts w:asciiTheme="minorHAnsi" w:hAnsiTheme="minorHAnsi"/>
                <w:sz w:val="16"/>
              </w:rPr>
              <w:t>%</w:t>
            </w:r>
          </w:p>
        </w:tc>
        <w:tc>
          <w:tcPr>
            <w:tcW w:w="816" w:type="dxa"/>
            <w:shd w:val="clear" w:color="auto" w:fill="F2F2F2" w:themeFill="background1" w:themeFillShade="F2"/>
            <w:tcMar>
              <w:left w:w="45" w:type="dxa"/>
              <w:right w:w="45" w:type="dxa"/>
            </w:tcMar>
          </w:tcPr>
          <w:p w14:paraId="2D400841" w14:textId="4016B343" w:rsidR="00406643" w:rsidRPr="000C7A56" w:rsidRDefault="00D32CFF"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highlight w:val="yellow"/>
              </w:rPr>
            </w:pPr>
            <w:r w:rsidRPr="000C7A56">
              <w:rPr>
                <w:rFonts w:asciiTheme="minorHAnsi" w:hAnsiTheme="minorHAnsi"/>
                <w:sz w:val="16"/>
              </w:rPr>
              <w:t>+3</w:t>
            </w:r>
            <w:r w:rsidR="00C75379" w:rsidRPr="000C7A56">
              <w:rPr>
                <w:rFonts w:asciiTheme="minorHAnsi" w:hAnsiTheme="minorHAnsi"/>
                <w:sz w:val="16"/>
              </w:rPr>
              <w:t>2</w:t>
            </w:r>
            <w:r w:rsidRPr="000C7A56">
              <w:rPr>
                <w:rFonts w:asciiTheme="minorHAnsi" w:hAnsiTheme="minorHAnsi"/>
                <w:sz w:val="16"/>
              </w:rPr>
              <w:t>%</w:t>
            </w:r>
          </w:p>
        </w:tc>
      </w:tr>
      <w:tr w:rsidR="00D26EB4" w:rsidRPr="00D26EB4" w14:paraId="6C7C5F39" w14:textId="77777777" w:rsidTr="00D26EB4">
        <w:tc>
          <w:tcPr>
            <w:tcW w:w="2600" w:type="dxa"/>
            <w:tcMar>
              <w:left w:w="45" w:type="dxa"/>
              <w:right w:w="45" w:type="dxa"/>
            </w:tcMar>
          </w:tcPr>
          <w:p w14:paraId="26E224E7" w14:textId="6DC50C3A"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6"/>
                <w:szCs w:val="16"/>
                <w:lang w:eastAsia="en-IE"/>
              </w:rPr>
            </w:pPr>
            <w:r w:rsidRPr="00D26EB4">
              <w:rPr>
                <w:rFonts w:asciiTheme="minorHAnsi" w:hAnsiTheme="minorHAnsi" w:cs="Times New Roman"/>
                <w:i/>
                <w:sz w:val="16"/>
                <w:szCs w:val="16"/>
                <w:lang w:eastAsia="en-IE"/>
              </w:rPr>
              <w:t>Cost of sales as a % of net revenue</w:t>
            </w:r>
          </w:p>
        </w:tc>
        <w:tc>
          <w:tcPr>
            <w:tcW w:w="601" w:type="dxa"/>
            <w:tcMar>
              <w:left w:w="45" w:type="dxa"/>
              <w:right w:w="45" w:type="dxa"/>
            </w:tcMar>
          </w:tcPr>
          <w:p w14:paraId="4CAE80AB" w14:textId="40D1B03F"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6"/>
                <w:szCs w:val="16"/>
                <w:lang w:eastAsia="en-IE"/>
              </w:rPr>
            </w:pPr>
            <w:r w:rsidRPr="00D26EB4">
              <w:rPr>
                <w:rFonts w:asciiTheme="minorHAnsi" w:hAnsiTheme="minorHAnsi" w:cs="Times New Roman"/>
                <w:i/>
                <w:sz w:val="16"/>
                <w:szCs w:val="16"/>
                <w:lang w:eastAsia="en-IE"/>
              </w:rPr>
              <w:t>30.8%</w:t>
            </w:r>
          </w:p>
        </w:tc>
        <w:tc>
          <w:tcPr>
            <w:tcW w:w="567" w:type="dxa"/>
            <w:tcMar>
              <w:left w:w="45" w:type="dxa"/>
              <w:right w:w="45" w:type="dxa"/>
            </w:tcMar>
          </w:tcPr>
          <w:p w14:paraId="5D8AF64A" w14:textId="21309B4B"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6"/>
                <w:szCs w:val="16"/>
                <w:lang w:eastAsia="en-IE"/>
              </w:rPr>
            </w:pPr>
            <w:r w:rsidRPr="00D26EB4">
              <w:rPr>
                <w:rFonts w:asciiTheme="minorHAnsi" w:hAnsiTheme="minorHAnsi" w:cs="Times New Roman"/>
                <w:i/>
                <w:sz w:val="16"/>
                <w:szCs w:val="16"/>
                <w:lang w:eastAsia="en-IE"/>
              </w:rPr>
              <w:t>2</w:t>
            </w:r>
            <w:r w:rsidR="00D662D8">
              <w:rPr>
                <w:rFonts w:asciiTheme="minorHAnsi" w:hAnsiTheme="minorHAnsi" w:cs="Times New Roman"/>
                <w:i/>
                <w:sz w:val="16"/>
                <w:szCs w:val="16"/>
                <w:lang w:eastAsia="en-IE"/>
              </w:rPr>
              <w:t>1.2</w:t>
            </w:r>
            <w:r w:rsidRPr="00D26EB4">
              <w:rPr>
                <w:rFonts w:asciiTheme="minorHAnsi" w:hAnsiTheme="minorHAnsi" w:cs="Times New Roman"/>
                <w:i/>
                <w:sz w:val="16"/>
                <w:szCs w:val="16"/>
                <w:lang w:eastAsia="en-IE"/>
              </w:rPr>
              <w:t>%</w:t>
            </w:r>
          </w:p>
        </w:tc>
        <w:tc>
          <w:tcPr>
            <w:tcW w:w="709" w:type="dxa"/>
            <w:tcMar>
              <w:left w:w="45" w:type="dxa"/>
              <w:right w:w="45" w:type="dxa"/>
            </w:tcMar>
          </w:tcPr>
          <w:p w14:paraId="37174A60" w14:textId="60C24DF5"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6"/>
                <w:szCs w:val="16"/>
                <w:lang w:eastAsia="en-IE"/>
              </w:rPr>
            </w:pPr>
            <w:r w:rsidRPr="00D26EB4">
              <w:rPr>
                <w:rFonts w:asciiTheme="minorHAnsi" w:hAnsiTheme="minorHAnsi" w:cs="Times New Roman"/>
                <w:i/>
                <w:sz w:val="16"/>
                <w:szCs w:val="16"/>
                <w:lang w:eastAsia="en-IE"/>
              </w:rPr>
              <w:t>+</w:t>
            </w:r>
            <w:r w:rsidR="00D662D8">
              <w:rPr>
                <w:rFonts w:asciiTheme="minorHAnsi" w:hAnsiTheme="minorHAnsi" w:cs="Times New Roman"/>
                <w:i/>
                <w:sz w:val="16"/>
                <w:szCs w:val="16"/>
                <w:lang w:eastAsia="en-IE"/>
              </w:rPr>
              <w:t>960</w:t>
            </w:r>
            <w:r w:rsidRPr="00D26EB4">
              <w:rPr>
                <w:rFonts w:asciiTheme="minorHAnsi" w:hAnsiTheme="minorHAnsi" w:cs="Times New Roman"/>
                <w:i/>
                <w:sz w:val="16"/>
                <w:szCs w:val="16"/>
                <w:lang w:eastAsia="en-IE"/>
              </w:rPr>
              <w:t>bps</w:t>
            </w:r>
          </w:p>
        </w:tc>
        <w:tc>
          <w:tcPr>
            <w:tcW w:w="674" w:type="dxa"/>
            <w:tcMar>
              <w:left w:w="45" w:type="dxa"/>
              <w:right w:w="45" w:type="dxa"/>
            </w:tcMar>
          </w:tcPr>
          <w:p w14:paraId="138D2862" w14:textId="1935954F"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6"/>
                <w:szCs w:val="16"/>
                <w:lang w:eastAsia="en-IE"/>
              </w:rPr>
            </w:pPr>
            <w:r w:rsidRPr="00D26EB4">
              <w:rPr>
                <w:rFonts w:asciiTheme="minorHAnsi" w:hAnsiTheme="minorHAnsi" w:cs="Times New Roman"/>
                <w:i/>
                <w:sz w:val="16"/>
                <w:szCs w:val="16"/>
                <w:lang w:eastAsia="en-IE"/>
              </w:rPr>
              <w:t>+</w:t>
            </w:r>
            <w:r w:rsidR="00D662D8">
              <w:rPr>
                <w:rFonts w:asciiTheme="minorHAnsi" w:hAnsiTheme="minorHAnsi" w:cs="Times New Roman"/>
                <w:i/>
                <w:sz w:val="16"/>
                <w:szCs w:val="16"/>
                <w:lang w:eastAsia="en-IE"/>
              </w:rPr>
              <w:t>960</w:t>
            </w:r>
            <w:r w:rsidRPr="00D26EB4">
              <w:rPr>
                <w:rFonts w:asciiTheme="minorHAnsi" w:hAnsiTheme="minorHAnsi" w:cs="Times New Roman"/>
                <w:i/>
                <w:sz w:val="16"/>
                <w:szCs w:val="16"/>
                <w:lang w:eastAsia="en-IE"/>
              </w:rPr>
              <w:t>bps</w:t>
            </w:r>
          </w:p>
        </w:tc>
        <w:tc>
          <w:tcPr>
            <w:tcW w:w="711" w:type="dxa"/>
            <w:shd w:val="clear" w:color="auto" w:fill="F2F2F2" w:themeFill="background1" w:themeFillShade="F2"/>
            <w:tcMar>
              <w:left w:w="45" w:type="dxa"/>
              <w:right w:w="45" w:type="dxa"/>
            </w:tcMar>
          </w:tcPr>
          <w:p w14:paraId="2952F379" w14:textId="4FCD8E7A"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6"/>
                <w:szCs w:val="16"/>
                <w:lang w:eastAsia="en-IE"/>
              </w:rPr>
            </w:pPr>
            <w:r w:rsidRPr="00D26EB4">
              <w:rPr>
                <w:rFonts w:asciiTheme="minorHAnsi" w:hAnsiTheme="minorHAnsi" w:cs="Times New Roman"/>
                <w:i/>
                <w:sz w:val="16"/>
                <w:szCs w:val="16"/>
                <w:lang w:eastAsia="en-IE"/>
              </w:rPr>
              <w:t>30.4%</w:t>
            </w:r>
          </w:p>
        </w:tc>
        <w:tc>
          <w:tcPr>
            <w:tcW w:w="600" w:type="dxa"/>
            <w:shd w:val="clear" w:color="auto" w:fill="F2F2F2" w:themeFill="background1" w:themeFillShade="F2"/>
            <w:tcMar>
              <w:left w:w="45" w:type="dxa"/>
              <w:right w:w="45" w:type="dxa"/>
            </w:tcMar>
          </w:tcPr>
          <w:p w14:paraId="6E532173" w14:textId="1BDFCE7E"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6"/>
                <w:szCs w:val="16"/>
                <w:lang w:eastAsia="en-IE"/>
              </w:rPr>
            </w:pPr>
            <w:r w:rsidRPr="00D26EB4">
              <w:rPr>
                <w:rFonts w:asciiTheme="minorHAnsi" w:hAnsiTheme="minorHAnsi" w:cs="Times New Roman"/>
                <w:i/>
                <w:sz w:val="16"/>
                <w:szCs w:val="16"/>
                <w:lang w:eastAsia="en-IE"/>
              </w:rPr>
              <w:t>25.1%</w:t>
            </w:r>
          </w:p>
        </w:tc>
        <w:tc>
          <w:tcPr>
            <w:tcW w:w="708" w:type="dxa"/>
            <w:shd w:val="clear" w:color="auto" w:fill="F2F2F2" w:themeFill="background1" w:themeFillShade="F2"/>
            <w:tcMar>
              <w:left w:w="45" w:type="dxa"/>
              <w:right w:w="45" w:type="dxa"/>
            </w:tcMar>
          </w:tcPr>
          <w:p w14:paraId="06373756" w14:textId="74016806"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6"/>
                <w:szCs w:val="16"/>
                <w:lang w:eastAsia="en-IE"/>
              </w:rPr>
            </w:pPr>
            <w:r w:rsidRPr="00D26EB4">
              <w:rPr>
                <w:rFonts w:asciiTheme="minorHAnsi" w:hAnsiTheme="minorHAnsi" w:cs="Times New Roman"/>
                <w:i/>
                <w:sz w:val="16"/>
                <w:szCs w:val="16"/>
                <w:lang w:eastAsia="en-IE"/>
              </w:rPr>
              <w:t>+530bps</w:t>
            </w:r>
          </w:p>
        </w:tc>
        <w:tc>
          <w:tcPr>
            <w:tcW w:w="816" w:type="dxa"/>
            <w:shd w:val="clear" w:color="auto" w:fill="F2F2F2" w:themeFill="background1" w:themeFillShade="F2"/>
            <w:tcMar>
              <w:left w:w="45" w:type="dxa"/>
              <w:right w:w="45" w:type="dxa"/>
            </w:tcMar>
          </w:tcPr>
          <w:p w14:paraId="0F5289C7" w14:textId="37ADC15B"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6"/>
                <w:szCs w:val="16"/>
                <w:lang w:eastAsia="en-IE"/>
              </w:rPr>
            </w:pPr>
            <w:r w:rsidRPr="00D26EB4">
              <w:rPr>
                <w:rFonts w:asciiTheme="minorHAnsi" w:hAnsiTheme="minorHAnsi" w:cs="Times New Roman"/>
                <w:i/>
                <w:sz w:val="16"/>
                <w:szCs w:val="16"/>
                <w:lang w:eastAsia="en-IE"/>
              </w:rPr>
              <w:t>+5</w:t>
            </w:r>
            <w:r w:rsidR="00D662D8">
              <w:rPr>
                <w:rFonts w:asciiTheme="minorHAnsi" w:hAnsiTheme="minorHAnsi" w:cs="Times New Roman"/>
                <w:i/>
                <w:sz w:val="16"/>
                <w:szCs w:val="16"/>
                <w:lang w:eastAsia="en-IE"/>
              </w:rPr>
              <w:t>4</w:t>
            </w:r>
            <w:r w:rsidRPr="00D26EB4">
              <w:rPr>
                <w:rFonts w:asciiTheme="minorHAnsi" w:hAnsiTheme="minorHAnsi" w:cs="Times New Roman"/>
                <w:i/>
                <w:sz w:val="16"/>
                <w:szCs w:val="16"/>
                <w:lang w:eastAsia="en-IE"/>
              </w:rPr>
              <w:t>0bps</w:t>
            </w:r>
          </w:p>
        </w:tc>
      </w:tr>
      <w:tr w:rsidR="00E877C8" w:rsidRPr="00D26EB4" w14:paraId="71135544" w14:textId="77777777" w:rsidTr="00D26EB4">
        <w:tc>
          <w:tcPr>
            <w:tcW w:w="2600" w:type="dxa"/>
            <w:tcMar>
              <w:left w:w="45" w:type="dxa"/>
              <w:right w:w="45" w:type="dxa"/>
            </w:tcMar>
          </w:tcPr>
          <w:p w14:paraId="11A659EB"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4"/>
                <w:szCs w:val="4"/>
                <w:lang w:eastAsia="en-IE"/>
              </w:rPr>
            </w:pPr>
          </w:p>
        </w:tc>
        <w:tc>
          <w:tcPr>
            <w:tcW w:w="601" w:type="dxa"/>
            <w:tcMar>
              <w:left w:w="45" w:type="dxa"/>
              <w:right w:w="45" w:type="dxa"/>
            </w:tcMar>
          </w:tcPr>
          <w:p w14:paraId="35D45594"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567" w:type="dxa"/>
            <w:tcMar>
              <w:left w:w="45" w:type="dxa"/>
              <w:right w:w="45" w:type="dxa"/>
            </w:tcMar>
          </w:tcPr>
          <w:p w14:paraId="2DE3D400"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09" w:type="dxa"/>
            <w:tcMar>
              <w:left w:w="45" w:type="dxa"/>
              <w:right w:w="45" w:type="dxa"/>
            </w:tcMar>
          </w:tcPr>
          <w:p w14:paraId="1848D78C"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sz w:val="4"/>
                <w:szCs w:val="4"/>
                <w:lang w:eastAsia="en-IE"/>
              </w:rPr>
            </w:pPr>
          </w:p>
        </w:tc>
        <w:tc>
          <w:tcPr>
            <w:tcW w:w="674" w:type="dxa"/>
            <w:tcMar>
              <w:left w:w="45" w:type="dxa"/>
              <w:right w:w="45" w:type="dxa"/>
            </w:tcMar>
          </w:tcPr>
          <w:p w14:paraId="3D81DDA4"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11" w:type="dxa"/>
            <w:shd w:val="clear" w:color="auto" w:fill="F2F2F2" w:themeFill="background1" w:themeFillShade="F2"/>
            <w:tcMar>
              <w:left w:w="45" w:type="dxa"/>
              <w:right w:w="45" w:type="dxa"/>
            </w:tcMar>
          </w:tcPr>
          <w:p w14:paraId="3A20B6DE"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600" w:type="dxa"/>
            <w:shd w:val="clear" w:color="auto" w:fill="F2F2F2" w:themeFill="background1" w:themeFillShade="F2"/>
            <w:tcMar>
              <w:left w:w="45" w:type="dxa"/>
              <w:right w:w="45" w:type="dxa"/>
            </w:tcMar>
          </w:tcPr>
          <w:p w14:paraId="141437C5"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708" w:type="dxa"/>
            <w:shd w:val="clear" w:color="auto" w:fill="F2F2F2" w:themeFill="background1" w:themeFillShade="F2"/>
            <w:tcMar>
              <w:left w:w="45" w:type="dxa"/>
              <w:right w:w="45" w:type="dxa"/>
            </w:tcMar>
          </w:tcPr>
          <w:p w14:paraId="66AC413A"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816" w:type="dxa"/>
            <w:shd w:val="clear" w:color="auto" w:fill="F2F2F2" w:themeFill="background1" w:themeFillShade="F2"/>
            <w:tcMar>
              <w:left w:w="45" w:type="dxa"/>
              <w:right w:w="45" w:type="dxa"/>
            </w:tcMar>
          </w:tcPr>
          <w:p w14:paraId="794F44E7"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sz w:val="4"/>
                <w:szCs w:val="4"/>
                <w:highlight w:val="yellow"/>
                <w:lang w:eastAsia="en-IE"/>
              </w:rPr>
            </w:pPr>
          </w:p>
        </w:tc>
      </w:tr>
      <w:tr w:rsidR="00E877C8" w:rsidRPr="00D26EB4" w14:paraId="37D261D2" w14:textId="77777777" w:rsidTr="00D26EB4">
        <w:tc>
          <w:tcPr>
            <w:tcW w:w="2600" w:type="dxa"/>
            <w:tcMar>
              <w:left w:w="45" w:type="dxa"/>
              <w:right w:w="45" w:type="dxa"/>
            </w:tcMar>
          </w:tcPr>
          <w:p w14:paraId="0DBAFB95"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sz w:val="16"/>
              </w:rPr>
            </w:pPr>
            <w:r w:rsidRPr="000C7A56">
              <w:rPr>
                <w:rFonts w:asciiTheme="minorHAnsi" w:hAnsiTheme="minorHAnsi"/>
                <w:b/>
                <w:sz w:val="16"/>
              </w:rPr>
              <w:t>Gross Profit</w:t>
            </w:r>
          </w:p>
        </w:tc>
        <w:tc>
          <w:tcPr>
            <w:tcW w:w="601" w:type="dxa"/>
            <w:tcMar>
              <w:left w:w="45" w:type="dxa"/>
              <w:right w:w="45" w:type="dxa"/>
            </w:tcMar>
          </w:tcPr>
          <w:p w14:paraId="59522991" w14:textId="41E7D766"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261</w:t>
            </w:r>
          </w:p>
        </w:tc>
        <w:tc>
          <w:tcPr>
            <w:tcW w:w="567" w:type="dxa"/>
            <w:tcMar>
              <w:left w:w="45" w:type="dxa"/>
              <w:right w:w="45" w:type="dxa"/>
            </w:tcMar>
          </w:tcPr>
          <w:p w14:paraId="4011807C" w14:textId="32A7A448"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186</w:t>
            </w:r>
          </w:p>
        </w:tc>
        <w:tc>
          <w:tcPr>
            <w:tcW w:w="709" w:type="dxa"/>
            <w:tcMar>
              <w:left w:w="45" w:type="dxa"/>
              <w:right w:w="45" w:type="dxa"/>
            </w:tcMar>
          </w:tcPr>
          <w:p w14:paraId="7A7AE298" w14:textId="763F3786"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+40%</w:t>
            </w:r>
          </w:p>
        </w:tc>
        <w:tc>
          <w:tcPr>
            <w:tcW w:w="674" w:type="dxa"/>
            <w:tcMar>
              <w:left w:w="45" w:type="dxa"/>
              <w:right w:w="45" w:type="dxa"/>
            </w:tcMar>
          </w:tcPr>
          <w:p w14:paraId="5753E158" w14:textId="7241F6DA"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+35%</w:t>
            </w:r>
          </w:p>
        </w:tc>
        <w:tc>
          <w:tcPr>
            <w:tcW w:w="711" w:type="dxa"/>
            <w:shd w:val="clear" w:color="auto" w:fill="F2F2F2" w:themeFill="background1" w:themeFillShade="F2"/>
            <w:tcMar>
              <w:left w:w="45" w:type="dxa"/>
              <w:right w:w="45" w:type="dxa"/>
            </w:tcMar>
          </w:tcPr>
          <w:p w14:paraId="47F8DE2F" w14:textId="67A80E0B"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1,493</w:t>
            </w:r>
          </w:p>
        </w:tc>
        <w:tc>
          <w:tcPr>
            <w:tcW w:w="600" w:type="dxa"/>
            <w:shd w:val="clear" w:color="auto" w:fill="F2F2F2" w:themeFill="background1" w:themeFillShade="F2"/>
            <w:tcMar>
              <w:left w:w="45" w:type="dxa"/>
              <w:right w:w="45" w:type="dxa"/>
            </w:tcMar>
          </w:tcPr>
          <w:p w14:paraId="31709C86" w14:textId="5E4AA6F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1,483</w:t>
            </w:r>
          </w:p>
        </w:tc>
        <w:tc>
          <w:tcPr>
            <w:tcW w:w="708" w:type="dxa"/>
            <w:shd w:val="clear" w:color="auto" w:fill="F2F2F2" w:themeFill="background1" w:themeFillShade="F2"/>
            <w:tcMar>
              <w:left w:w="45" w:type="dxa"/>
              <w:right w:w="45" w:type="dxa"/>
            </w:tcMar>
          </w:tcPr>
          <w:p w14:paraId="4831864A" w14:textId="352F97C9"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w:t>
            </w:r>
          </w:p>
        </w:tc>
        <w:tc>
          <w:tcPr>
            <w:tcW w:w="816" w:type="dxa"/>
            <w:shd w:val="clear" w:color="auto" w:fill="F2F2F2" w:themeFill="background1" w:themeFillShade="F2"/>
            <w:tcMar>
              <w:left w:w="45" w:type="dxa"/>
              <w:right w:w="45" w:type="dxa"/>
            </w:tcMar>
          </w:tcPr>
          <w:p w14:paraId="2EF994E8" w14:textId="5BB53AFC"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w:t>
            </w:r>
          </w:p>
        </w:tc>
      </w:tr>
      <w:tr w:rsidR="00E877C8" w:rsidRPr="00D26EB4" w14:paraId="54399177" w14:textId="77777777" w:rsidTr="00D26EB4">
        <w:trPr>
          <w:trHeight w:val="58"/>
        </w:trPr>
        <w:tc>
          <w:tcPr>
            <w:tcW w:w="2600" w:type="dxa"/>
            <w:tcMar>
              <w:left w:w="45" w:type="dxa"/>
              <w:right w:w="45" w:type="dxa"/>
            </w:tcMar>
          </w:tcPr>
          <w:p w14:paraId="1CFF9174"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4"/>
              </w:rPr>
            </w:pPr>
          </w:p>
        </w:tc>
        <w:tc>
          <w:tcPr>
            <w:tcW w:w="601" w:type="dxa"/>
            <w:tcMar>
              <w:left w:w="45" w:type="dxa"/>
              <w:right w:w="45" w:type="dxa"/>
            </w:tcMar>
          </w:tcPr>
          <w:p w14:paraId="137BD2A7"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4"/>
                <w:highlight w:val="yellow"/>
              </w:rPr>
            </w:pPr>
          </w:p>
        </w:tc>
        <w:tc>
          <w:tcPr>
            <w:tcW w:w="567" w:type="dxa"/>
            <w:tcMar>
              <w:left w:w="45" w:type="dxa"/>
              <w:right w:w="45" w:type="dxa"/>
            </w:tcMar>
          </w:tcPr>
          <w:p w14:paraId="104D1D66"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4"/>
                <w:highlight w:val="yellow"/>
              </w:rPr>
            </w:pPr>
          </w:p>
        </w:tc>
        <w:tc>
          <w:tcPr>
            <w:tcW w:w="709" w:type="dxa"/>
            <w:tcMar>
              <w:left w:w="45" w:type="dxa"/>
              <w:right w:w="45" w:type="dxa"/>
            </w:tcMar>
          </w:tcPr>
          <w:p w14:paraId="796D8587"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4"/>
              </w:rPr>
            </w:pPr>
          </w:p>
        </w:tc>
        <w:tc>
          <w:tcPr>
            <w:tcW w:w="674" w:type="dxa"/>
            <w:tcMar>
              <w:left w:w="45" w:type="dxa"/>
              <w:right w:w="45" w:type="dxa"/>
            </w:tcMar>
          </w:tcPr>
          <w:p w14:paraId="79A88413"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4"/>
                <w:highlight w:val="yellow"/>
              </w:rPr>
            </w:pPr>
          </w:p>
        </w:tc>
        <w:tc>
          <w:tcPr>
            <w:tcW w:w="711" w:type="dxa"/>
            <w:shd w:val="clear" w:color="auto" w:fill="F2F2F2" w:themeFill="background1" w:themeFillShade="F2"/>
            <w:tcMar>
              <w:left w:w="45" w:type="dxa"/>
              <w:right w:w="45" w:type="dxa"/>
            </w:tcMar>
          </w:tcPr>
          <w:p w14:paraId="50DFCCCE"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4"/>
                <w:highlight w:val="yellow"/>
              </w:rPr>
            </w:pPr>
          </w:p>
        </w:tc>
        <w:tc>
          <w:tcPr>
            <w:tcW w:w="600" w:type="dxa"/>
            <w:shd w:val="clear" w:color="auto" w:fill="F2F2F2" w:themeFill="background1" w:themeFillShade="F2"/>
            <w:tcMar>
              <w:left w:w="45" w:type="dxa"/>
              <w:right w:w="45" w:type="dxa"/>
            </w:tcMar>
          </w:tcPr>
          <w:p w14:paraId="34C0D713"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4"/>
              </w:rPr>
            </w:pPr>
          </w:p>
        </w:tc>
        <w:tc>
          <w:tcPr>
            <w:tcW w:w="708" w:type="dxa"/>
            <w:shd w:val="clear" w:color="auto" w:fill="F2F2F2" w:themeFill="background1" w:themeFillShade="F2"/>
            <w:tcMar>
              <w:left w:w="45" w:type="dxa"/>
              <w:right w:w="45" w:type="dxa"/>
            </w:tcMar>
          </w:tcPr>
          <w:p w14:paraId="6507BE61"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4"/>
              </w:rPr>
            </w:pPr>
          </w:p>
        </w:tc>
        <w:tc>
          <w:tcPr>
            <w:tcW w:w="816" w:type="dxa"/>
            <w:shd w:val="clear" w:color="auto" w:fill="F2F2F2" w:themeFill="background1" w:themeFillShade="F2"/>
            <w:tcMar>
              <w:left w:w="45" w:type="dxa"/>
              <w:right w:w="45" w:type="dxa"/>
            </w:tcMar>
          </w:tcPr>
          <w:p w14:paraId="751F7E34"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4"/>
              </w:rPr>
            </w:pPr>
          </w:p>
        </w:tc>
      </w:tr>
      <w:tr w:rsidR="00E877C8" w:rsidRPr="00D26EB4" w14:paraId="06049E76" w14:textId="77777777" w:rsidTr="00D26EB4">
        <w:trPr>
          <w:trHeight w:val="58"/>
        </w:trPr>
        <w:tc>
          <w:tcPr>
            <w:tcW w:w="2600" w:type="dxa"/>
            <w:tcMar>
              <w:left w:w="45" w:type="dxa"/>
              <w:right w:w="45" w:type="dxa"/>
            </w:tcMar>
          </w:tcPr>
          <w:p w14:paraId="5AC5F138" w14:textId="79C18CD4"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Sales &amp; marketing</w:t>
            </w:r>
          </w:p>
        </w:tc>
        <w:tc>
          <w:tcPr>
            <w:tcW w:w="601" w:type="dxa"/>
            <w:tcMar>
              <w:left w:w="45" w:type="dxa"/>
              <w:right w:w="45" w:type="dxa"/>
            </w:tcMar>
          </w:tcPr>
          <w:p w14:paraId="76C3CA48" w14:textId="11449575"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highlight w:val="yellow"/>
              </w:rPr>
            </w:pPr>
            <w:r w:rsidRPr="000C7A56">
              <w:rPr>
                <w:rFonts w:asciiTheme="minorHAnsi" w:hAnsiTheme="minorHAnsi"/>
                <w:sz w:val="16"/>
              </w:rPr>
              <w:t>(145)</w:t>
            </w:r>
          </w:p>
        </w:tc>
        <w:tc>
          <w:tcPr>
            <w:tcW w:w="567" w:type="dxa"/>
            <w:tcMar>
              <w:left w:w="45" w:type="dxa"/>
              <w:right w:w="45" w:type="dxa"/>
            </w:tcMar>
          </w:tcPr>
          <w:p w14:paraId="50341D4C" w14:textId="0F266779"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highlight w:val="yellow"/>
              </w:rPr>
            </w:pPr>
            <w:r w:rsidRPr="000C7A56">
              <w:rPr>
                <w:rFonts w:asciiTheme="minorHAnsi" w:hAnsiTheme="minorHAnsi"/>
                <w:sz w:val="16"/>
              </w:rPr>
              <w:t>(95)</w:t>
            </w:r>
          </w:p>
        </w:tc>
        <w:tc>
          <w:tcPr>
            <w:tcW w:w="709" w:type="dxa"/>
            <w:tcMar>
              <w:left w:w="45" w:type="dxa"/>
              <w:right w:w="45" w:type="dxa"/>
            </w:tcMar>
          </w:tcPr>
          <w:p w14:paraId="7A54D13C" w14:textId="4F5C48C0"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+53%</w:t>
            </w:r>
          </w:p>
        </w:tc>
        <w:tc>
          <w:tcPr>
            <w:tcW w:w="674" w:type="dxa"/>
            <w:tcMar>
              <w:left w:w="45" w:type="dxa"/>
              <w:right w:w="45" w:type="dxa"/>
            </w:tcMar>
          </w:tcPr>
          <w:p w14:paraId="22EBE8D4" w14:textId="225FC5A5"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highlight w:val="yellow"/>
              </w:rPr>
            </w:pPr>
            <w:r w:rsidRPr="000C7A56">
              <w:rPr>
                <w:rFonts w:asciiTheme="minorHAnsi" w:hAnsiTheme="minorHAnsi"/>
                <w:sz w:val="16"/>
              </w:rPr>
              <w:t>+47%</w:t>
            </w:r>
          </w:p>
        </w:tc>
        <w:tc>
          <w:tcPr>
            <w:tcW w:w="711" w:type="dxa"/>
            <w:shd w:val="clear" w:color="auto" w:fill="F2F2F2" w:themeFill="background1" w:themeFillShade="F2"/>
            <w:tcMar>
              <w:left w:w="45" w:type="dxa"/>
              <w:right w:w="45" w:type="dxa"/>
            </w:tcMar>
          </w:tcPr>
          <w:p w14:paraId="4F4FD492" w14:textId="4F2E00E4"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highlight w:val="yellow"/>
              </w:rPr>
            </w:pPr>
            <w:r w:rsidRPr="000C7A56">
              <w:rPr>
                <w:rFonts w:asciiTheme="minorHAnsi" w:hAnsiTheme="minorHAnsi"/>
                <w:sz w:val="16"/>
              </w:rPr>
              <w:t>(466)</w:t>
            </w:r>
          </w:p>
        </w:tc>
        <w:tc>
          <w:tcPr>
            <w:tcW w:w="600" w:type="dxa"/>
            <w:shd w:val="clear" w:color="auto" w:fill="F2F2F2" w:themeFill="background1" w:themeFillShade="F2"/>
            <w:tcMar>
              <w:left w:w="45" w:type="dxa"/>
              <w:right w:w="45" w:type="dxa"/>
            </w:tcMar>
          </w:tcPr>
          <w:p w14:paraId="449AD0C9" w14:textId="32E4FC4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(433)</w:t>
            </w:r>
          </w:p>
        </w:tc>
        <w:tc>
          <w:tcPr>
            <w:tcW w:w="708" w:type="dxa"/>
            <w:shd w:val="clear" w:color="auto" w:fill="F2F2F2" w:themeFill="background1" w:themeFillShade="F2"/>
            <w:tcMar>
              <w:left w:w="45" w:type="dxa"/>
              <w:right w:w="45" w:type="dxa"/>
            </w:tcMar>
          </w:tcPr>
          <w:p w14:paraId="02489081" w14:textId="15AEF448"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+8%</w:t>
            </w:r>
          </w:p>
        </w:tc>
        <w:tc>
          <w:tcPr>
            <w:tcW w:w="816" w:type="dxa"/>
            <w:shd w:val="clear" w:color="auto" w:fill="F2F2F2" w:themeFill="background1" w:themeFillShade="F2"/>
            <w:tcMar>
              <w:left w:w="45" w:type="dxa"/>
              <w:right w:w="45" w:type="dxa"/>
            </w:tcMar>
          </w:tcPr>
          <w:p w14:paraId="34DC6467" w14:textId="73DE2261"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+7%</w:t>
            </w:r>
          </w:p>
        </w:tc>
      </w:tr>
      <w:tr w:rsidR="00D26EB4" w:rsidRPr="00D26EB4" w14:paraId="27353CD3" w14:textId="77777777" w:rsidTr="00D26EB4">
        <w:trPr>
          <w:trHeight w:val="58"/>
        </w:trPr>
        <w:tc>
          <w:tcPr>
            <w:tcW w:w="2600" w:type="dxa"/>
            <w:tcMar>
              <w:left w:w="45" w:type="dxa"/>
              <w:right w:w="45" w:type="dxa"/>
            </w:tcMar>
          </w:tcPr>
          <w:p w14:paraId="0ADD5659" w14:textId="0DEFBB15"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6"/>
                <w:szCs w:val="16"/>
                <w:lang w:eastAsia="en-IE"/>
              </w:rPr>
            </w:pPr>
            <w:r w:rsidRPr="00D26EB4">
              <w:rPr>
                <w:rFonts w:asciiTheme="minorHAnsi" w:hAnsiTheme="minorHAnsi" w:cs="Times New Roman"/>
                <w:b/>
                <w:sz w:val="16"/>
                <w:szCs w:val="16"/>
                <w:lang w:eastAsia="en-IE"/>
              </w:rPr>
              <w:t>Contribution</w:t>
            </w:r>
          </w:p>
        </w:tc>
        <w:tc>
          <w:tcPr>
            <w:tcW w:w="601" w:type="dxa"/>
            <w:tcMar>
              <w:left w:w="45" w:type="dxa"/>
              <w:right w:w="45" w:type="dxa"/>
            </w:tcMar>
          </w:tcPr>
          <w:p w14:paraId="684642EF" w14:textId="3A3A25AF"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6"/>
                <w:szCs w:val="16"/>
                <w:lang w:eastAsia="en-IE"/>
              </w:rPr>
            </w:pPr>
            <w:r w:rsidRPr="00D26EB4">
              <w:rPr>
                <w:rFonts w:asciiTheme="minorHAnsi" w:hAnsiTheme="minorHAnsi" w:cs="Times New Roman"/>
                <w:b/>
                <w:sz w:val="16"/>
                <w:szCs w:val="16"/>
                <w:lang w:eastAsia="en-IE"/>
              </w:rPr>
              <w:t>115</w:t>
            </w:r>
          </w:p>
        </w:tc>
        <w:tc>
          <w:tcPr>
            <w:tcW w:w="567" w:type="dxa"/>
            <w:tcMar>
              <w:left w:w="45" w:type="dxa"/>
              <w:right w:w="45" w:type="dxa"/>
            </w:tcMar>
          </w:tcPr>
          <w:p w14:paraId="6A82CA46" w14:textId="4CD128F7" w:rsidR="00D26EB4" w:rsidRPr="00D26EB4" w:rsidRDefault="00DA6A2E"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6"/>
                <w:szCs w:val="16"/>
                <w:lang w:eastAsia="en-IE"/>
              </w:rPr>
            </w:pPr>
            <w:r>
              <w:rPr>
                <w:rFonts w:asciiTheme="minorHAnsi" w:hAnsiTheme="minorHAnsi" w:cs="Times New Roman"/>
                <w:b/>
                <w:sz w:val="16"/>
                <w:szCs w:val="16"/>
                <w:lang w:eastAsia="en-IE"/>
              </w:rPr>
              <w:t>91</w:t>
            </w:r>
          </w:p>
        </w:tc>
        <w:tc>
          <w:tcPr>
            <w:tcW w:w="709" w:type="dxa"/>
            <w:tcMar>
              <w:left w:w="45" w:type="dxa"/>
              <w:right w:w="45" w:type="dxa"/>
            </w:tcMar>
          </w:tcPr>
          <w:p w14:paraId="3696DE82" w14:textId="4E8573DA" w:rsidR="00D26EB4" w:rsidRPr="00ED435E" w:rsidRDefault="00D40096"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Pr>
                <w:rFonts w:asciiTheme="minorHAnsi" w:hAnsiTheme="minorHAnsi" w:cs="Times New Roman"/>
                <w:b/>
                <w:sz w:val="16"/>
                <w:szCs w:val="16"/>
                <w:lang w:eastAsia="en-IE"/>
              </w:rPr>
              <w:t>+</w:t>
            </w:r>
            <w:r w:rsidR="00ED435E" w:rsidRPr="00ED435E">
              <w:rPr>
                <w:rFonts w:asciiTheme="minorHAnsi" w:hAnsiTheme="minorHAnsi" w:cs="Times New Roman"/>
                <w:b/>
                <w:sz w:val="16"/>
                <w:szCs w:val="16"/>
                <w:lang w:eastAsia="en-IE"/>
              </w:rPr>
              <w:t>27%</w:t>
            </w:r>
          </w:p>
        </w:tc>
        <w:tc>
          <w:tcPr>
            <w:tcW w:w="674" w:type="dxa"/>
            <w:tcMar>
              <w:left w:w="45" w:type="dxa"/>
              <w:right w:w="45" w:type="dxa"/>
            </w:tcMar>
          </w:tcPr>
          <w:p w14:paraId="54E2FD76" w14:textId="70BA4510" w:rsidR="00D26EB4" w:rsidRPr="00ED435E" w:rsidRDefault="00D40096"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Pr>
                <w:rFonts w:asciiTheme="minorHAnsi" w:hAnsiTheme="minorHAnsi" w:cs="Times New Roman"/>
                <w:b/>
                <w:sz w:val="16"/>
                <w:szCs w:val="16"/>
                <w:lang w:eastAsia="en-IE"/>
              </w:rPr>
              <w:t>+</w:t>
            </w:r>
            <w:r w:rsidR="00ED435E" w:rsidRPr="00ED435E">
              <w:rPr>
                <w:rFonts w:asciiTheme="minorHAnsi" w:hAnsiTheme="minorHAnsi" w:cs="Times New Roman"/>
                <w:b/>
                <w:sz w:val="16"/>
                <w:szCs w:val="16"/>
                <w:lang w:eastAsia="en-IE"/>
              </w:rPr>
              <w:t>22%</w:t>
            </w:r>
          </w:p>
        </w:tc>
        <w:tc>
          <w:tcPr>
            <w:tcW w:w="711" w:type="dxa"/>
            <w:shd w:val="clear" w:color="auto" w:fill="F2F2F2" w:themeFill="background1" w:themeFillShade="F2"/>
            <w:tcMar>
              <w:left w:w="45" w:type="dxa"/>
              <w:right w:w="45" w:type="dxa"/>
            </w:tcMar>
          </w:tcPr>
          <w:p w14:paraId="232288B6" w14:textId="1FDF88BE"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6"/>
                <w:szCs w:val="16"/>
                <w:lang w:eastAsia="en-IE"/>
              </w:rPr>
            </w:pPr>
            <w:r w:rsidRPr="00D26EB4">
              <w:rPr>
                <w:rFonts w:asciiTheme="minorHAnsi" w:hAnsiTheme="minorHAnsi" w:cs="Times New Roman"/>
                <w:b/>
                <w:sz w:val="16"/>
                <w:szCs w:val="16"/>
                <w:lang w:eastAsia="en-IE"/>
              </w:rPr>
              <w:t>1,</w:t>
            </w:r>
            <w:r w:rsidR="008C17B5" w:rsidRPr="00D26EB4">
              <w:rPr>
                <w:rFonts w:asciiTheme="minorHAnsi" w:hAnsiTheme="minorHAnsi" w:cs="Times New Roman"/>
                <w:b/>
                <w:sz w:val="16"/>
                <w:szCs w:val="16"/>
                <w:lang w:eastAsia="en-IE"/>
              </w:rPr>
              <w:t>02</w:t>
            </w:r>
            <w:r w:rsidR="008C17B5">
              <w:rPr>
                <w:rFonts w:asciiTheme="minorHAnsi" w:hAnsiTheme="minorHAnsi" w:cs="Times New Roman"/>
                <w:b/>
                <w:sz w:val="16"/>
                <w:szCs w:val="16"/>
                <w:lang w:eastAsia="en-IE"/>
              </w:rPr>
              <w:t>7</w:t>
            </w:r>
          </w:p>
        </w:tc>
        <w:tc>
          <w:tcPr>
            <w:tcW w:w="600" w:type="dxa"/>
            <w:shd w:val="clear" w:color="auto" w:fill="F2F2F2" w:themeFill="background1" w:themeFillShade="F2"/>
            <w:tcMar>
              <w:left w:w="45" w:type="dxa"/>
              <w:right w:w="45" w:type="dxa"/>
            </w:tcMar>
          </w:tcPr>
          <w:p w14:paraId="7EE376B8" w14:textId="5D8D9BD7" w:rsidR="00D26EB4" w:rsidRPr="00D26EB4" w:rsidRDefault="008C17B5"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6"/>
                <w:szCs w:val="16"/>
                <w:lang w:eastAsia="en-IE"/>
              </w:rPr>
            </w:pPr>
            <w:r>
              <w:rPr>
                <w:rFonts w:asciiTheme="minorHAnsi" w:hAnsiTheme="minorHAnsi" w:cs="Times New Roman"/>
                <w:b/>
                <w:sz w:val="16"/>
                <w:szCs w:val="16"/>
                <w:lang w:eastAsia="en-IE"/>
              </w:rPr>
              <w:t>1,050</w:t>
            </w:r>
          </w:p>
        </w:tc>
        <w:tc>
          <w:tcPr>
            <w:tcW w:w="708" w:type="dxa"/>
            <w:shd w:val="clear" w:color="auto" w:fill="F2F2F2" w:themeFill="background1" w:themeFillShade="F2"/>
            <w:tcMar>
              <w:left w:w="45" w:type="dxa"/>
              <w:right w:w="45" w:type="dxa"/>
            </w:tcMar>
          </w:tcPr>
          <w:p w14:paraId="774E716B" w14:textId="11E95F32" w:rsidR="00D26EB4" w:rsidRPr="00ED435E" w:rsidRDefault="00ED435E"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ED435E">
              <w:rPr>
                <w:rFonts w:asciiTheme="minorHAnsi" w:hAnsiTheme="minorHAnsi" w:cs="Times New Roman"/>
                <w:b/>
                <w:sz w:val="16"/>
                <w:szCs w:val="16"/>
                <w:lang w:eastAsia="en-IE"/>
              </w:rPr>
              <w:t>-2%</w:t>
            </w:r>
          </w:p>
        </w:tc>
        <w:tc>
          <w:tcPr>
            <w:tcW w:w="816" w:type="dxa"/>
            <w:shd w:val="clear" w:color="auto" w:fill="F2F2F2" w:themeFill="background1" w:themeFillShade="F2"/>
            <w:tcMar>
              <w:left w:w="45" w:type="dxa"/>
              <w:right w:w="45" w:type="dxa"/>
            </w:tcMar>
          </w:tcPr>
          <w:p w14:paraId="17620A63" w14:textId="25BD3E64" w:rsidR="00D26EB4" w:rsidRPr="00ED435E" w:rsidRDefault="00ED435E"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ED435E">
              <w:rPr>
                <w:rFonts w:asciiTheme="minorHAnsi" w:hAnsiTheme="minorHAnsi" w:cs="Times New Roman"/>
                <w:b/>
                <w:sz w:val="16"/>
                <w:szCs w:val="16"/>
                <w:lang w:eastAsia="en-IE"/>
              </w:rPr>
              <w:t>-2%</w:t>
            </w:r>
          </w:p>
        </w:tc>
      </w:tr>
      <w:tr w:rsidR="00D26EB4" w:rsidRPr="00D26EB4" w14:paraId="26095857" w14:textId="77777777" w:rsidTr="00D26EB4">
        <w:trPr>
          <w:trHeight w:val="58"/>
        </w:trPr>
        <w:tc>
          <w:tcPr>
            <w:tcW w:w="2600" w:type="dxa"/>
            <w:tcMar>
              <w:left w:w="45" w:type="dxa"/>
              <w:right w:w="45" w:type="dxa"/>
            </w:tcMar>
          </w:tcPr>
          <w:p w14:paraId="352A4750" w14:textId="77777777"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4"/>
                <w:szCs w:val="4"/>
                <w:lang w:eastAsia="en-IE"/>
              </w:rPr>
            </w:pPr>
          </w:p>
        </w:tc>
        <w:tc>
          <w:tcPr>
            <w:tcW w:w="601" w:type="dxa"/>
            <w:tcMar>
              <w:left w:w="45" w:type="dxa"/>
              <w:right w:w="45" w:type="dxa"/>
            </w:tcMar>
          </w:tcPr>
          <w:p w14:paraId="31FEAA4B" w14:textId="77777777"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567" w:type="dxa"/>
            <w:tcMar>
              <w:left w:w="45" w:type="dxa"/>
              <w:right w:w="45" w:type="dxa"/>
            </w:tcMar>
          </w:tcPr>
          <w:p w14:paraId="11D7DE1C" w14:textId="77777777"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709" w:type="dxa"/>
            <w:tcMar>
              <w:left w:w="45" w:type="dxa"/>
              <w:right w:w="45" w:type="dxa"/>
            </w:tcMar>
          </w:tcPr>
          <w:p w14:paraId="21708A00" w14:textId="77777777" w:rsidR="00D26EB4" w:rsidRPr="00ED435E"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674" w:type="dxa"/>
            <w:tcMar>
              <w:left w:w="45" w:type="dxa"/>
              <w:right w:w="45" w:type="dxa"/>
            </w:tcMar>
          </w:tcPr>
          <w:p w14:paraId="756AF3D2" w14:textId="77777777" w:rsidR="00D26EB4" w:rsidRPr="00ED435E"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highlight w:val="yellow"/>
                <w:lang w:eastAsia="en-IE"/>
              </w:rPr>
            </w:pPr>
          </w:p>
        </w:tc>
        <w:tc>
          <w:tcPr>
            <w:tcW w:w="711" w:type="dxa"/>
            <w:shd w:val="clear" w:color="auto" w:fill="F2F2F2" w:themeFill="background1" w:themeFillShade="F2"/>
            <w:tcMar>
              <w:left w:w="45" w:type="dxa"/>
              <w:right w:w="45" w:type="dxa"/>
            </w:tcMar>
          </w:tcPr>
          <w:p w14:paraId="2318A69E" w14:textId="77777777"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highlight w:val="yellow"/>
                <w:lang w:eastAsia="en-IE"/>
              </w:rPr>
            </w:pPr>
          </w:p>
        </w:tc>
        <w:tc>
          <w:tcPr>
            <w:tcW w:w="600" w:type="dxa"/>
            <w:shd w:val="clear" w:color="auto" w:fill="F2F2F2" w:themeFill="background1" w:themeFillShade="F2"/>
            <w:tcMar>
              <w:left w:w="45" w:type="dxa"/>
              <w:right w:w="45" w:type="dxa"/>
            </w:tcMar>
          </w:tcPr>
          <w:p w14:paraId="03BCC176" w14:textId="77777777"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708" w:type="dxa"/>
            <w:shd w:val="clear" w:color="auto" w:fill="F2F2F2" w:themeFill="background1" w:themeFillShade="F2"/>
            <w:tcMar>
              <w:left w:w="45" w:type="dxa"/>
              <w:right w:w="45" w:type="dxa"/>
            </w:tcMar>
          </w:tcPr>
          <w:p w14:paraId="7B5678F9" w14:textId="77777777"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c>
          <w:tcPr>
            <w:tcW w:w="816" w:type="dxa"/>
            <w:shd w:val="clear" w:color="auto" w:fill="F2F2F2" w:themeFill="background1" w:themeFillShade="F2"/>
            <w:tcMar>
              <w:left w:w="45" w:type="dxa"/>
              <w:right w:w="45" w:type="dxa"/>
            </w:tcMar>
          </w:tcPr>
          <w:p w14:paraId="3F6BCFA2" w14:textId="77777777"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4"/>
                <w:szCs w:val="4"/>
                <w:lang w:eastAsia="en-IE"/>
              </w:rPr>
            </w:pPr>
          </w:p>
        </w:tc>
      </w:tr>
      <w:tr w:rsidR="00E877C8" w:rsidRPr="00D26EB4" w14:paraId="184FD098" w14:textId="77777777" w:rsidTr="00D26EB4">
        <w:tc>
          <w:tcPr>
            <w:tcW w:w="2600" w:type="dxa"/>
            <w:tcMar>
              <w:left w:w="45" w:type="dxa"/>
              <w:right w:w="45" w:type="dxa"/>
            </w:tcMar>
          </w:tcPr>
          <w:p w14:paraId="1B83EA69"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Product &amp; technology</w:t>
            </w:r>
          </w:p>
        </w:tc>
        <w:tc>
          <w:tcPr>
            <w:tcW w:w="601" w:type="dxa"/>
            <w:tcMar>
              <w:left w:w="45" w:type="dxa"/>
              <w:right w:w="45" w:type="dxa"/>
            </w:tcMar>
          </w:tcPr>
          <w:p w14:paraId="2EC46CE7" w14:textId="24B9F923"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(44)</w:t>
            </w:r>
          </w:p>
        </w:tc>
        <w:tc>
          <w:tcPr>
            <w:tcW w:w="567" w:type="dxa"/>
            <w:tcMar>
              <w:left w:w="45" w:type="dxa"/>
              <w:right w:w="45" w:type="dxa"/>
            </w:tcMar>
          </w:tcPr>
          <w:p w14:paraId="40929A95" w14:textId="4A57D538"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(32)</w:t>
            </w:r>
          </w:p>
        </w:tc>
        <w:tc>
          <w:tcPr>
            <w:tcW w:w="709" w:type="dxa"/>
            <w:tcMar>
              <w:left w:w="45" w:type="dxa"/>
              <w:right w:w="45" w:type="dxa"/>
            </w:tcMar>
          </w:tcPr>
          <w:p w14:paraId="5341169A" w14:textId="6D4AFE6D"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+36%</w:t>
            </w:r>
          </w:p>
        </w:tc>
        <w:tc>
          <w:tcPr>
            <w:tcW w:w="674" w:type="dxa"/>
            <w:tcMar>
              <w:left w:w="45" w:type="dxa"/>
              <w:right w:w="45" w:type="dxa"/>
            </w:tcMar>
          </w:tcPr>
          <w:p w14:paraId="030CEEEF" w14:textId="166D15CE"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+30%</w:t>
            </w:r>
          </w:p>
        </w:tc>
        <w:tc>
          <w:tcPr>
            <w:tcW w:w="711" w:type="dxa"/>
            <w:shd w:val="clear" w:color="auto" w:fill="F2F2F2" w:themeFill="background1" w:themeFillShade="F2"/>
            <w:tcMar>
              <w:left w:w="45" w:type="dxa"/>
              <w:right w:w="45" w:type="dxa"/>
            </w:tcMar>
          </w:tcPr>
          <w:p w14:paraId="22370A43" w14:textId="5EE70B0D"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(171)</w:t>
            </w:r>
          </w:p>
        </w:tc>
        <w:tc>
          <w:tcPr>
            <w:tcW w:w="600" w:type="dxa"/>
            <w:shd w:val="clear" w:color="auto" w:fill="F2F2F2" w:themeFill="background1" w:themeFillShade="F2"/>
            <w:tcMar>
              <w:left w:w="45" w:type="dxa"/>
              <w:right w:w="45" w:type="dxa"/>
            </w:tcMar>
          </w:tcPr>
          <w:p w14:paraId="3491721A" w14:textId="64B36D1B"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(156)</w:t>
            </w:r>
          </w:p>
        </w:tc>
        <w:tc>
          <w:tcPr>
            <w:tcW w:w="708" w:type="dxa"/>
            <w:shd w:val="clear" w:color="auto" w:fill="F2F2F2" w:themeFill="background1" w:themeFillShade="F2"/>
            <w:tcMar>
              <w:left w:w="45" w:type="dxa"/>
              <w:right w:w="45" w:type="dxa"/>
            </w:tcMar>
          </w:tcPr>
          <w:p w14:paraId="4AD31E0B" w14:textId="6A4C7E20"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+9%</w:t>
            </w:r>
          </w:p>
        </w:tc>
        <w:tc>
          <w:tcPr>
            <w:tcW w:w="816" w:type="dxa"/>
            <w:shd w:val="clear" w:color="auto" w:fill="F2F2F2" w:themeFill="background1" w:themeFillShade="F2"/>
            <w:tcMar>
              <w:left w:w="45" w:type="dxa"/>
              <w:right w:w="45" w:type="dxa"/>
            </w:tcMar>
          </w:tcPr>
          <w:p w14:paraId="20347A98" w14:textId="7916F06B"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+9%</w:t>
            </w:r>
          </w:p>
        </w:tc>
      </w:tr>
      <w:tr w:rsidR="00E877C8" w:rsidRPr="00D26EB4" w14:paraId="7201C857" w14:textId="77777777" w:rsidTr="00D26EB4">
        <w:tc>
          <w:tcPr>
            <w:tcW w:w="2600" w:type="dxa"/>
            <w:tcMar>
              <w:left w:w="45" w:type="dxa"/>
              <w:right w:w="45" w:type="dxa"/>
            </w:tcMar>
          </w:tcPr>
          <w:p w14:paraId="4902139C"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Operations</w:t>
            </w:r>
          </w:p>
        </w:tc>
        <w:tc>
          <w:tcPr>
            <w:tcW w:w="601" w:type="dxa"/>
            <w:tcMar>
              <w:left w:w="45" w:type="dxa"/>
              <w:right w:w="45" w:type="dxa"/>
            </w:tcMar>
          </w:tcPr>
          <w:p w14:paraId="6FB730F2" w14:textId="138F7BE0"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(112)</w:t>
            </w:r>
          </w:p>
        </w:tc>
        <w:tc>
          <w:tcPr>
            <w:tcW w:w="567" w:type="dxa"/>
            <w:tcMar>
              <w:left w:w="45" w:type="dxa"/>
              <w:right w:w="45" w:type="dxa"/>
            </w:tcMar>
          </w:tcPr>
          <w:p w14:paraId="61DD959E" w14:textId="3E025F8B"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(73)</w:t>
            </w:r>
          </w:p>
        </w:tc>
        <w:tc>
          <w:tcPr>
            <w:tcW w:w="709" w:type="dxa"/>
            <w:tcMar>
              <w:left w:w="45" w:type="dxa"/>
              <w:right w:w="45" w:type="dxa"/>
            </w:tcMar>
          </w:tcPr>
          <w:p w14:paraId="0CC1C936" w14:textId="02900996"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+52%</w:t>
            </w:r>
          </w:p>
        </w:tc>
        <w:tc>
          <w:tcPr>
            <w:tcW w:w="674" w:type="dxa"/>
            <w:tcMar>
              <w:left w:w="45" w:type="dxa"/>
              <w:right w:w="45" w:type="dxa"/>
            </w:tcMar>
          </w:tcPr>
          <w:p w14:paraId="0150C4EF" w14:textId="6ACC5E5C"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+47%</w:t>
            </w:r>
          </w:p>
        </w:tc>
        <w:tc>
          <w:tcPr>
            <w:tcW w:w="711" w:type="dxa"/>
            <w:shd w:val="clear" w:color="auto" w:fill="F2F2F2" w:themeFill="background1" w:themeFillShade="F2"/>
            <w:tcMar>
              <w:left w:w="45" w:type="dxa"/>
              <w:right w:w="45" w:type="dxa"/>
            </w:tcMar>
          </w:tcPr>
          <w:p w14:paraId="129FADAA" w14:textId="3D4CE955"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(410)</w:t>
            </w:r>
          </w:p>
        </w:tc>
        <w:tc>
          <w:tcPr>
            <w:tcW w:w="600" w:type="dxa"/>
            <w:shd w:val="clear" w:color="auto" w:fill="F2F2F2" w:themeFill="background1" w:themeFillShade="F2"/>
            <w:tcMar>
              <w:left w:w="45" w:type="dxa"/>
              <w:right w:w="45" w:type="dxa"/>
            </w:tcMar>
          </w:tcPr>
          <w:p w14:paraId="12D60603" w14:textId="7E74C205"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(365)</w:t>
            </w:r>
          </w:p>
        </w:tc>
        <w:tc>
          <w:tcPr>
            <w:tcW w:w="708" w:type="dxa"/>
            <w:shd w:val="clear" w:color="auto" w:fill="F2F2F2" w:themeFill="background1" w:themeFillShade="F2"/>
            <w:tcMar>
              <w:left w:w="45" w:type="dxa"/>
              <w:right w:w="45" w:type="dxa"/>
            </w:tcMar>
          </w:tcPr>
          <w:p w14:paraId="37B1695C" w14:textId="4AA040AA"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+12%</w:t>
            </w:r>
          </w:p>
        </w:tc>
        <w:tc>
          <w:tcPr>
            <w:tcW w:w="816" w:type="dxa"/>
            <w:shd w:val="clear" w:color="auto" w:fill="F2F2F2" w:themeFill="background1" w:themeFillShade="F2"/>
            <w:tcMar>
              <w:left w:w="45" w:type="dxa"/>
              <w:right w:w="45" w:type="dxa"/>
            </w:tcMar>
          </w:tcPr>
          <w:p w14:paraId="2C23BC76" w14:textId="00DD8AFC"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+12%</w:t>
            </w:r>
          </w:p>
        </w:tc>
      </w:tr>
      <w:tr w:rsidR="00E877C8" w:rsidRPr="00D26EB4" w14:paraId="538C0E1C" w14:textId="77777777" w:rsidTr="00D26EB4">
        <w:tc>
          <w:tcPr>
            <w:tcW w:w="2600" w:type="dxa"/>
            <w:tcMar>
              <w:left w:w="45" w:type="dxa"/>
              <w:right w:w="45" w:type="dxa"/>
            </w:tcMar>
          </w:tcPr>
          <w:p w14:paraId="496FAAC4"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Unallocated central costs</w:t>
            </w:r>
          </w:p>
        </w:tc>
        <w:tc>
          <w:tcPr>
            <w:tcW w:w="601" w:type="dxa"/>
            <w:tcMar>
              <w:left w:w="45" w:type="dxa"/>
              <w:right w:w="45" w:type="dxa"/>
            </w:tcMar>
          </w:tcPr>
          <w:p w14:paraId="5BF6F01A"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567" w:type="dxa"/>
            <w:tcMar>
              <w:left w:w="45" w:type="dxa"/>
              <w:right w:w="45" w:type="dxa"/>
            </w:tcMar>
          </w:tcPr>
          <w:p w14:paraId="2B65F98D"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709" w:type="dxa"/>
            <w:tcMar>
              <w:left w:w="45" w:type="dxa"/>
              <w:right w:w="45" w:type="dxa"/>
            </w:tcMar>
          </w:tcPr>
          <w:p w14:paraId="0223637A"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highlight w:val="yellow"/>
              </w:rPr>
            </w:pPr>
          </w:p>
        </w:tc>
        <w:tc>
          <w:tcPr>
            <w:tcW w:w="674" w:type="dxa"/>
            <w:tcMar>
              <w:left w:w="45" w:type="dxa"/>
              <w:right w:w="45" w:type="dxa"/>
            </w:tcMar>
          </w:tcPr>
          <w:p w14:paraId="22ABFD37"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p>
        </w:tc>
        <w:tc>
          <w:tcPr>
            <w:tcW w:w="711" w:type="dxa"/>
            <w:shd w:val="clear" w:color="auto" w:fill="F2F2F2" w:themeFill="background1" w:themeFillShade="F2"/>
            <w:tcMar>
              <w:left w:w="45" w:type="dxa"/>
              <w:right w:w="45" w:type="dxa"/>
            </w:tcMar>
          </w:tcPr>
          <w:p w14:paraId="3B1DDBCF" w14:textId="25CD7109"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(60)</w:t>
            </w:r>
          </w:p>
        </w:tc>
        <w:tc>
          <w:tcPr>
            <w:tcW w:w="600" w:type="dxa"/>
            <w:shd w:val="clear" w:color="auto" w:fill="F2F2F2" w:themeFill="background1" w:themeFillShade="F2"/>
            <w:tcMar>
              <w:left w:w="45" w:type="dxa"/>
              <w:right w:w="45" w:type="dxa"/>
            </w:tcMar>
          </w:tcPr>
          <w:p w14:paraId="038660DB" w14:textId="363EA95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(59)</w:t>
            </w:r>
          </w:p>
        </w:tc>
        <w:tc>
          <w:tcPr>
            <w:tcW w:w="708" w:type="dxa"/>
            <w:shd w:val="clear" w:color="auto" w:fill="F2F2F2" w:themeFill="background1" w:themeFillShade="F2"/>
            <w:tcMar>
              <w:left w:w="45" w:type="dxa"/>
              <w:right w:w="45" w:type="dxa"/>
            </w:tcMar>
          </w:tcPr>
          <w:p w14:paraId="553E5E11" w14:textId="4E299520"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w:t>
            </w:r>
          </w:p>
        </w:tc>
        <w:tc>
          <w:tcPr>
            <w:tcW w:w="816" w:type="dxa"/>
            <w:shd w:val="clear" w:color="auto" w:fill="F2F2F2" w:themeFill="background1" w:themeFillShade="F2"/>
            <w:tcMar>
              <w:left w:w="45" w:type="dxa"/>
              <w:right w:w="45" w:type="dxa"/>
            </w:tcMar>
          </w:tcPr>
          <w:p w14:paraId="54AB87F8" w14:textId="2C4AD394"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w:t>
            </w:r>
          </w:p>
        </w:tc>
      </w:tr>
      <w:tr w:rsidR="00E877C8" w:rsidRPr="00D26EB4" w14:paraId="1AF574CD" w14:textId="77777777" w:rsidTr="00D26EB4">
        <w:tc>
          <w:tcPr>
            <w:tcW w:w="2600" w:type="dxa"/>
            <w:tcMar>
              <w:left w:w="45" w:type="dxa"/>
              <w:right w:w="45" w:type="dxa"/>
            </w:tcMar>
          </w:tcPr>
          <w:p w14:paraId="3F0619EB" w14:textId="1CA07780" w:rsidR="00D26EB4" w:rsidRPr="000C7A56" w:rsidRDefault="008C17B5"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sz w:val="16"/>
              </w:rPr>
            </w:pPr>
            <w:r>
              <w:rPr>
                <w:rFonts w:asciiTheme="minorHAnsi" w:hAnsiTheme="minorHAnsi"/>
                <w:b/>
                <w:sz w:val="16"/>
              </w:rPr>
              <w:t>Other o</w:t>
            </w:r>
            <w:r w:rsidR="00D26EB4" w:rsidRPr="000C7A56">
              <w:rPr>
                <w:rFonts w:asciiTheme="minorHAnsi" w:hAnsiTheme="minorHAnsi"/>
                <w:b/>
                <w:sz w:val="16"/>
              </w:rPr>
              <w:t>perating costs</w:t>
            </w:r>
          </w:p>
        </w:tc>
        <w:tc>
          <w:tcPr>
            <w:tcW w:w="601" w:type="dxa"/>
            <w:tcMar>
              <w:left w:w="45" w:type="dxa"/>
              <w:right w:w="45" w:type="dxa"/>
            </w:tcMar>
          </w:tcPr>
          <w:p w14:paraId="681D2CBA" w14:textId="221F817A"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ED435E">
              <w:rPr>
                <w:rFonts w:asciiTheme="minorHAnsi" w:hAnsiTheme="minorHAnsi" w:cs="Times New Roman"/>
                <w:b/>
                <w:sz w:val="16"/>
                <w:szCs w:val="16"/>
                <w:lang w:eastAsia="en-IE"/>
              </w:rPr>
              <w:t>156</w:t>
            </w:r>
            <w:r w:rsidRPr="000C7A56">
              <w:rPr>
                <w:rFonts w:asciiTheme="minorHAnsi" w:hAnsiTheme="minorHAnsi"/>
                <w:b/>
                <w:sz w:val="16"/>
              </w:rPr>
              <w:t>)</w:t>
            </w:r>
          </w:p>
        </w:tc>
        <w:tc>
          <w:tcPr>
            <w:tcW w:w="567" w:type="dxa"/>
            <w:tcMar>
              <w:left w:w="45" w:type="dxa"/>
              <w:right w:w="45" w:type="dxa"/>
            </w:tcMar>
          </w:tcPr>
          <w:p w14:paraId="4249CC0A" w14:textId="53152EA8"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8C17B5">
              <w:rPr>
                <w:rFonts w:asciiTheme="minorHAnsi" w:hAnsiTheme="minorHAnsi" w:cs="Times New Roman"/>
                <w:b/>
                <w:sz w:val="16"/>
                <w:szCs w:val="16"/>
                <w:lang w:eastAsia="en-IE"/>
              </w:rPr>
              <w:t>106</w:t>
            </w:r>
            <w:r w:rsidRPr="000C7A56">
              <w:rPr>
                <w:rFonts w:asciiTheme="minorHAnsi" w:hAnsiTheme="minorHAnsi"/>
                <w:b/>
                <w:sz w:val="16"/>
              </w:rPr>
              <w:t>)</w:t>
            </w:r>
          </w:p>
        </w:tc>
        <w:tc>
          <w:tcPr>
            <w:tcW w:w="709" w:type="dxa"/>
            <w:tcMar>
              <w:left w:w="45" w:type="dxa"/>
              <w:right w:w="45" w:type="dxa"/>
            </w:tcMar>
          </w:tcPr>
          <w:p w14:paraId="242567C3" w14:textId="5BBBCF5D"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ED435E">
              <w:rPr>
                <w:rFonts w:asciiTheme="minorHAnsi" w:hAnsiTheme="minorHAnsi" w:cs="Times New Roman"/>
                <w:b/>
                <w:sz w:val="16"/>
                <w:szCs w:val="16"/>
                <w:lang w:eastAsia="en-IE"/>
              </w:rPr>
              <w:t>47</w:t>
            </w:r>
            <w:r w:rsidRPr="000C7A56">
              <w:rPr>
                <w:rFonts w:asciiTheme="minorHAnsi" w:hAnsiTheme="minorHAnsi"/>
                <w:b/>
                <w:sz w:val="16"/>
              </w:rPr>
              <w:t>%</w:t>
            </w:r>
          </w:p>
        </w:tc>
        <w:tc>
          <w:tcPr>
            <w:tcW w:w="674" w:type="dxa"/>
            <w:tcMar>
              <w:left w:w="45" w:type="dxa"/>
              <w:right w:w="45" w:type="dxa"/>
            </w:tcMar>
          </w:tcPr>
          <w:p w14:paraId="4A0A6C4C" w14:textId="10E0EB0E"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Pr="00D26EB4">
              <w:rPr>
                <w:rFonts w:asciiTheme="minorHAnsi" w:hAnsiTheme="minorHAnsi" w:cs="Times New Roman"/>
                <w:b/>
                <w:sz w:val="16"/>
                <w:szCs w:val="16"/>
                <w:lang w:eastAsia="en-IE"/>
              </w:rPr>
              <w:t>4</w:t>
            </w:r>
            <w:r w:rsidR="00ED435E">
              <w:rPr>
                <w:rFonts w:asciiTheme="minorHAnsi" w:hAnsiTheme="minorHAnsi" w:cs="Times New Roman"/>
                <w:b/>
                <w:sz w:val="16"/>
                <w:szCs w:val="16"/>
                <w:lang w:eastAsia="en-IE"/>
              </w:rPr>
              <w:t>2</w:t>
            </w:r>
            <w:r w:rsidRPr="000C7A56">
              <w:rPr>
                <w:rFonts w:asciiTheme="minorHAnsi" w:hAnsiTheme="minorHAnsi"/>
                <w:b/>
                <w:sz w:val="16"/>
              </w:rPr>
              <w:t>%</w:t>
            </w:r>
          </w:p>
        </w:tc>
        <w:tc>
          <w:tcPr>
            <w:tcW w:w="711" w:type="dxa"/>
            <w:shd w:val="clear" w:color="auto" w:fill="F2F2F2" w:themeFill="background1" w:themeFillShade="F2"/>
            <w:tcMar>
              <w:left w:w="45" w:type="dxa"/>
              <w:right w:w="45" w:type="dxa"/>
            </w:tcMar>
          </w:tcPr>
          <w:p w14:paraId="0CE96BE4" w14:textId="6EABD5F8"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8C17B5">
              <w:rPr>
                <w:rFonts w:asciiTheme="minorHAnsi" w:hAnsiTheme="minorHAnsi"/>
                <w:b/>
                <w:sz w:val="16"/>
              </w:rPr>
              <w:t>641</w:t>
            </w:r>
            <w:r w:rsidRPr="000C7A56">
              <w:rPr>
                <w:rFonts w:asciiTheme="minorHAnsi" w:hAnsiTheme="minorHAnsi"/>
                <w:b/>
                <w:sz w:val="16"/>
              </w:rPr>
              <w:t>)</w:t>
            </w:r>
          </w:p>
        </w:tc>
        <w:tc>
          <w:tcPr>
            <w:tcW w:w="600" w:type="dxa"/>
            <w:shd w:val="clear" w:color="auto" w:fill="F2F2F2" w:themeFill="background1" w:themeFillShade="F2"/>
            <w:tcMar>
              <w:left w:w="45" w:type="dxa"/>
              <w:right w:w="45" w:type="dxa"/>
            </w:tcMar>
          </w:tcPr>
          <w:p w14:paraId="71DCB9DB" w14:textId="513C7D5C"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8C17B5">
              <w:rPr>
                <w:rFonts w:asciiTheme="minorHAnsi" w:hAnsiTheme="minorHAnsi"/>
                <w:b/>
                <w:sz w:val="16"/>
              </w:rPr>
              <w:t>581</w:t>
            </w:r>
            <w:r w:rsidRPr="000C7A56">
              <w:rPr>
                <w:rFonts w:asciiTheme="minorHAnsi" w:hAnsiTheme="minorHAnsi"/>
                <w:b/>
                <w:sz w:val="16"/>
              </w:rPr>
              <w:t>)</w:t>
            </w:r>
          </w:p>
        </w:tc>
        <w:tc>
          <w:tcPr>
            <w:tcW w:w="708" w:type="dxa"/>
            <w:shd w:val="clear" w:color="auto" w:fill="F2F2F2" w:themeFill="background1" w:themeFillShade="F2"/>
            <w:tcMar>
              <w:left w:w="45" w:type="dxa"/>
              <w:right w:w="45" w:type="dxa"/>
            </w:tcMar>
          </w:tcPr>
          <w:p w14:paraId="3BD2F0F5" w14:textId="18A20C6A"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D662D8">
              <w:rPr>
                <w:rFonts w:asciiTheme="minorHAnsi" w:hAnsiTheme="minorHAnsi"/>
                <w:b/>
                <w:sz w:val="16"/>
              </w:rPr>
              <w:t>10</w:t>
            </w:r>
            <w:r w:rsidRPr="000C7A56">
              <w:rPr>
                <w:rFonts w:asciiTheme="minorHAnsi" w:hAnsiTheme="minorHAnsi"/>
                <w:b/>
                <w:sz w:val="16"/>
              </w:rPr>
              <w:t>%</w:t>
            </w:r>
          </w:p>
        </w:tc>
        <w:tc>
          <w:tcPr>
            <w:tcW w:w="816" w:type="dxa"/>
            <w:shd w:val="clear" w:color="auto" w:fill="F2F2F2" w:themeFill="background1" w:themeFillShade="F2"/>
            <w:tcMar>
              <w:left w:w="45" w:type="dxa"/>
              <w:right w:w="45" w:type="dxa"/>
            </w:tcMar>
          </w:tcPr>
          <w:p w14:paraId="2672BE26" w14:textId="1BC2F7C1"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w:t>
            </w:r>
            <w:r w:rsidR="00D662D8">
              <w:rPr>
                <w:rFonts w:asciiTheme="minorHAnsi" w:hAnsiTheme="minorHAnsi"/>
                <w:b/>
                <w:sz w:val="16"/>
              </w:rPr>
              <w:t>10</w:t>
            </w:r>
            <w:r w:rsidRPr="000C7A56">
              <w:rPr>
                <w:rFonts w:asciiTheme="minorHAnsi" w:hAnsiTheme="minorHAnsi"/>
                <w:b/>
                <w:sz w:val="16"/>
              </w:rPr>
              <w:t>%</w:t>
            </w:r>
          </w:p>
        </w:tc>
      </w:tr>
      <w:tr w:rsidR="00E877C8" w:rsidRPr="00D26EB4" w14:paraId="03FBA2AC" w14:textId="77777777" w:rsidTr="00D26EB4">
        <w:trPr>
          <w:trHeight w:val="70"/>
        </w:trPr>
        <w:tc>
          <w:tcPr>
            <w:tcW w:w="2600" w:type="dxa"/>
            <w:tcMar>
              <w:left w:w="45" w:type="dxa"/>
              <w:right w:w="45" w:type="dxa"/>
            </w:tcMar>
          </w:tcPr>
          <w:p w14:paraId="558E8A67"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4"/>
                <w:szCs w:val="4"/>
                <w:lang w:eastAsia="en-IE"/>
              </w:rPr>
            </w:pPr>
          </w:p>
        </w:tc>
        <w:tc>
          <w:tcPr>
            <w:tcW w:w="601" w:type="dxa"/>
            <w:tcMar>
              <w:left w:w="45" w:type="dxa"/>
              <w:right w:w="45" w:type="dxa"/>
            </w:tcMar>
          </w:tcPr>
          <w:p w14:paraId="58607885"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567" w:type="dxa"/>
            <w:tcMar>
              <w:left w:w="45" w:type="dxa"/>
              <w:right w:w="45" w:type="dxa"/>
            </w:tcMar>
          </w:tcPr>
          <w:p w14:paraId="07FC5DC3"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709" w:type="dxa"/>
            <w:tcMar>
              <w:left w:w="45" w:type="dxa"/>
              <w:right w:w="45" w:type="dxa"/>
            </w:tcMar>
          </w:tcPr>
          <w:p w14:paraId="77A5B457"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674" w:type="dxa"/>
            <w:tcMar>
              <w:left w:w="45" w:type="dxa"/>
              <w:right w:w="45" w:type="dxa"/>
            </w:tcMar>
          </w:tcPr>
          <w:p w14:paraId="2B0457C8"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711" w:type="dxa"/>
            <w:shd w:val="clear" w:color="auto" w:fill="F2F2F2" w:themeFill="background1" w:themeFillShade="F2"/>
            <w:tcMar>
              <w:left w:w="45" w:type="dxa"/>
              <w:right w:w="45" w:type="dxa"/>
            </w:tcMar>
          </w:tcPr>
          <w:p w14:paraId="60A855F7"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highlight w:val="yellow"/>
                <w:lang w:eastAsia="en-IE"/>
              </w:rPr>
            </w:pPr>
          </w:p>
        </w:tc>
        <w:tc>
          <w:tcPr>
            <w:tcW w:w="600" w:type="dxa"/>
            <w:shd w:val="clear" w:color="auto" w:fill="F2F2F2" w:themeFill="background1" w:themeFillShade="F2"/>
            <w:tcMar>
              <w:left w:w="45" w:type="dxa"/>
              <w:right w:w="45" w:type="dxa"/>
            </w:tcMar>
          </w:tcPr>
          <w:p w14:paraId="34F6DB6B"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708" w:type="dxa"/>
            <w:shd w:val="clear" w:color="auto" w:fill="F2F2F2" w:themeFill="background1" w:themeFillShade="F2"/>
            <w:tcMar>
              <w:left w:w="45" w:type="dxa"/>
              <w:right w:w="45" w:type="dxa"/>
            </w:tcMar>
          </w:tcPr>
          <w:p w14:paraId="7D4C66EB"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lang w:eastAsia="en-IE"/>
              </w:rPr>
            </w:pPr>
          </w:p>
        </w:tc>
        <w:tc>
          <w:tcPr>
            <w:tcW w:w="816" w:type="dxa"/>
            <w:shd w:val="clear" w:color="auto" w:fill="F2F2F2" w:themeFill="background1" w:themeFillShade="F2"/>
            <w:tcMar>
              <w:left w:w="45" w:type="dxa"/>
              <w:right w:w="45" w:type="dxa"/>
            </w:tcMar>
          </w:tcPr>
          <w:p w14:paraId="77153769" w14:textId="77777777" w:rsidR="00D26EB4" w:rsidRPr="00D26EB4"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4"/>
                <w:szCs w:val="4"/>
                <w:highlight w:val="yellow"/>
                <w:lang w:eastAsia="en-IE"/>
              </w:rPr>
            </w:pPr>
          </w:p>
        </w:tc>
      </w:tr>
      <w:tr w:rsidR="00E877C8" w:rsidRPr="00D26EB4" w14:paraId="45579046" w14:textId="77777777" w:rsidTr="00D26EB4">
        <w:tc>
          <w:tcPr>
            <w:tcW w:w="2600" w:type="dxa"/>
            <w:tcMar>
              <w:left w:w="45" w:type="dxa"/>
              <w:right w:w="45" w:type="dxa"/>
            </w:tcMar>
          </w:tcPr>
          <w:p w14:paraId="679C46C5"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sz w:val="16"/>
              </w:rPr>
            </w:pPr>
            <w:r w:rsidRPr="000C7A56">
              <w:rPr>
                <w:rFonts w:asciiTheme="minorHAnsi" w:hAnsiTheme="minorHAnsi"/>
                <w:b/>
                <w:sz w:val="16"/>
              </w:rPr>
              <w:t>Underlying EBITDA</w:t>
            </w:r>
          </w:p>
        </w:tc>
        <w:tc>
          <w:tcPr>
            <w:tcW w:w="601" w:type="dxa"/>
            <w:tcMar>
              <w:left w:w="45" w:type="dxa"/>
              <w:right w:w="45" w:type="dxa"/>
            </w:tcMar>
          </w:tcPr>
          <w:p w14:paraId="7153ECCC" w14:textId="55FE6D6B"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(40)</w:t>
            </w:r>
          </w:p>
        </w:tc>
        <w:tc>
          <w:tcPr>
            <w:tcW w:w="567" w:type="dxa"/>
            <w:tcMar>
              <w:left w:w="45" w:type="dxa"/>
              <w:right w:w="45" w:type="dxa"/>
            </w:tcMar>
          </w:tcPr>
          <w:p w14:paraId="3BB04A44" w14:textId="70C0CB1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(15)</w:t>
            </w:r>
          </w:p>
        </w:tc>
        <w:tc>
          <w:tcPr>
            <w:tcW w:w="709" w:type="dxa"/>
            <w:tcMar>
              <w:left w:w="45" w:type="dxa"/>
              <w:right w:w="45" w:type="dxa"/>
            </w:tcMar>
          </w:tcPr>
          <w:p w14:paraId="751DEBCA" w14:textId="7197141E"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n/a</w:t>
            </w:r>
          </w:p>
        </w:tc>
        <w:tc>
          <w:tcPr>
            <w:tcW w:w="674" w:type="dxa"/>
            <w:tcMar>
              <w:left w:w="45" w:type="dxa"/>
              <w:right w:w="45" w:type="dxa"/>
            </w:tcMar>
          </w:tcPr>
          <w:p w14:paraId="17EBA377" w14:textId="0B76D7C2"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n/a</w:t>
            </w:r>
          </w:p>
        </w:tc>
        <w:tc>
          <w:tcPr>
            <w:tcW w:w="711" w:type="dxa"/>
            <w:shd w:val="clear" w:color="auto" w:fill="F2F2F2" w:themeFill="background1" w:themeFillShade="F2"/>
            <w:tcMar>
              <w:left w:w="45" w:type="dxa"/>
              <w:right w:w="45" w:type="dxa"/>
            </w:tcMar>
          </w:tcPr>
          <w:p w14:paraId="45EAC21B" w14:textId="4611FAD8"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386</w:t>
            </w:r>
          </w:p>
        </w:tc>
        <w:tc>
          <w:tcPr>
            <w:tcW w:w="600" w:type="dxa"/>
            <w:shd w:val="clear" w:color="auto" w:fill="F2F2F2" w:themeFill="background1" w:themeFillShade="F2"/>
            <w:tcMar>
              <w:left w:w="45" w:type="dxa"/>
              <w:right w:w="45" w:type="dxa"/>
            </w:tcMar>
          </w:tcPr>
          <w:p w14:paraId="5A255049" w14:textId="5B864E04"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470</w:t>
            </w:r>
          </w:p>
        </w:tc>
        <w:tc>
          <w:tcPr>
            <w:tcW w:w="708" w:type="dxa"/>
            <w:shd w:val="clear" w:color="auto" w:fill="F2F2F2" w:themeFill="background1" w:themeFillShade="F2"/>
            <w:tcMar>
              <w:left w:w="45" w:type="dxa"/>
              <w:right w:w="45" w:type="dxa"/>
            </w:tcMar>
          </w:tcPr>
          <w:p w14:paraId="6485EF7D" w14:textId="2A087B94"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-18%</w:t>
            </w:r>
          </w:p>
        </w:tc>
        <w:tc>
          <w:tcPr>
            <w:tcW w:w="816" w:type="dxa"/>
            <w:shd w:val="clear" w:color="auto" w:fill="F2F2F2" w:themeFill="background1" w:themeFillShade="F2"/>
            <w:tcMar>
              <w:left w:w="45" w:type="dxa"/>
              <w:right w:w="45" w:type="dxa"/>
            </w:tcMar>
          </w:tcPr>
          <w:p w14:paraId="014168A1" w14:textId="25AFB74C"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-17%</w:t>
            </w:r>
          </w:p>
        </w:tc>
      </w:tr>
      <w:tr w:rsidR="00D26EB4" w:rsidRPr="00D26EB4" w14:paraId="1C478155" w14:textId="77777777" w:rsidTr="00D26EB4">
        <w:tc>
          <w:tcPr>
            <w:tcW w:w="2600" w:type="dxa"/>
            <w:tcMar>
              <w:left w:w="45" w:type="dxa"/>
              <w:right w:w="45" w:type="dxa"/>
            </w:tcMar>
          </w:tcPr>
          <w:p w14:paraId="31DEA242" w14:textId="76A455E0"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6"/>
                <w:szCs w:val="16"/>
                <w:lang w:eastAsia="en-IE"/>
              </w:rPr>
            </w:pPr>
            <w:r w:rsidRPr="00D26EB4">
              <w:rPr>
                <w:rFonts w:asciiTheme="minorHAnsi" w:hAnsiTheme="minorHAnsi" w:cs="Times New Roman"/>
                <w:i/>
                <w:sz w:val="16"/>
                <w:szCs w:val="16"/>
                <w:lang w:eastAsia="en-IE"/>
              </w:rPr>
              <w:t>Underlying EBITDA margin</w:t>
            </w:r>
          </w:p>
        </w:tc>
        <w:tc>
          <w:tcPr>
            <w:tcW w:w="601" w:type="dxa"/>
            <w:tcMar>
              <w:left w:w="45" w:type="dxa"/>
              <w:right w:w="45" w:type="dxa"/>
            </w:tcMar>
          </w:tcPr>
          <w:p w14:paraId="45038B01" w14:textId="25607BAD"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i/>
                <w:sz w:val="16"/>
                <w:szCs w:val="16"/>
                <w:lang w:eastAsia="en-IE"/>
              </w:rPr>
              <w:t>-10.7%</w:t>
            </w:r>
          </w:p>
        </w:tc>
        <w:tc>
          <w:tcPr>
            <w:tcW w:w="567" w:type="dxa"/>
            <w:tcMar>
              <w:left w:w="45" w:type="dxa"/>
              <w:right w:w="45" w:type="dxa"/>
            </w:tcMar>
          </w:tcPr>
          <w:p w14:paraId="33F874B7" w14:textId="660F75D9" w:rsidR="00D26EB4" w:rsidRPr="00D26EB4" w:rsidRDefault="00ED435E"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Pr>
                <w:rFonts w:asciiTheme="minorHAnsi" w:hAnsiTheme="minorHAnsi" w:cs="Times New Roman"/>
                <w:i/>
                <w:sz w:val="16"/>
                <w:szCs w:val="16"/>
                <w:lang w:eastAsia="en-IE"/>
              </w:rPr>
              <w:t>6.3</w:t>
            </w:r>
            <w:r w:rsidR="00D26EB4" w:rsidRPr="00D26EB4">
              <w:rPr>
                <w:rFonts w:asciiTheme="minorHAnsi" w:hAnsiTheme="minorHAnsi" w:cs="Times New Roman"/>
                <w:i/>
                <w:sz w:val="16"/>
                <w:szCs w:val="16"/>
                <w:lang w:eastAsia="en-IE"/>
              </w:rPr>
              <w:t>%</w:t>
            </w:r>
          </w:p>
        </w:tc>
        <w:tc>
          <w:tcPr>
            <w:tcW w:w="709" w:type="dxa"/>
            <w:tcMar>
              <w:left w:w="45" w:type="dxa"/>
              <w:right w:w="45" w:type="dxa"/>
            </w:tcMar>
          </w:tcPr>
          <w:p w14:paraId="5DA251AB" w14:textId="60520760" w:rsidR="00D26EB4" w:rsidRPr="00ED435E" w:rsidRDefault="00ED435E"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ED435E">
              <w:rPr>
                <w:rFonts w:asciiTheme="minorHAnsi" w:hAnsiTheme="minorHAnsi" w:cs="Times New Roman"/>
                <w:i/>
                <w:sz w:val="16"/>
                <w:szCs w:val="16"/>
                <w:lang w:eastAsia="en-IE"/>
              </w:rPr>
              <w:t>-450bps</w:t>
            </w:r>
          </w:p>
        </w:tc>
        <w:tc>
          <w:tcPr>
            <w:tcW w:w="674" w:type="dxa"/>
            <w:tcMar>
              <w:left w:w="45" w:type="dxa"/>
              <w:right w:w="45" w:type="dxa"/>
            </w:tcMar>
          </w:tcPr>
          <w:p w14:paraId="3723E803" w14:textId="6798C860" w:rsidR="00D26EB4" w:rsidRPr="00D26EB4" w:rsidRDefault="00ED435E"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ED435E">
              <w:rPr>
                <w:rFonts w:asciiTheme="minorHAnsi" w:hAnsiTheme="minorHAnsi" w:cs="Times New Roman"/>
                <w:i/>
                <w:sz w:val="16"/>
                <w:szCs w:val="16"/>
                <w:lang w:eastAsia="en-IE"/>
              </w:rPr>
              <w:t>-450bps</w:t>
            </w:r>
          </w:p>
        </w:tc>
        <w:tc>
          <w:tcPr>
            <w:tcW w:w="711" w:type="dxa"/>
            <w:shd w:val="clear" w:color="auto" w:fill="F2F2F2" w:themeFill="background1" w:themeFillShade="F2"/>
            <w:tcMar>
              <w:left w:w="45" w:type="dxa"/>
              <w:right w:w="45" w:type="dxa"/>
            </w:tcMar>
          </w:tcPr>
          <w:p w14:paraId="77887B3A" w14:textId="035A681E" w:rsidR="00D26EB4" w:rsidRPr="00D26EB4" w:rsidRDefault="00D26EB4"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sidRPr="00D26EB4">
              <w:rPr>
                <w:rFonts w:asciiTheme="minorHAnsi" w:hAnsiTheme="minorHAnsi" w:cs="Times New Roman"/>
                <w:i/>
                <w:sz w:val="16"/>
                <w:szCs w:val="16"/>
                <w:lang w:eastAsia="en-IE"/>
              </w:rPr>
              <w:t>18.0%</w:t>
            </w:r>
          </w:p>
        </w:tc>
        <w:tc>
          <w:tcPr>
            <w:tcW w:w="600" w:type="dxa"/>
            <w:shd w:val="clear" w:color="auto" w:fill="F2F2F2" w:themeFill="background1" w:themeFillShade="F2"/>
            <w:tcMar>
              <w:left w:w="45" w:type="dxa"/>
              <w:right w:w="45" w:type="dxa"/>
            </w:tcMar>
          </w:tcPr>
          <w:p w14:paraId="49EC4C7E" w14:textId="21A77843" w:rsidR="00D26EB4" w:rsidRPr="00D26EB4" w:rsidRDefault="00D662D8"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6"/>
                <w:szCs w:val="16"/>
                <w:lang w:eastAsia="en-IE"/>
              </w:rPr>
            </w:pPr>
            <w:r>
              <w:rPr>
                <w:rFonts w:asciiTheme="minorHAnsi" w:hAnsiTheme="minorHAnsi" w:cs="Times New Roman"/>
                <w:i/>
                <w:sz w:val="16"/>
                <w:szCs w:val="16"/>
                <w:lang w:eastAsia="en-IE"/>
              </w:rPr>
              <w:t>23.7</w:t>
            </w:r>
            <w:r w:rsidR="00D26EB4" w:rsidRPr="00D26EB4">
              <w:rPr>
                <w:rFonts w:asciiTheme="minorHAnsi" w:hAnsiTheme="minorHAnsi" w:cs="Times New Roman"/>
                <w:i/>
                <w:sz w:val="16"/>
                <w:szCs w:val="16"/>
                <w:lang w:eastAsia="en-IE"/>
              </w:rPr>
              <w:t>%</w:t>
            </w:r>
          </w:p>
        </w:tc>
        <w:tc>
          <w:tcPr>
            <w:tcW w:w="708" w:type="dxa"/>
            <w:shd w:val="clear" w:color="auto" w:fill="F2F2F2" w:themeFill="background1" w:themeFillShade="F2"/>
            <w:tcMar>
              <w:left w:w="45" w:type="dxa"/>
              <w:right w:w="45" w:type="dxa"/>
            </w:tcMar>
          </w:tcPr>
          <w:p w14:paraId="093F5152" w14:textId="30BD7151" w:rsidR="00D26EB4" w:rsidRPr="00ED435E" w:rsidRDefault="00ED435E"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ED435E">
              <w:rPr>
                <w:rFonts w:asciiTheme="minorHAnsi" w:hAnsiTheme="minorHAnsi" w:cs="Times New Roman"/>
                <w:i/>
                <w:sz w:val="16"/>
                <w:szCs w:val="16"/>
                <w:lang w:eastAsia="en-IE"/>
              </w:rPr>
              <w:t>-</w:t>
            </w:r>
            <w:r w:rsidR="00D662D8">
              <w:rPr>
                <w:rFonts w:asciiTheme="minorHAnsi" w:hAnsiTheme="minorHAnsi" w:cs="Times New Roman"/>
                <w:i/>
                <w:sz w:val="16"/>
                <w:szCs w:val="16"/>
                <w:lang w:eastAsia="en-IE"/>
              </w:rPr>
              <w:t>5</w:t>
            </w:r>
            <w:r w:rsidR="00881870">
              <w:rPr>
                <w:rFonts w:asciiTheme="minorHAnsi" w:hAnsiTheme="minorHAnsi" w:cs="Times New Roman"/>
                <w:i/>
                <w:sz w:val="16"/>
                <w:szCs w:val="16"/>
                <w:lang w:eastAsia="en-IE"/>
              </w:rPr>
              <w:t>70</w:t>
            </w:r>
            <w:r w:rsidRPr="00ED435E">
              <w:rPr>
                <w:rFonts w:asciiTheme="minorHAnsi" w:hAnsiTheme="minorHAnsi" w:cs="Times New Roman"/>
                <w:i/>
                <w:sz w:val="16"/>
                <w:szCs w:val="16"/>
                <w:lang w:eastAsia="en-IE"/>
              </w:rPr>
              <w:t>bps</w:t>
            </w:r>
          </w:p>
        </w:tc>
        <w:tc>
          <w:tcPr>
            <w:tcW w:w="816" w:type="dxa"/>
            <w:shd w:val="clear" w:color="auto" w:fill="F2F2F2" w:themeFill="background1" w:themeFillShade="F2"/>
            <w:tcMar>
              <w:left w:w="45" w:type="dxa"/>
              <w:right w:w="45" w:type="dxa"/>
            </w:tcMar>
          </w:tcPr>
          <w:p w14:paraId="5D1F7E92" w14:textId="01E47792" w:rsidR="00D26EB4" w:rsidRPr="00ED435E" w:rsidRDefault="00ED435E" w:rsidP="00D26E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i/>
                <w:sz w:val="16"/>
                <w:szCs w:val="16"/>
                <w:lang w:eastAsia="en-IE"/>
              </w:rPr>
            </w:pPr>
            <w:r w:rsidRPr="00ED435E">
              <w:rPr>
                <w:rFonts w:asciiTheme="minorHAnsi" w:hAnsiTheme="minorHAnsi" w:cs="Times New Roman"/>
                <w:i/>
                <w:sz w:val="16"/>
                <w:szCs w:val="16"/>
                <w:lang w:eastAsia="en-IE"/>
              </w:rPr>
              <w:t>-560bps</w:t>
            </w:r>
          </w:p>
        </w:tc>
      </w:tr>
      <w:tr w:rsidR="00E877C8" w:rsidRPr="00D26EB4" w14:paraId="4CE1E29D" w14:textId="77777777" w:rsidTr="00D26EB4">
        <w:tc>
          <w:tcPr>
            <w:tcW w:w="2600" w:type="dxa"/>
            <w:tcMar>
              <w:left w:w="45" w:type="dxa"/>
              <w:right w:w="45" w:type="dxa"/>
            </w:tcMar>
          </w:tcPr>
          <w:p w14:paraId="4B46B894"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0C7A56">
              <w:rPr>
                <w:rFonts w:asciiTheme="minorHAnsi" w:hAnsiTheme="minorHAnsi"/>
                <w:sz w:val="16"/>
              </w:rPr>
              <w:t>Depreciation &amp; amortisation</w:t>
            </w:r>
          </w:p>
        </w:tc>
        <w:tc>
          <w:tcPr>
            <w:tcW w:w="601" w:type="dxa"/>
            <w:tcMar>
              <w:left w:w="45" w:type="dxa"/>
              <w:right w:w="45" w:type="dxa"/>
            </w:tcMar>
          </w:tcPr>
          <w:p w14:paraId="7323E153" w14:textId="1A7A2744"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(20)</w:t>
            </w:r>
          </w:p>
        </w:tc>
        <w:tc>
          <w:tcPr>
            <w:tcW w:w="567" w:type="dxa"/>
            <w:tcMar>
              <w:left w:w="45" w:type="dxa"/>
              <w:right w:w="45" w:type="dxa"/>
            </w:tcMar>
          </w:tcPr>
          <w:p w14:paraId="42882C02" w14:textId="2EDF3F65"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(13)</w:t>
            </w:r>
          </w:p>
        </w:tc>
        <w:tc>
          <w:tcPr>
            <w:tcW w:w="709" w:type="dxa"/>
            <w:tcMar>
              <w:left w:w="45" w:type="dxa"/>
              <w:right w:w="45" w:type="dxa"/>
            </w:tcMar>
          </w:tcPr>
          <w:p w14:paraId="7D0D1021" w14:textId="7DD7D6BA"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+61%</w:t>
            </w:r>
          </w:p>
        </w:tc>
        <w:tc>
          <w:tcPr>
            <w:tcW w:w="674" w:type="dxa"/>
            <w:tcMar>
              <w:left w:w="45" w:type="dxa"/>
              <w:right w:w="45" w:type="dxa"/>
            </w:tcMar>
          </w:tcPr>
          <w:p w14:paraId="7930C629" w14:textId="4193978C"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+55%</w:t>
            </w:r>
          </w:p>
        </w:tc>
        <w:tc>
          <w:tcPr>
            <w:tcW w:w="711" w:type="dxa"/>
            <w:shd w:val="clear" w:color="auto" w:fill="F2F2F2" w:themeFill="background1" w:themeFillShade="F2"/>
            <w:tcMar>
              <w:left w:w="45" w:type="dxa"/>
              <w:right w:w="45" w:type="dxa"/>
            </w:tcMar>
          </w:tcPr>
          <w:p w14:paraId="5F2EFC9E" w14:textId="3826F609"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(108)</w:t>
            </w:r>
          </w:p>
        </w:tc>
        <w:tc>
          <w:tcPr>
            <w:tcW w:w="600" w:type="dxa"/>
            <w:shd w:val="clear" w:color="auto" w:fill="F2F2F2" w:themeFill="background1" w:themeFillShade="F2"/>
            <w:tcMar>
              <w:left w:w="45" w:type="dxa"/>
              <w:right w:w="45" w:type="dxa"/>
            </w:tcMar>
          </w:tcPr>
          <w:p w14:paraId="289E1EA1" w14:textId="2699F6F3"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(93)</w:t>
            </w:r>
          </w:p>
        </w:tc>
        <w:tc>
          <w:tcPr>
            <w:tcW w:w="708" w:type="dxa"/>
            <w:shd w:val="clear" w:color="auto" w:fill="F2F2F2" w:themeFill="background1" w:themeFillShade="F2"/>
            <w:tcMar>
              <w:left w:w="45" w:type="dxa"/>
              <w:right w:w="45" w:type="dxa"/>
            </w:tcMar>
          </w:tcPr>
          <w:p w14:paraId="5509C92C" w14:textId="68930EA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+16%</w:t>
            </w:r>
          </w:p>
        </w:tc>
        <w:tc>
          <w:tcPr>
            <w:tcW w:w="816" w:type="dxa"/>
            <w:shd w:val="clear" w:color="auto" w:fill="F2F2F2" w:themeFill="background1" w:themeFillShade="F2"/>
            <w:tcMar>
              <w:left w:w="45" w:type="dxa"/>
              <w:right w:w="45" w:type="dxa"/>
            </w:tcMar>
          </w:tcPr>
          <w:p w14:paraId="73779025" w14:textId="72E9AB60"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sz w:val="16"/>
              </w:rPr>
            </w:pPr>
            <w:r w:rsidRPr="000C7A56">
              <w:rPr>
                <w:rFonts w:asciiTheme="minorHAnsi" w:hAnsiTheme="minorHAnsi"/>
                <w:sz w:val="16"/>
              </w:rPr>
              <w:t>+16%</w:t>
            </w:r>
          </w:p>
        </w:tc>
      </w:tr>
      <w:tr w:rsidR="00E877C8" w:rsidRPr="00D26EB4" w14:paraId="46910162" w14:textId="77777777" w:rsidTr="00D26EB4">
        <w:tc>
          <w:tcPr>
            <w:tcW w:w="2600" w:type="dxa"/>
            <w:tcMar>
              <w:left w:w="45" w:type="dxa"/>
              <w:right w:w="45" w:type="dxa"/>
            </w:tcMar>
          </w:tcPr>
          <w:p w14:paraId="10BF6E97" w14:textId="77777777"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b/>
                <w:sz w:val="16"/>
              </w:rPr>
            </w:pPr>
            <w:r w:rsidRPr="000C7A56">
              <w:rPr>
                <w:rFonts w:asciiTheme="minorHAnsi" w:hAnsiTheme="minorHAnsi"/>
                <w:b/>
                <w:sz w:val="16"/>
              </w:rPr>
              <w:t>Underlying operating profit</w:t>
            </w:r>
          </w:p>
        </w:tc>
        <w:tc>
          <w:tcPr>
            <w:tcW w:w="601" w:type="dxa"/>
            <w:tcMar>
              <w:left w:w="45" w:type="dxa"/>
              <w:right w:w="45" w:type="dxa"/>
            </w:tcMar>
          </w:tcPr>
          <w:p w14:paraId="1B024A42" w14:textId="1C2CA4A2"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(60)</w:t>
            </w:r>
          </w:p>
        </w:tc>
        <w:tc>
          <w:tcPr>
            <w:tcW w:w="567" w:type="dxa"/>
            <w:tcMar>
              <w:left w:w="45" w:type="dxa"/>
              <w:right w:w="45" w:type="dxa"/>
            </w:tcMar>
          </w:tcPr>
          <w:p w14:paraId="41E790AE" w14:textId="375A85CD"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(27)</w:t>
            </w:r>
          </w:p>
        </w:tc>
        <w:tc>
          <w:tcPr>
            <w:tcW w:w="709" w:type="dxa"/>
            <w:tcMar>
              <w:left w:w="45" w:type="dxa"/>
              <w:right w:w="45" w:type="dxa"/>
            </w:tcMar>
          </w:tcPr>
          <w:p w14:paraId="6BA640B8" w14:textId="6C027CCF"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n/a</w:t>
            </w:r>
          </w:p>
        </w:tc>
        <w:tc>
          <w:tcPr>
            <w:tcW w:w="674" w:type="dxa"/>
            <w:tcMar>
              <w:left w:w="45" w:type="dxa"/>
              <w:right w:w="45" w:type="dxa"/>
            </w:tcMar>
          </w:tcPr>
          <w:p w14:paraId="640DC70E" w14:textId="1BCD1A9F"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n/a</w:t>
            </w:r>
          </w:p>
        </w:tc>
        <w:tc>
          <w:tcPr>
            <w:tcW w:w="711" w:type="dxa"/>
            <w:shd w:val="clear" w:color="auto" w:fill="F2F2F2" w:themeFill="background1" w:themeFillShade="F2"/>
            <w:tcMar>
              <w:left w:w="45" w:type="dxa"/>
              <w:right w:w="45" w:type="dxa"/>
            </w:tcMar>
          </w:tcPr>
          <w:p w14:paraId="7F9A59CB" w14:textId="7EEB966E"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278</w:t>
            </w:r>
          </w:p>
        </w:tc>
        <w:tc>
          <w:tcPr>
            <w:tcW w:w="600" w:type="dxa"/>
            <w:shd w:val="clear" w:color="auto" w:fill="F2F2F2" w:themeFill="background1" w:themeFillShade="F2"/>
            <w:tcMar>
              <w:left w:w="45" w:type="dxa"/>
              <w:right w:w="45" w:type="dxa"/>
            </w:tcMar>
          </w:tcPr>
          <w:p w14:paraId="5F73CEA9" w14:textId="0E1D2456"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377</w:t>
            </w:r>
          </w:p>
        </w:tc>
        <w:tc>
          <w:tcPr>
            <w:tcW w:w="708" w:type="dxa"/>
            <w:shd w:val="clear" w:color="auto" w:fill="F2F2F2" w:themeFill="background1" w:themeFillShade="F2"/>
            <w:tcMar>
              <w:left w:w="45" w:type="dxa"/>
              <w:right w:w="45" w:type="dxa"/>
            </w:tcMar>
          </w:tcPr>
          <w:p w14:paraId="78CC046E" w14:textId="0BD55578"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-26%</w:t>
            </w:r>
          </w:p>
        </w:tc>
        <w:tc>
          <w:tcPr>
            <w:tcW w:w="816" w:type="dxa"/>
            <w:shd w:val="clear" w:color="auto" w:fill="F2F2F2" w:themeFill="background1" w:themeFillShade="F2"/>
            <w:tcMar>
              <w:left w:w="45" w:type="dxa"/>
              <w:right w:w="45" w:type="dxa"/>
            </w:tcMar>
          </w:tcPr>
          <w:p w14:paraId="45D2E466" w14:textId="02B572AB" w:rsidR="00D26EB4" w:rsidRPr="000C7A56" w:rsidRDefault="00D26EB4" w:rsidP="000C7A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b/>
                <w:sz w:val="16"/>
              </w:rPr>
            </w:pPr>
            <w:r w:rsidRPr="000C7A56">
              <w:rPr>
                <w:rFonts w:asciiTheme="minorHAnsi" w:hAnsiTheme="minorHAnsi"/>
                <w:b/>
                <w:sz w:val="16"/>
              </w:rPr>
              <w:t>-25%</w:t>
            </w:r>
          </w:p>
        </w:tc>
      </w:tr>
    </w:tbl>
    <w:p w14:paraId="43EEEEC2"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404A605E"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29ACA8C3" w14:textId="1FA624AC" w:rsidR="00D26EB4" w:rsidRPr="000C7A56"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E00DF8">
        <w:rPr>
          <w:rFonts w:asciiTheme="minorHAnsi" w:hAnsiTheme="minorHAnsi"/>
          <w:sz w:val="16"/>
          <w:szCs w:val="16"/>
          <w:vertAlign w:val="superscript"/>
        </w:rPr>
        <w:t xml:space="preserve">1 </w:t>
      </w:r>
      <w:r w:rsidRPr="00E00DF8">
        <w:rPr>
          <w:rFonts w:asciiTheme="minorHAnsi" w:hAnsiTheme="minorHAnsi"/>
          <w:sz w:val="16"/>
          <w:szCs w:val="16"/>
        </w:rPr>
        <w:t>Constant currency (“cc”) growth is calculated by retranslating non-sterling denominated</w:t>
      </w:r>
      <w:r w:rsidR="00D26EB4">
        <w:rPr>
          <w:rFonts w:asciiTheme="minorHAnsi" w:hAnsiTheme="minorHAnsi"/>
          <w:sz w:val="16"/>
          <w:szCs w:val="16"/>
        </w:rPr>
        <w:t xml:space="preserve"> </w:t>
      </w:r>
      <w:r w:rsidRPr="00E00DF8">
        <w:rPr>
          <w:rFonts w:asciiTheme="minorHAnsi" w:hAnsiTheme="minorHAnsi"/>
          <w:sz w:val="16"/>
          <w:szCs w:val="16"/>
        </w:rPr>
        <w:t xml:space="preserve">component of 2018 at 2019 exchange </w:t>
      </w:r>
      <w:r w:rsidRPr="00B97B7A">
        <w:rPr>
          <w:rFonts w:asciiTheme="minorHAnsi" w:hAnsiTheme="minorHAnsi"/>
          <w:sz w:val="16"/>
          <w:szCs w:val="16"/>
        </w:rPr>
        <w:t xml:space="preserve">rates </w:t>
      </w:r>
      <w:r w:rsidRPr="0026713E">
        <w:rPr>
          <w:rFonts w:asciiTheme="minorHAnsi" w:hAnsiTheme="minorHAnsi"/>
          <w:sz w:val="16"/>
          <w:szCs w:val="16"/>
        </w:rPr>
        <w:t xml:space="preserve">(see </w:t>
      </w:r>
      <w:r w:rsidRPr="00EB02EC">
        <w:rPr>
          <w:rFonts w:asciiTheme="minorHAnsi" w:hAnsiTheme="minorHAnsi"/>
          <w:sz w:val="16"/>
          <w:szCs w:val="16"/>
        </w:rPr>
        <w:t xml:space="preserve">Appendix 4). </w:t>
      </w:r>
    </w:p>
    <w:p w14:paraId="3DF5F670" w14:textId="77777777" w:rsidR="00D26EB4"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rPr>
      </w:pPr>
      <w:r w:rsidRPr="00EB02EC">
        <w:rPr>
          <w:rFonts w:asciiTheme="minorHAnsi" w:hAnsiTheme="minorHAnsi"/>
          <w:sz w:val="16"/>
        </w:rPr>
        <w:t>Half-yearly</w:t>
      </w:r>
      <w:r w:rsidRPr="000C7A56">
        <w:rPr>
          <w:rFonts w:asciiTheme="minorHAnsi" w:hAnsiTheme="minorHAnsi"/>
          <w:sz w:val="16"/>
        </w:rPr>
        <w:t xml:space="preserve"> </w:t>
      </w:r>
      <w:r w:rsidRPr="00EB02EC">
        <w:rPr>
          <w:rFonts w:asciiTheme="minorHAnsi" w:hAnsiTheme="minorHAnsi"/>
          <w:sz w:val="16"/>
        </w:rPr>
        <w:t>and quarterly</w:t>
      </w:r>
      <w:r w:rsidR="00D26EB4">
        <w:rPr>
          <w:rFonts w:asciiTheme="minorHAnsi" w:hAnsiTheme="minorHAnsi"/>
          <w:sz w:val="16"/>
        </w:rPr>
        <w:t xml:space="preserve"> </w:t>
      </w:r>
      <w:r w:rsidRPr="00EB02EC">
        <w:rPr>
          <w:rFonts w:asciiTheme="minorHAnsi" w:hAnsiTheme="minorHAnsi"/>
          <w:sz w:val="16"/>
        </w:rPr>
        <w:t xml:space="preserve">divisional key performance indicators are available on </w:t>
      </w:r>
    </w:p>
    <w:p w14:paraId="43033780" w14:textId="3EB7C2C2" w:rsidR="00EB02EC" w:rsidRPr="00E877C8" w:rsidRDefault="00EB02EC" w:rsidP="00EB02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highlight w:val="yellow"/>
        </w:rPr>
      </w:pPr>
      <w:r w:rsidRPr="00EB02EC">
        <w:rPr>
          <w:rFonts w:asciiTheme="minorHAnsi" w:hAnsiTheme="minorHAnsi"/>
          <w:sz w:val="16"/>
        </w:rPr>
        <w:t>our corporate website:</w:t>
      </w:r>
      <w:r w:rsidRPr="006F3B8A">
        <w:rPr>
          <w:rFonts w:asciiTheme="minorHAnsi" w:hAnsiTheme="minorHAnsi"/>
          <w:sz w:val="16"/>
        </w:rPr>
        <w:t xml:space="preserve"> https://www.</w:t>
      </w:r>
      <w:r>
        <w:rPr>
          <w:rFonts w:asciiTheme="minorHAnsi" w:hAnsiTheme="minorHAnsi"/>
          <w:sz w:val="16"/>
        </w:rPr>
        <w:t>flutter.com/investors</w:t>
      </w:r>
      <w:r>
        <w:rPr>
          <w:rFonts w:asciiTheme="minorHAnsi" w:hAnsiTheme="minorHAnsi"/>
          <w:sz w:val="16"/>
          <w:szCs w:val="16"/>
        </w:rPr>
        <w:t xml:space="preserve"> </w:t>
      </w:r>
    </w:p>
    <w:p w14:paraId="005FD277"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337349EA"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68E7589E"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0E3F9199"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37C15926"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0F85D3FC"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1C222179"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646AD7E7"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71E9948D"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28F4EB0C"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56E9EEB8"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6777EDFF"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7EF231B7"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2C6A30C5"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00DDAFA4" w14:textId="77777777" w:rsidR="00324B39"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53A7D149" w14:textId="77777777" w:rsidR="00324B39" w:rsidRPr="003F0F3B" w:rsidRDefault="00324B39"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16"/>
          <w:szCs w:val="16"/>
        </w:rPr>
      </w:pPr>
    </w:p>
    <w:p w14:paraId="56EFACA5" w14:textId="77777777" w:rsidR="00E223C0" w:rsidRDefault="00E223C0" w:rsidP="00324B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16"/>
          <w:szCs w:val="16"/>
          <w:highlight w:val="yellow"/>
          <w:lang w:eastAsia="en-IE"/>
        </w:rPr>
        <w:sectPr w:rsidR="00E223C0" w:rsidSect="000C7A56">
          <w:footerReference w:type="default" r:id="rId16"/>
          <w:pgSz w:w="15840" w:h="12240" w:orient="landscape"/>
          <w:pgMar w:top="567" w:right="624" w:bottom="567" w:left="624" w:header="709" w:footer="709" w:gutter="0"/>
          <w:cols w:space="708"/>
          <w:docGrid w:linePitch="360"/>
        </w:sectPr>
      </w:pPr>
    </w:p>
    <w:p w14:paraId="0A6A04FA" w14:textId="1A941026" w:rsidR="00E223C0" w:rsidRDefault="00E223C0" w:rsidP="00E223C0">
      <w:pPr>
        <w:rPr>
          <w:rFonts w:asciiTheme="minorHAnsi" w:hAnsiTheme="minorHAnsi"/>
          <w:b/>
          <w:sz w:val="20"/>
          <w:lang w:eastAsia="en-IE"/>
        </w:rPr>
      </w:pPr>
      <w:r w:rsidRPr="00D95794">
        <w:rPr>
          <w:rFonts w:asciiTheme="minorHAnsi" w:hAnsiTheme="minorHAnsi"/>
          <w:b/>
          <w:sz w:val="20"/>
          <w:lang w:eastAsia="en-IE"/>
        </w:rPr>
        <w:lastRenderedPageBreak/>
        <w:t xml:space="preserve">Appendix </w:t>
      </w:r>
      <w:r>
        <w:rPr>
          <w:rFonts w:asciiTheme="minorHAnsi" w:hAnsiTheme="minorHAnsi"/>
          <w:b/>
          <w:sz w:val="20"/>
          <w:lang w:eastAsia="en-IE"/>
        </w:rPr>
        <w:t>2</w:t>
      </w:r>
      <w:r w:rsidRPr="00D95794">
        <w:rPr>
          <w:rFonts w:asciiTheme="minorHAnsi" w:hAnsiTheme="minorHAnsi"/>
          <w:b/>
          <w:sz w:val="20"/>
          <w:lang w:eastAsia="en-IE"/>
        </w:rPr>
        <w:t xml:space="preserve">: Reconciliation of </w:t>
      </w:r>
      <w:r>
        <w:rPr>
          <w:rFonts w:asciiTheme="minorHAnsi" w:hAnsiTheme="minorHAnsi"/>
          <w:b/>
          <w:sz w:val="20"/>
          <w:lang w:eastAsia="en-IE"/>
        </w:rPr>
        <w:t>reported revenue and underlying EBITDA to proforma adjusted EBITD</w:t>
      </w:r>
      <w:r w:rsidR="003C484A">
        <w:rPr>
          <w:rFonts w:asciiTheme="minorHAnsi" w:hAnsiTheme="minorHAnsi"/>
          <w:b/>
          <w:sz w:val="20"/>
          <w:lang w:eastAsia="en-IE"/>
        </w:rPr>
        <w:t>A</w:t>
      </w: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4"/>
        <w:gridCol w:w="582"/>
        <w:gridCol w:w="694"/>
        <w:gridCol w:w="567"/>
        <w:gridCol w:w="709"/>
        <w:gridCol w:w="709"/>
        <w:gridCol w:w="567"/>
        <w:gridCol w:w="567"/>
        <w:gridCol w:w="865"/>
      </w:tblGrid>
      <w:tr w:rsidR="00E223C0" w:rsidRPr="00FF2554" w14:paraId="226993FC" w14:textId="77777777" w:rsidTr="00E223C0">
        <w:trPr>
          <w:trHeight w:hRule="exact" w:val="436"/>
        </w:trPr>
        <w:tc>
          <w:tcPr>
            <w:tcW w:w="3964" w:type="dxa"/>
            <w:vMerge w:val="restart"/>
            <w:tcBorders>
              <w:top w:val="single" w:sz="4" w:space="0" w:color="auto"/>
              <w:right w:val="nil"/>
            </w:tcBorders>
          </w:tcPr>
          <w:p w14:paraId="7C02E86F" w14:textId="77777777" w:rsidR="00E223C0" w:rsidRDefault="00E223C0" w:rsidP="00E223C0">
            <w:pPr>
              <w:pStyle w:val="TableParagraph"/>
              <w:spacing w:line="204" w:lineRule="exact"/>
              <w:ind w:left="51"/>
              <w:rPr>
                <w:rFonts w:ascii="Calibri" w:eastAsia="Calibri" w:hAnsi="Calibri" w:cs="Calibri"/>
                <w:bCs/>
                <w:i/>
                <w:sz w:val="19"/>
                <w:szCs w:val="19"/>
              </w:rPr>
            </w:pPr>
            <w:bookmarkStart w:id="11" w:name="_Hlk1740390"/>
            <w:r w:rsidRPr="007D1296">
              <w:rPr>
                <w:rFonts w:cs="Times New Roman"/>
                <w:b/>
                <w:sz w:val="18"/>
                <w:szCs w:val="18"/>
                <w:lang w:eastAsia="en-IE"/>
              </w:rPr>
              <w:t>£m</w:t>
            </w:r>
          </w:p>
          <w:p w14:paraId="169BE090" w14:textId="77777777" w:rsidR="00E223C0" w:rsidRPr="00DA70ED" w:rsidRDefault="00E223C0" w:rsidP="00E223C0">
            <w:pPr>
              <w:pStyle w:val="TableParagraph"/>
              <w:spacing w:line="204" w:lineRule="exact"/>
              <w:ind w:left="51"/>
              <w:rPr>
                <w:rFonts w:ascii="Calibri" w:eastAsia="Calibri" w:hAnsi="Calibri" w:cs="Calibri"/>
                <w:sz w:val="19"/>
                <w:szCs w:val="19"/>
              </w:rPr>
            </w:pPr>
          </w:p>
        </w:tc>
        <w:tc>
          <w:tcPr>
            <w:tcW w:w="2552" w:type="dxa"/>
            <w:gridSpan w:val="4"/>
            <w:tcBorders>
              <w:left w:val="nil"/>
              <w:bottom w:val="nil"/>
            </w:tcBorders>
          </w:tcPr>
          <w:p w14:paraId="7502C010" w14:textId="77777777" w:rsidR="00E223C0" w:rsidRPr="00B7733A" w:rsidRDefault="00E223C0" w:rsidP="00E223C0">
            <w:pPr>
              <w:pStyle w:val="TableParagraph"/>
              <w:spacing w:line="204" w:lineRule="exact"/>
              <w:ind w:right="2"/>
              <w:jc w:val="center"/>
              <w:rPr>
                <w:rFonts w:ascii="Calibri" w:eastAsia="Calibri" w:hAnsi="Calibri" w:cs="Calibri"/>
                <w:sz w:val="19"/>
                <w:szCs w:val="19"/>
              </w:rPr>
            </w:pPr>
            <w:r w:rsidRPr="00B7733A">
              <w:rPr>
                <w:rFonts w:ascii="Calibri" w:eastAsia="Calibri" w:hAnsi="Calibri" w:cs="Calibri"/>
                <w:b/>
                <w:bCs/>
                <w:spacing w:val="-1"/>
                <w:sz w:val="19"/>
                <w:szCs w:val="19"/>
              </w:rPr>
              <w:t>Revenue</w:t>
            </w:r>
          </w:p>
        </w:tc>
        <w:tc>
          <w:tcPr>
            <w:tcW w:w="2708" w:type="dxa"/>
            <w:gridSpan w:val="4"/>
            <w:tcBorders>
              <w:bottom w:val="nil"/>
            </w:tcBorders>
            <w:shd w:val="clear" w:color="auto" w:fill="F2F2F2" w:themeFill="background1" w:themeFillShade="F2"/>
          </w:tcPr>
          <w:p w14:paraId="058F1828" w14:textId="77777777" w:rsidR="00E223C0" w:rsidRDefault="00E223C0" w:rsidP="00E223C0">
            <w:pPr>
              <w:pStyle w:val="TableParagraph"/>
              <w:spacing w:line="204" w:lineRule="exact"/>
              <w:jc w:val="center"/>
              <w:rPr>
                <w:rFonts w:cs="Times New Roman"/>
                <w:i/>
                <w:sz w:val="17"/>
                <w:szCs w:val="17"/>
                <w:lang w:eastAsia="en-IE"/>
              </w:rPr>
            </w:pPr>
            <w:r w:rsidRPr="00B7733A">
              <w:rPr>
                <w:rFonts w:ascii="Calibri" w:eastAsia="Calibri" w:hAnsi="Calibri" w:cs="Calibri"/>
                <w:b/>
                <w:bCs/>
                <w:spacing w:val="-1"/>
                <w:sz w:val="19"/>
                <w:szCs w:val="19"/>
              </w:rPr>
              <w:t>U</w:t>
            </w:r>
            <w:r w:rsidRPr="00E8786F">
              <w:rPr>
                <w:rFonts w:ascii="Calibri" w:eastAsia="Calibri" w:hAnsi="Calibri" w:cs="Calibri"/>
                <w:b/>
                <w:bCs/>
                <w:sz w:val="19"/>
                <w:szCs w:val="19"/>
              </w:rPr>
              <w:t>n</w:t>
            </w:r>
            <w:r w:rsidRPr="00B7733A">
              <w:rPr>
                <w:rFonts w:ascii="Calibri" w:eastAsia="Calibri" w:hAnsi="Calibri" w:cs="Calibri"/>
                <w:b/>
                <w:bCs/>
                <w:spacing w:val="-1"/>
                <w:sz w:val="19"/>
                <w:szCs w:val="19"/>
              </w:rPr>
              <w:t>d</w:t>
            </w:r>
            <w:r w:rsidRPr="00B7733A">
              <w:rPr>
                <w:rFonts w:ascii="Calibri" w:eastAsia="Calibri" w:hAnsi="Calibri" w:cs="Calibri"/>
                <w:b/>
                <w:bCs/>
                <w:sz w:val="19"/>
                <w:szCs w:val="19"/>
              </w:rPr>
              <w:t>er</w:t>
            </w:r>
            <w:r w:rsidRPr="00B7733A">
              <w:rPr>
                <w:rFonts w:ascii="Calibri" w:eastAsia="Calibri" w:hAnsi="Calibri" w:cs="Calibri"/>
                <w:b/>
                <w:bCs/>
                <w:spacing w:val="-2"/>
                <w:sz w:val="19"/>
                <w:szCs w:val="19"/>
              </w:rPr>
              <w:t>l</w:t>
            </w:r>
            <w:r w:rsidRPr="00B7733A">
              <w:rPr>
                <w:rFonts w:ascii="Calibri" w:eastAsia="Calibri" w:hAnsi="Calibri" w:cs="Calibri"/>
                <w:b/>
                <w:bCs/>
                <w:sz w:val="19"/>
                <w:szCs w:val="19"/>
              </w:rPr>
              <w:t>y</w:t>
            </w:r>
            <w:r w:rsidRPr="00B7733A">
              <w:rPr>
                <w:rFonts w:ascii="Calibri" w:eastAsia="Calibri" w:hAnsi="Calibri" w:cs="Calibri"/>
                <w:b/>
                <w:bCs/>
                <w:spacing w:val="-2"/>
                <w:sz w:val="19"/>
                <w:szCs w:val="19"/>
              </w:rPr>
              <w:t>i</w:t>
            </w:r>
            <w:r w:rsidRPr="00B7733A">
              <w:rPr>
                <w:rFonts w:ascii="Calibri" w:eastAsia="Calibri" w:hAnsi="Calibri" w:cs="Calibri"/>
                <w:b/>
                <w:bCs/>
                <w:sz w:val="19"/>
                <w:szCs w:val="19"/>
              </w:rPr>
              <w:t>ng</w:t>
            </w:r>
            <w:r w:rsidRPr="00B7733A">
              <w:rPr>
                <w:rFonts w:ascii="Calibri" w:eastAsia="Calibri" w:hAnsi="Calibri" w:cs="Calibri"/>
                <w:b/>
                <w:bCs/>
                <w:sz w:val="19"/>
                <w:szCs w:val="19"/>
                <w:vertAlign w:val="superscript"/>
              </w:rPr>
              <w:t xml:space="preserve"> </w:t>
            </w:r>
            <w:r w:rsidRPr="00B7733A">
              <w:rPr>
                <w:rFonts w:ascii="Calibri" w:eastAsia="Calibri" w:hAnsi="Calibri" w:cs="Calibri"/>
                <w:b/>
                <w:bCs/>
                <w:spacing w:val="-1"/>
                <w:sz w:val="19"/>
                <w:szCs w:val="19"/>
              </w:rPr>
              <w:t>EBITDA</w:t>
            </w:r>
            <w:r>
              <w:rPr>
                <w:rFonts w:ascii="Calibri" w:eastAsia="Calibri" w:hAnsi="Calibri" w:cs="Calibri"/>
                <w:b/>
                <w:bCs/>
                <w:spacing w:val="-1"/>
                <w:sz w:val="19"/>
                <w:szCs w:val="19"/>
              </w:rPr>
              <w:t xml:space="preserve"> </w:t>
            </w:r>
            <w:r w:rsidRPr="00997067">
              <w:rPr>
                <w:rFonts w:cs="Times New Roman"/>
                <w:i/>
                <w:sz w:val="17"/>
                <w:szCs w:val="17"/>
                <w:lang w:eastAsia="en-IE"/>
              </w:rPr>
              <w:t xml:space="preserve"> </w:t>
            </w:r>
          </w:p>
          <w:p w14:paraId="5D9E7133" w14:textId="77777777" w:rsidR="00E223C0" w:rsidRPr="00B7733A" w:rsidRDefault="00E223C0" w:rsidP="00E223C0">
            <w:pPr>
              <w:pStyle w:val="TableParagraph"/>
              <w:spacing w:line="204" w:lineRule="exact"/>
              <w:jc w:val="center"/>
              <w:rPr>
                <w:rFonts w:ascii="Calibri" w:eastAsia="Calibri" w:hAnsi="Calibri" w:cs="Calibri"/>
                <w:sz w:val="19"/>
                <w:szCs w:val="19"/>
              </w:rPr>
            </w:pPr>
            <w:r w:rsidRPr="00997067">
              <w:rPr>
                <w:rFonts w:cs="Times New Roman"/>
                <w:i/>
                <w:sz w:val="17"/>
                <w:szCs w:val="17"/>
                <w:lang w:eastAsia="en-IE"/>
              </w:rPr>
              <w:t>Pre IFRS 16</w:t>
            </w:r>
          </w:p>
        </w:tc>
      </w:tr>
      <w:tr w:rsidR="00E223C0" w:rsidRPr="00FF2554" w14:paraId="550F1E27" w14:textId="77777777" w:rsidTr="00E223C0">
        <w:trPr>
          <w:trHeight w:hRule="exact" w:val="707"/>
        </w:trPr>
        <w:tc>
          <w:tcPr>
            <w:tcW w:w="3964" w:type="dxa"/>
            <w:vMerge/>
            <w:tcBorders>
              <w:right w:val="nil"/>
            </w:tcBorders>
          </w:tcPr>
          <w:p w14:paraId="475EF7F3" w14:textId="77777777" w:rsidR="00E223C0" w:rsidRPr="00176844" w:rsidRDefault="00E223C0" w:rsidP="00E223C0">
            <w:pPr>
              <w:rPr>
                <w:sz w:val="19"/>
                <w:szCs w:val="19"/>
                <w:highlight w:val="yellow"/>
              </w:rPr>
            </w:pPr>
          </w:p>
        </w:tc>
        <w:tc>
          <w:tcPr>
            <w:tcW w:w="582" w:type="dxa"/>
            <w:tcBorders>
              <w:top w:val="nil"/>
              <w:left w:val="nil"/>
              <w:right w:val="nil"/>
            </w:tcBorders>
            <w:vAlign w:val="center"/>
          </w:tcPr>
          <w:p w14:paraId="215AF11B" w14:textId="77777777" w:rsidR="00E223C0" w:rsidRPr="00B7733A" w:rsidRDefault="00E223C0" w:rsidP="00E223C0">
            <w:pPr>
              <w:pStyle w:val="TableParagraph"/>
              <w:spacing w:line="238" w:lineRule="auto"/>
              <w:ind w:left="135" w:firstLine="141"/>
              <w:jc w:val="center"/>
              <w:rPr>
                <w:rFonts w:ascii="Calibri" w:eastAsia="Calibri" w:hAnsi="Calibri" w:cs="Calibri"/>
                <w:sz w:val="19"/>
                <w:szCs w:val="19"/>
              </w:rPr>
            </w:pPr>
            <w:r w:rsidRPr="00B7733A">
              <w:rPr>
                <w:rFonts w:ascii="Calibri" w:eastAsia="Calibri" w:hAnsi="Calibri" w:cs="Calibri"/>
                <w:b/>
                <w:bCs/>
                <w:sz w:val="19"/>
                <w:szCs w:val="19"/>
              </w:rPr>
              <w:t xml:space="preserve"> 201</w:t>
            </w:r>
            <w:r>
              <w:rPr>
                <w:rFonts w:ascii="Calibri" w:eastAsia="Calibri" w:hAnsi="Calibri" w:cs="Calibri"/>
                <w:b/>
                <w:bCs/>
                <w:sz w:val="19"/>
                <w:szCs w:val="19"/>
              </w:rPr>
              <w:t>9</w:t>
            </w:r>
          </w:p>
        </w:tc>
        <w:tc>
          <w:tcPr>
            <w:tcW w:w="694" w:type="dxa"/>
            <w:tcBorders>
              <w:top w:val="nil"/>
              <w:left w:val="nil"/>
              <w:right w:val="nil"/>
            </w:tcBorders>
            <w:vAlign w:val="center"/>
          </w:tcPr>
          <w:p w14:paraId="38E06BC1" w14:textId="77777777" w:rsidR="00E223C0" w:rsidRPr="00E8786F" w:rsidRDefault="00E223C0" w:rsidP="00E223C0">
            <w:pPr>
              <w:pStyle w:val="TableParagraph"/>
              <w:spacing w:line="238" w:lineRule="auto"/>
              <w:ind w:left="135" w:firstLine="141"/>
              <w:jc w:val="center"/>
              <w:rPr>
                <w:rFonts w:ascii="Calibri" w:eastAsia="Calibri" w:hAnsi="Calibri" w:cs="Calibri"/>
                <w:sz w:val="19"/>
                <w:szCs w:val="19"/>
              </w:rPr>
            </w:pPr>
            <w:r w:rsidRPr="00B7733A">
              <w:rPr>
                <w:rFonts w:ascii="Calibri" w:eastAsia="Calibri" w:hAnsi="Calibri" w:cs="Calibri"/>
                <w:b/>
                <w:bCs/>
                <w:sz w:val="19"/>
                <w:szCs w:val="19"/>
              </w:rPr>
              <w:t xml:space="preserve"> 201</w:t>
            </w:r>
            <w:r>
              <w:rPr>
                <w:rFonts w:ascii="Calibri" w:eastAsia="Calibri" w:hAnsi="Calibri" w:cs="Calibri"/>
                <w:b/>
                <w:bCs/>
                <w:sz w:val="19"/>
                <w:szCs w:val="19"/>
              </w:rPr>
              <w:t>8</w:t>
            </w:r>
          </w:p>
        </w:tc>
        <w:tc>
          <w:tcPr>
            <w:tcW w:w="567" w:type="dxa"/>
            <w:tcBorders>
              <w:top w:val="nil"/>
              <w:left w:val="nil"/>
              <w:right w:val="nil"/>
            </w:tcBorders>
            <w:vAlign w:val="center"/>
          </w:tcPr>
          <w:p w14:paraId="1492A7E1" w14:textId="77777777" w:rsidR="00E223C0" w:rsidRPr="00B7733A" w:rsidRDefault="00E223C0" w:rsidP="00E223C0">
            <w:pPr>
              <w:pStyle w:val="TableParagraph"/>
              <w:spacing w:line="238" w:lineRule="auto"/>
              <w:ind w:left="135"/>
              <w:jc w:val="center"/>
              <w:rPr>
                <w:rFonts w:ascii="Calibri" w:eastAsia="Calibri" w:hAnsi="Calibri" w:cs="Calibri"/>
                <w:b/>
                <w:bCs/>
                <w:sz w:val="19"/>
                <w:szCs w:val="19"/>
              </w:rPr>
            </w:pPr>
            <w:r w:rsidRPr="00B7733A">
              <w:rPr>
                <w:rFonts w:ascii="Calibri" w:eastAsia="Calibri" w:hAnsi="Calibri" w:cs="Calibri"/>
                <w:b/>
                <w:bCs/>
                <w:sz w:val="19"/>
                <w:szCs w:val="19"/>
              </w:rPr>
              <w:t>YoY</w:t>
            </w:r>
          </w:p>
          <w:p w14:paraId="593F1144" w14:textId="77777777" w:rsidR="00E223C0" w:rsidRPr="00B7733A" w:rsidRDefault="00E223C0" w:rsidP="00E223C0">
            <w:pPr>
              <w:pStyle w:val="TableParagraph"/>
              <w:spacing w:line="238" w:lineRule="auto"/>
              <w:ind w:left="135" w:firstLine="141"/>
              <w:jc w:val="center"/>
              <w:rPr>
                <w:rFonts w:ascii="Calibri" w:eastAsia="Calibri" w:hAnsi="Calibri" w:cs="Calibri"/>
                <w:b/>
                <w:bCs/>
                <w:sz w:val="19"/>
                <w:szCs w:val="19"/>
              </w:rPr>
            </w:pPr>
            <w:r w:rsidRPr="00B7733A">
              <w:rPr>
                <w:rFonts w:ascii="Calibri" w:eastAsia="Calibri" w:hAnsi="Calibri" w:cs="Calibri"/>
                <w:b/>
                <w:bCs/>
                <w:sz w:val="19"/>
                <w:szCs w:val="19"/>
              </w:rPr>
              <w:t>%</w:t>
            </w:r>
          </w:p>
        </w:tc>
        <w:tc>
          <w:tcPr>
            <w:tcW w:w="709" w:type="dxa"/>
            <w:tcBorders>
              <w:top w:val="nil"/>
              <w:left w:val="nil"/>
            </w:tcBorders>
            <w:tcMar>
              <w:right w:w="85" w:type="dxa"/>
            </w:tcMar>
            <w:vAlign w:val="center"/>
          </w:tcPr>
          <w:p w14:paraId="63865630" w14:textId="77777777" w:rsidR="00E223C0" w:rsidRPr="00B7733A" w:rsidRDefault="00E223C0" w:rsidP="00E223C0">
            <w:pPr>
              <w:pStyle w:val="TableParagraph"/>
              <w:ind w:left="217"/>
              <w:jc w:val="right"/>
              <w:rPr>
                <w:rFonts w:ascii="Calibri" w:eastAsia="Calibri" w:hAnsi="Calibri" w:cs="Calibri"/>
                <w:sz w:val="19"/>
                <w:szCs w:val="19"/>
              </w:rPr>
            </w:pPr>
            <w:r w:rsidRPr="00B7733A">
              <w:rPr>
                <w:rFonts w:ascii="Calibri" w:eastAsia="Calibri" w:hAnsi="Calibri" w:cs="Calibri"/>
                <w:b/>
                <w:bCs/>
                <w:spacing w:val="-2"/>
                <w:sz w:val="19"/>
                <w:szCs w:val="19"/>
              </w:rPr>
              <w:t>CC</w:t>
            </w:r>
            <w:r w:rsidRPr="00B7733A">
              <w:rPr>
                <w:rFonts w:ascii="Calibri" w:eastAsia="Calibri" w:hAnsi="Calibri" w:cs="Calibri"/>
                <w:b/>
                <w:bCs/>
                <w:spacing w:val="12"/>
                <w:position w:val="5"/>
                <w:sz w:val="19"/>
                <w:szCs w:val="19"/>
              </w:rPr>
              <w:t xml:space="preserve"> YoY %</w:t>
            </w:r>
          </w:p>
          <w:p w14:paraId="33A54C46" w14:textId="77777777" w:rsidR="00E223C0" w:rsidRPr="00B7733A" w:rsidRDefault="00E223C0" w:rsidP="00E223C0">
            <w:pPr>
              <w:pStyle w:val="TableParagraph"/>
              <w:spacing w:line="194" w:lineRule="exact"/>
              <w:ind w:left="152"/>
              <w:jc w:val="right"/>
              <w:rPr>
                <w:rFonts w:ascii="Calibri" w:eastAsia="Calibri" w:hAnsi="Calibri" w:cs="Calibri"/>
                <w:sz w:val="19"/>
                <w:szCs w:val="19"/>
              </w:rPr>
            </w:pPr>
          </w:p>
        </w:tc>
        <w:tc>
          <w:tcPr>
            <w:tcW w:w="709" w:type="dxa"/>
            <w:tcBorders>
              <w:top w:val="nil"/>
              <w:right w:val="nil"/>
            </w:tcBorders>
            <w:shd w:val="clear" w:color="auto" w:fill="F2F2F2" w:themeFill="background1" w:themeFillShade="F2"/>
            <w:vAlign w:val="center"/>
          </w:tcPr>
          <w:p w14:paraId="676BF54A" w14:textId="77777777" w:rsidR="00E223C0" w:rsidRPr="00B7733A" w:rsidRDefault="00E223C0" w:rsidP="00E223C0">
            <w:pPr>
              <w:pStyle w:val="TableParagraph"/>
              <w:spacing w:line="238" w:lineRule="auto"/>
              <w:ind w:left="181" w:firstLine="141"/>
              <w:jc w:val="center"/>
              <w:rPr>
                <w:rFonts w:ascii="Calibri" w:eastAsia="Calibri" w:hAnsi="Calibri" w:cs="Calibri"/>
                <w:sz w:val="19"/>
                <w:szCs w:val="19"/>
              </w:rPr>
            </w:pPr>
            <w:r w:rsidRPr="00B7733A">
              <w:rPr>
                <w:rFonts w:ascii="Calibri" w:eastAsia="Calibri" w:hAnsi="Calibri" w:cs="Calibri"/>
                <w:b/>
                <w:bCs/>
                <w:sz w:val="19"/>
                <w:szCs w:val="19"/>
              </w:rPr>
              <w:t xml:space="preserve"> 201</w:t>
            </w:r>
            <w:r>
              <w:rPr>
                <w:rFonts w:ascii="Calibri" w:eastAsia="Calibri" w:hAnsi="Calibri" w:cs="Calibri"/>
                <w:b/>
                <w:bCs/>
                <w:sz w:val="19"/>
                <w:szCs w:val="19"/>
              </w:rPr>
              <w:t>9</w:t>
            </w:r>
          </w:p>
        </w:tc>
        <w:tc>
          <w:tcPr>
            <w:tcW w:w="567" w:type="dxa"/>
            <w:tcBorders>
              <w:top w:val="nil"/>
              <w:left w:val="nil"/>
              <w:right w:val="nil"/>
            </w:tcBorders>
            <w:shd w:val="clear" w:color="auto" w:fill="F2F2F2" w:themeFill="background1" w:themeFillShade="F2"/>
            <w:vAlign w:val="center"/>
          </w:tcPr>
          <w:p w14:paraId="33AE0C3F" w14:textId="77777777" w:rsidR="00E223C0" w:rsidRPr="00B7733A" w:rsidRDefault="00E223C0" w:rsidP="00E223C0">
            <w:pPr>
              <w:pStyle w:val="TableParagraph"/>
              <w:spacing w:line="238" w:lineRule="auto"/>
              <w:ind w:left="179" w:firstLine="141"/>
              <w:jc w:val="center"/>
              <w:rPr>
                <w:rFonts w:ascii="Calibri" w:eastAsia="Calibri" w:hAnsi="Calibri" w:cs="Calibri"/>
                <w:sz w:val="19"/>
                <w:szCs w:val="19"/>
              </w:rPr>
            </w:pPr>
            <w:r w:rsidRPr="00B7733A">
              <w:rPr>
                <w:rFonts w:ascii="Calibri" w:eastAsia="Calibri" w:hAnsi="Calibri" w:cs="Calibri"/>
                <w:b/>
                <w:bCs/>
                <w:sz w:val="19"/>
                <w:szCs w:val="19"/>
              </w:rPr>
              <w:t xml:space="preserve"> 201</w:t>
            </w:r>
            <w:r>
              <w:rPr>
                <w:rFonts w:ascii="Calibri" w:eastAsia="Calibri" w:hAnsi="Calibri" w:cs="Calibri"/>
                <w:b/>
                <w:bCs/>
                <w:sz w:val="19"/>
                <w:szCs w:val="19"/>
              </w:rPr>
              <w:t>8</w:t>
            </w:r>
          </w:p>
        </w:tc>
        <w:tc>
          <w:tcPr>
            <w:tcW w:w="567" w:type="dxa"/>
            <w:tcBorders>
              <w:top w:val="nil"/>
              <w:left w:val="nil"/>
              <w:right w:val="nil"/>
            </w:tcBorders>
            <w:shd w:val="clear" w:color="auto" w:fill="F2F2F2" w:themeFill="background1" w:themeFillShade="F2"/>
            <w:vAlign w:val="center"/>
          </w:tcPr>
          <w:p w14:paraId="3718AA19" w14:textId="77777777" w:rsidR="00E223C0" w:rsidRPr="00B7733A" w:rsidRDefault="00E223C0" w:rsidP="00E223C0">
            <w:pPr>
              <w:pStyle w:val="TableParagraph"/>
              <w:spacing w:line="238" w:lineRule="auto"/>
              <w:ind w:left="135"/>
              <w:jc w:val="center"/>
              <w:rPr>
                <w:rFonts w:ascii="Calibri" w:eastAsia="Calibri" w:hAnsi="Calibri" w:cs="Calibri"/>
                <w:b/>
                <w:bCs/>
                <w:sz w:val="19"/>
                <w:szCs w:val="19"/>
              </w:rPr>
            </w:pPr>
            <w:r w:rsidRPr="00B7733A">
              <w:rPr>
                <w:rFonts w:ascii="Calibri" w:eastAsia="Calibri" w:hAnsi="Calibri" w:cs="Calibri"/>
                <w:b/>
                <w:bCs/>
                <w:sz w:val="19"/>
                <w:szCs w:val="19"/>
              </w:rPr>
              <w:t>YoY</w:t>
            </w:r>
          </w:p>
          <w:p w14:paraId="4842596C" w14:textId="77777777" w:rsidR="00E223C0" w:rsidRPr="00B7733A" w:rsidRDefault="00E223C0" w:rsidP="00E223C0">
            <w:pPr>
              <w:pStyle w:val="TableParagraph"/>
              <w:spacing w:line="194" w:lineRule="exact"/>
              <w:ind w:right="50"/>
              <w:jc w:val="center"/>
              <w:rPr>
                <w:rFonts w:ascii="Calibri" w:eastAsia="Calibri" w:hAnsi="Calibri" w:cs="Calibri"/>
                <w:sz w:val="19"/>
                <w:szCs w:val="19"/>
              </w:rPr>
            </w:pPr>
            <w:r w:rsidRPr="00B7733A">
              <w:rPr>
                <w:rFonts w:ascii="Calibri" w:eastAsia="Calibri" w:hAnsi="Calibri" w:cs="Calibri"/>
                <w:b/>
                <w:bCs/>
                <w:sz w:val="19"/>
                <w:szCs w:val="19"/>
              </w:rPr>
              <w:t xml:space="preserve">        %</w:t>
            </w:r>
          </w:p>
        </w:tc>
        <w:tc>
          <w:tcPr>
            <w:tcW w:w="865" w:type="dxa"/>
            <w:tcBorders>
              <w:top w:val="nil"/>
              <w:left w:val="nil"/>
            </w:tcBorders>
            <w:shd w:val="clear" w:color="auto" w:fill="F2F2F2" w:themeFill="background1" w:themeFillShade="F2"/>
            <w:tcMar>
              <w:right w:w="85" w:type="dxa"/>
            </w:tcMar>
            <w:vAlign w:val="center"/>
          </w:tcPr>
          <w:p w14:paraId="346D63FE" w14:textId="77777777" w:rsidR="00E223C0" w:rsidRPr="00B7733A" w:rsidRDefault="00E223C0" w:rsidP="00E223C0">
            <w:pPr>
              <w:pStyle w:val="TableParagraph"/>
              <w:ind w:left="217"/>
              <w:jc w:val="right"/>
              <w:rPr>
                <w:rFonts w:ascii="Calibri" w:eastAsia="Calibri" w:hAnsi="Calibri" w:cs="Calibri"/>
                <w:sz w:val="19"/>
                <w:szCs w:val="19"/>
              </w:rPr>
            </w:pPr>
            <w:r w:rsidRPr="00B7733A">
              <w:rPr>
                <w:rFonts w:ascii="Calibri" w:eastAsia="Calibri" w:hAnsi="Calibri" w:cs="Calibri"/>
                <w:b/>
                <w:bCs/>
                <w:spacing w:val="-2"/>
                <w:sz w:val="19"/>
                <w:szCs w:val="19"/>
              </w:rPr>
              <w:t>CC</w:t>
            </w:r>
            <w:r w:rsidRPr="00B7733A">
              <w:rPr>
                <w:rFonts w:ascii="Calibri" w:eastAsia="Calibri" w:hAnsi="Calibri" w:cs="Calibri"/>
                <w:b/>
                <w:bCs/>
                <w:spacing w:val="12"/>
                <w:position w:val="5"/>
                <w:sz w:val="19"/>
                <w:szCs w:val="19"/>
              </w:rPr>
              <w:t xml:space="preserve"> YoY %</w:t>
            </w:r>
          </w:p>
          <w:p w14:paraId="63A1E65B" w14:textId="77777777" w:rsidR="00E223C0" w:rsidRPr="00B7733A" w:rsidRDefault="00E223C0" w:rsidP="00E223C0">
            <w:pPr>
              <w:pStyle w:val="TableParagraph"/>
              <w:spacing w:line="194" w:lineRule="exact"/>
              <w:ind w:left="99"/>
              <w:jc w:val="right"/>
              <w:rPr>
                <w:rFonts w:ascii="Calibri" w:eastAsia="Calibri" w:hAnsi="Calibri" w:cs="Calibri"/>
                <w:sz w:val="19"/>
                <w:szCs w:val="19"/>
              </w:rPr>
            </w:pPr>
          </w:p>
        </w:tc>
      </w:tr>
      <w:tr w:rsidR="00E223C0" w:rsidRPr="00FF2554" w14:paraId="44436FC0" w14:textId="77777777" w:rsidTr="00E223C0">
        <w:trPr>
          <w:trHeight w:val="255"/>
        </w:trPr>
        <w:tc>
          <w:tcPr>
            <w:tcW w:w="3964" w:type="dxa"/>
            <w:tcBorders>
              <w:bottom w:val="nil"/>
              <w:right w:val="nil"/>
            </w:tcBorders>
            <w:vAlign w:val="center"/>
          </w:tcPr>
          <w:p w14:paraId="4004A9FD" w14:textId="77777777" w:rsidR="00E223C0" w:rsidRPr="00B7733A" w:rsidRDefault="00E223C0" w:rsidP="00E223C0">
            <w:pPr>
              <w:pStyle w:val="TableParagraph"/>
              <w:spacing w:line="204" w:lineRule="exact"/>
              <w:ind w:left="51"/>
              <w:rPr>
                <w:rFonts w:ascii="Calibri" w:eastAsia="Calibri" w:hAnsi="Calibri" w:cs="Calibri"/>
                <w:b/>
                <w:sz w:val="19"/>
                <w:szCs w:val="19"/>
              </w:rPr>
            </w:pPr>
            <w:r w:rsidRPr="00B7733A">
              <w:rPr>
                <w:rFonts w:ascii="Calibri" w:eastAsia="Calibri" w:hAnsi="Calibri" w:cs="Calibri"/>
                <w:b/>
                <w:sz w:val="19"/>
                <w:szCs w:val="19"/>
              </w:rPr>
              <w:t xml:space="preserve">Reported </w:t>
            </w:r>
          </w:p>
        </w:tc>
        <w:tc>
          <w:tcPr>
            <w:tcW w:w="582" w:type="dxa"/>
            <w:tcBorders>
              <w:left w:val="nil"/>
              <w:bottom w:val="nil"/>
              <w:right w:val="nil"/>
            </w:tcBorders>
            <w:vAlign w:val="center"/>
          </w:tcPr>
          <w:p w14:paraId="0DFA375D" w14:textId="77777777" w:rsidR="00E223C0" w:rsidRPr="00B7733A" w:rsidRDefault="00E223C0" w:rsidP="00E223C0">
            <w:pPr>
              <w:rPr>
                <w:b/>
                <w:sz w:val="19"/>
                <w:szCs w:val="19"/>
              </w:rPr>
            </w:pPr>
            <w:r>
              <w:rPr>
                <w:rFonts w:ascii="Calibri" w:eastAsia="Calibri" w:hAnsi="Calibri" w:cs="Calibri"/>
                <w:b/>
                <w:bCs/>
                <w:sz w:val="19"/>
                <w:szCs w:val="19"/>
              </w:rPr>
              <w:t xml:space="preserve">  </w:t>
            </w:r>
            <w:r w:rsidRPr="004E6C6D">
              <w:rPr>
                <w:rFonts w:ascii="Calibri" w:eastAsia="Calibri" w:hAnsi="Calibri" w:cs="Calibri"/>
                <w:b/>
                <w:bCs/>
                <w:sz w:val="19"/>
                <w:szCs w:val="19"/>
              </w:rPr>
              <w:t>2,140</w:t>
            </w:r>
          </w:p>
        </w:tc>
        <w:tc>
          <w:tcPr>
            <w:tcW w:w="694" w:type="dxa"/>
            <w:tcBorders>
              <w:left w:val="nil"/>
              <w:bottom w:val="nil"/>
              <w:right w:val="nil"/>
            </w:tcBorders>
            <w:vAlign w:val="center"/>
          </w:tcPr>
          <w:p w14:paraId="532AA634" w14:textId="77777777" w:rsidR="00E223C0" w:rsidRPr="00B7733A" w:rsidRDefault="00E223C0" w:rsidP="00E223C0">
            <w:pPr>
              <w:jc w:val="center"/>
              <w:rPr>
                <w:b/>
                <w:sz w:val="19"/>
                <w:szCs w:val="19"/>
              </w:rPr>
            </w:pPr>
            <w:r>
              <w:rPr>
                <w:rFonts w:ascii="Calibri" w:eastAsia="Calibri" w:hAnsi="Calibri" w:cs="Calibri"/>
                <w:b/>
                <w:bCs/>
                <w:sz w:val="19"/>
                <w:szCs w:val="19"/>
              </w:rPr>
              <w:t xml:space="preserve">    </w:t>
            </w:r>
            <w:r w:rsidRPr="00B7733A">
              <w:rPr>
                <w:rFonts w:ascii="Calibri" w:eastAsia="Calibri" w:hAnsi="Calibri" w:cs="Calibri"/>
                <w:b/>
                <w:bCs/>
                <w:sz w:val="19"/>
                <w:szCs w:val="19"/>
              </w:rPr>
              <w:t>1,8</w:t>
            </w:r>
            <w:r w:rsidRPr="00406643">
              <w:rPr>
                <w:rFonts w:ascii="Calibri" w:eastAsia="Calibri" w:hAnsi="Calibri" w:cs="Calibri"/>
                <w:b/>
                <w:bCs/>
                <w:sz w:val="19"/>
                <w:szCs w:val="19"/>
              </w:rPr>
              <w:t>73</w:t>
            </w:r>
          </w:p>
        </w:tc>
        <w:tc>
          <w:tcPr>
            <w:tcW w:w="567" w:type="dxa"/>
            <w:tcBorders>
              <w:left w:val="nil"/>
              <w:bottom w:val="nil"/>
              <w:right w:val="nil"/>
            </w:tcBorders>
            <w:vAlign w:val="center"/>
          </w:tcPr>
          <w:p w14:paraId="2636F44E" w14:textId="77777777" w:rsidR="00E223C0" w:rsidRPr="00B7733A" w:rsidRDefault="00E223C0" w:rsidP="00E223C0">
            <w:pPr>
              <w:rPr>
                <w:b/>
                <w:sz w:val="19"/>
                <w:szCs w:val="19"/>
              </w:rPr>
            </w:pPr>
            <w:r>
              <w:rPr>
                <w:rFonts w:ascii="Calibri" w:eastAsia="Calibri" w:hAnsi="Calibri" w:cs="Calibri"/>
                <w:b/>
                <w:bCs/>
                <w:sz w:val="19"/>
                <w:szCs w:val="19"/>
              </w:rPr>
              <w:t xml:space="preserve">  </w:t>
            </w:r>
            <w:r w:rsidRPr="00342F4F">
              <w:rPr>
                <w:rFonts w:ascii="Calibri" w:eastAsia="Calibri" w:hAnsi="Calibri" w:cs="Calibri"/>
                <w:b/>
                <w:bCs/>
                <w:sz w:val="19"/>
                <w:szCs w:val="19"/>
              </w:rPr>
              <w:t>+14%</w:t>
            </w:r>
          </w:p>
        </w:tc>
        <w:tc>
          <w:tcPr>
            <w:tcW w:w="709" w:type="dxa"/>
            <w:tcBorders>
              <w:left w:val="nil"/>
              <w:bottom w:val="nil"/>
            </w:tcBorders>
            <w:vAlign w:val="center"/>
          </w:tcPr>
          <w:p w14:paraId="25471EE4" w14:textId="77777777" w:rsidR="00E223C0" w:rsidRPr="00B7733A" w:rsidRDefault="00E223C0" w:rsidP="00E223C0">
            <w:pPr>
              <w:rPr>
                <w:b/>
                <w:sz w:val="19"/>
                <w:szCs w:val="19"/>
              </w:rPr>
            </w:pPr>
            <w:r>
              <w:rPr>
                <w:rFonts w:ascii="Calibri" w:eastAsia="Calibri" w:hAnsi="Calibri" w:cs="Calibri"/>
                <w:b/>
                <w:bCs/>
                <w:sz w:val="19"/>
                <w:szCs w:val="19"/>
              </w:rPr>
              <w:t xml:space="preserve">      </w:t>
            </w:r>
            <w:r w:rsidRPr="00342F4F">
              <w:rPr>
                <w:rFonts w:ascii="Calibri" w:eastAsia="Calibri" w:hAnsi="Calibri" w:cs="Calibri"/>
                <w:b/>
                <w:bCs/>
                <w:sz w:val="19"/>
                <w:szCs w:val="19"/>
              </w:rPr>
              <w:t>+1</w:t>
            </w:r>
            <w:r>
              <w:rPr>
                <w:rFonts w:ascii="Calibri" w:eastAsia="Calibri" w:hAnsi="Calibri" w:cs="Calibri"/>
                <w:b/>
                <w:bCs/>
                <w:sz w:val="19"/>
                <w:szCs w:val="19"/>
              </w:rPr>
              <w:t>5</w:t>
            </w:r>
            <w:r w:rsidRPr="00342F4F">
              <w:rPr>
                <w:rFonts w:ascii="Calibri" w:eastAsia="Calibri" w:hAnsi="Calibri" w:cs="Calibri"/>
                <w:b/>
                <w:bCs/>
                <w:sz w:val="19"/>
                <w:szCs w:val="19"/>
              </w:rPr>
              <w:t>%</w:t>
            </w:r>
          </w:p>
        </w:tc>
        <w:tc>
          <w:tcPr>
            <w:tcW w:w="709" w:type="dxa"/>
            <w:tcBorders>
              <w:bottom w:val="nil"/>
              <w:right w:val="nil"/>
            </w:tcBorders>
            <w:shd w:val="clear" w:color="auto" w:fill="F2F2F2" w:themeFill="background1" w:themeFillShade="F2"/>
            <w:vAlign w:val="center"/>
          </w:tcPr>
          <w:p w14:paraId="3478E067" w14:textId="77777777" w:rsidR="00E223C0" w:rsidRPr="00B7733A" w:rsidRDefault="00E223C0" w:rsidP="00E223C0">
            <w:pPr>
              <w:pStyle w:val="TableParagraph"/>
              <w:spacing w:line="204" w:lineRule="exact"/>
              <w:ind w:left="120"/>
              <w:rPr>
                <w:rFonts w:ascii="Calibri" w:eastAsia="Calibri" w:hAnsi="Calibri" w:cs="Calibri"/>
                <w:b/>
                <w:sz w:val="19"/>
                <w:szCs w:val="19"/>
              </w:rPr>
            </w:pPr>
            <w:r>
              <w:rPr>
                <w:rFonts w:ascii="Calibri" w:eastAsia="Calibri" w:hAnsi="Calibri" w:cs="Calibri"/>
                <w:b/>
                <w:bCs/>
                <w:sz w:val="19"/>
                <w:szCs w:val="19"/>
              </w:rPr>
              <w:t xml:space="preserve">      </w:t>
            </w:r>
            <w:r w:rsidRPr="00342F4F">
              <w:rPr>
                <w:rFonts w:ascii="Calibri" w:eastAsia="Calibri" w:hAnsi="Calibri" w:cs="Calibri"/>
                <w:b/>
                <w:bCs/>
                <w:sz w:val="19"/>
                <w:szCs w:val="19"/>
              </w:rPr>
              <w:t>385</w:t>
            </w:r>
          </w:p>
        </w:tc>
        <w:tc>
          <w:tcPr>
            <w:tcW w:w="567" w:type="dxa"/>
            <w:tcBorders>
              <w:left w:val="nil"/>
              <w:bottom w:val="nil"/>
              <w:right w:val="nil"/>
            </w:tcBorders>
            <w:shd w:val="clear" w:color="auto" w:fill="F2F2F2" w:themeFill="background1" w:themeFillShade="F2"/>
            <w:vAlign w:val="center"/>
          </w:tcPr>
          <w:p w14:paraId="1C45A583" w14:textId="77777777" w:rsidR="00E223C0" w:rsidRPr="00B7733A" w:rsidRDefault="00E223C0" w:rsidP="00E223C0">
            <w:pPr>
              <w:pStyle w:val="TableParagraph"/>
              <w:spacing w:line="204" w:lineRule="exact"/>
              <w:rPr>
                <w:rFonts w:ascii="Calibri" w:eastAsia="Calibri" w:hAnsi="Calibri" w:cs="Calibri"/>
                <w:b/>
                <w:sz w:val="19"/>
                <w:szCs w:val="19"/>
              </w:rPr>
            </w:pPr>
            <w:r>
              <w:rPr>
                <w:rFonts w:ascii="Calibri" w:eastAsia="Calibri" w:hAnsi="Calibri" w:cs="Calibri"/>
                <w:b/>
                <w:bCs/>
                <w:sz w:val="19"/>
                <w:szCs w:val="19"/>
              </w:rPr>
              <w:t xml:space="preserve">     </w:t>
            </w:r>
            <w:r w:rsidRPr="00B7733A">
              <w:rPr>
                <w:rFonts w:ascii="Calibri" w:eastAsia="Calibri" w:hAnsi="Calibri" w:cs="Calibri"/>
                <w:b/>
                <w:bCs/>
                <w:sz w:val="19"/>
                <w:szCs w:val="19"/>
              </w:rPr>
              <w:t>451</w:t>
            </w:r>
          </w:p>
        </w:tc>
        <w:tc>
          <w:tcPr>
            <w:tcW w:w="567" w:type="dxa"/>
            <w:tcBorders>
              <w:left w:val="nil"/>
              <w:bottom w:val="nil"/>
              <w:right w:val="nil"/>
            </w:tcBorders>
            <w:shd w:val="clear" w:color="auto" w:fill="F2F2F2" w:themeFill="background1" w:themeFillShade="F2"/>
            <w:vAlign w:val="center"/>
          </w:tcPr>
          <w:p w14:paraId="36EB611E" w14:textId="77777777" w:rsidR="00E223C0" w:rsidRPr="00B7733A" w:rsidRDefault="00E223C0" w:rsidP="00E223C0">
            <w:pPr>
              <w:pStyle w:val="TableParagraph"/>
              <w:spacing w:line="204" w:lineRule="exact"/>
              <w:rPr>
                <w:rFonts w:ascii="Calibri" w:eastAsia="Calibri" w:hAnsi="Calibri" w:cs="Calibri"/>
                <w:b/>
                <w:sz w:val="19"/>
                <w:szCs w:val="19"/>
              </w:rPr>
            </w:pPr>
            <w:r>
              <w:rPr>
                <w:rFonts w:ascii="Calibri" w:eastAsia="Calibri" w:hAnsi="Calibri" w:cs="Calibri"/>
                <w:b/>
                <w:bCs/>
                <w:sz w:val="19"/>
                <w:szCs w:val="19"/>
              </w:rPr>
              <w:t xml:space="preserve">   </w:t>
            </w:r>
            <w:r w:rsidRPr="00342F4F">
              <w:rPr>
                <w:rFonts w:ascii="Calibri" w:eastAsia="Calibri" w:hAnsi="Calibri" w:cs="Calibri"/>
                <w:b/>
                <w:bCs/>
                <w:sz w:val="19"/>
                <w:szCs w:val="19"/>
              </w:rPr>
              <w:t>-15%</w:t>
            </w:r>
          </w:p>
        </w:tc>
        <w:tc>
          <w:tcPr>
            <w:tcW w:w="865" w:type="dxa"/>
            <w:tcBorders>
              <w:left w:val="nil"/>
              <w:bottom w:val="nil"/>
            </w:tcBorders>
            <w:shd w:val="clear" w:color="auto" w:fill="F2F2F2" w:themeFill="background1" w:themeFillShade="F2"/>
            <w:vAlign w:val="center"/>
          </w:tcPr>
          <w:p w14:paraId="7EF97D28" w14:textId="77777777" w:rsidR="00E223C0" w:rsidRPr="00B7733A" w:rsidRDefault="00E223C0" w:rsidP="00E223C0">
            <w:pPr>
              <w:pStyle w:val="TableParagraph"/>
              <w:spacing w:line="204" w:lineRule="exact"/>
              <w:rPr>
                <w:rFonts w:ascii="Calibri" w:eastAsia="Calibri" w:hAnsi="Calibri" w:cs="Calibri"/>
                <w:b/>
                <w:sz w:val="19"/>
                <w:szCs w:val="19"/>
              </w:rPr>
            </w:pPr>
            <w:r>
              <w:rPr>
                <w:rFonts w:ascii="Calibri" w:eastAsia="Calibri" w:hAnsi="Calibri" w:cs="Calibri"/>
                <w:b/>
                <w:bCs/>
                <w:sz w:val="19"/>
                <w:szCs w:val="19"/>
              </w:rPr>
              <w:t xml:space="preserve">         </w:t>
            </w:r>
            <w:r w:rsidRPr="00342F4F">
              <w:rPr>
                <w:rFonts w:ascii="Calibri" w:eastAsia="Calibri" w:hAnsi="Calibri" w:cs="Calibri"/>
                <w:b/>
                <w:bCs/>
                <w:sz w:val="19"/>
                <w:szCs w:val="19"/>
              </w:rPr>
              <w:t>-14%</w:t>
            </w:r>
          </w:p>
        </w:tc>
      </w:tr>
      <w:tr w:rsidR="00E223C0" w:rsidRPr="00FF2554" w14:paraId="4F2A747B" w14:textId="77777777" w:rsidTr="00E223C0">
        <w:trPr>
          <w:trHeight w:val="142"/>
        </w:trPr>
        <w:tc>
          <w:tcPr>
            <w:tcW w:w="3964" w:type="dxa"/>
            <w:tcBorders>
              <w:top w:val="nil"/>
              <w:bottom w:val="nil"/>
              <w:right w:val="nil"/>
            </w:tcBorders>
          </w:tcPr>
          <w:p w14:paraId="6A22FB47" w14:textId="77777777" w:rsidR="00E223C0" w:rsidRDefault="00E223C0" w:rsidP="00E223C0">
            <w:pPr>
              <w:pStyle w:val="TableParagraph"/>
              <w:spacing w:line="205" w:lineRule="exact"/>
              <w:ind w:left="51"/>
              <w:rPr>
                <w:rFonts w:ascii="Calibri" w:eastAsia="Calibri" w:hAnsi="Calibri" w:cs="Calibri"/>
                <w:sz w:val="19"/>
                <w:szCs w:val="19"/>
              </w:rPr>
            </w:pPr>
            <w:r w:rsidRPr="00B7733A">
              <w:rPr>
                <w:rFonts w:ascii="Calibri" w:eastAsia="Calibri" w:hAnsi="Calibri" w:cs="Calibri"/>
                <w:sz w:val="19"/>
                <w:szCs w:val="19"/>
              </w:rPr>
              <w:t xml:space="preserve">Inclusion of pre-acquisition </w:t>
            </w:r>
            <w:r>
              <w:rPr>
                <w:rFonts w:ascii="Calibri" w:eastAsia="Calibri" w:hAnsi="Calibri" w:cs="Calibri"/>
                <w:sz w:val="19"/>
                <w:szCs w:val="19"/>
              </w:rPr>
              <w:t xml:space="preserve">Adjarabet and </w:t>
            </w:r>
          </w:p>
          <w:p w14:paraId="5B0ECD86" w14:textId="77777777" w:rsidR="00E223C0" w:rsidRPr="00B7733A" w:rsidRDefault="00E223C0" w:rsidP="00E223C0">
            <w:pPr>
              <w:pStyle w:val="TableParagraph"/>
              <w:spacing w:line="205" w:lineRule="exact"/>
              <w:ind w:left="51"/>
              <w:rPr>
                <w:rFonts w:ascii="Calibri" w:eastAsia="Calibri" w:hAnsi="Calibri" w:cs="Calibri"/>
                <w:sz w:val="19"/>
                <w:szCs w:val="19"/>
              </w:rPr>
            </w:pPr>
            <w:r w:rsidRPr="00B7733A">
              <w:rPr>
                <w:rFonts w:ascii="Calibri" w:eastAsia="Calibri" w:hAnsi="Calibri" w:cs="Calibri"/>
                <w:sz w:val="19"/>
                <w:szCs w:val="19"/>
              </w:rPr>
              <w:t>FanDuel results</w:t>
            </w:r>
          </w:p>
        </w:tc>
        <w:tc>
          <w:tcPr>
            <w:tcW w:w="582" w:type="dxa"/>
            <w:tcBorders>
              <w:top w:val="nil"/>
              <w:left w:val="nil"/>
              <w:bottom w:val="single" w:sz="4" w:space="0" w:color="auto"/>
              <w:right w:val="nil"/>
            </w:tcBorders>
          </w:tcPr>
          <w:p w14:paraId="61EF7BBF" w14:textId="77777777" w:rsidR="00E223C0" w:rsidRPr="00B7733A" w:rsidRDefault="00E223C0" w:rsidP="00E223C0">
            <w:pPr>
              <w:pStyle w:val="TableParagraph"/>
              <w:spacing w:line="205" w:lineRule="exact"/>
              <w:ind w:right="52"/>
              <w:jc w:val="right"/>
              <w:rPr>
                <w:rFonts w:ascii="Calibri" w:eastAsia="Calibri" w:hAnsi="Calibri" w:cs="Calibri"/>
                <w:sz w:val="19"/>
                <w:szCs w:val="19"/>
              </w:rPr>
            </w:pPr>
            <w:r>
              <w:rPr>
                <w:rFonts w:ascii="Calibri" w:eastAsia="Calibri" w:hAnsi="Calibri" w:cs="Calibri"/>
                <w:sz w:val="19"/>
                <w:szCs w:val="19"/>
              </w:rPr>
              <w:t>5</w:t>
            </w:r>
          </w:p>
        </w:tc>
        <w:tc>
          <w:tcPr>
            <w:tcW w:w="694" w:type="dxa"/>
            <w:tcBorders>
              <w:top w:val="nil"/>
              <w:left w:val="nil"/>
              <w:bottom w:val="single" w:sz="4" w:space="0" w:color="auto"/>
              <w:right w:val="nil"/>
            </w:tcBorders>
          </w:tcPr>
          <w:p w14:paraId="3B6B4812" w14:textId="77777777" w:rsidR="00E223C0" w:rsidRPr="00B7733A" w:rsidRDefault="00E223C0" w:rsidP="00E223C0">
            <w:pPr>
              <w:pStyle w:val="TableParagraph"/>
              <w:spacing w:line="205" w:lineRule="exact"/>
              <w:ind w:right="52"/>
              <w:jc w:val="center"/>
              <w:rPr>
                <w:rFonts w:ascii="Calibri" w:eastAsia="Calibri" w:hAnsi="Calibri" w:cs="Calibri"/>
                <w:sz w:val="19"/>
                <w:szCs w:val="19"/>
              </w:rPr>
            </w:pPr>
            <w:r>
              <w:rPr>
                <w:rFonts w:ascii="Calibri" w:eastAsia="Calibri" w:hAnsi="Calibri" w:cs="Calibri"/>
                <w:sz w:val="19"/>
                <w:szCs w:val="19"/>
              </w:rPr>
              <w:t xml:space="preserve">        107</w:t>
            </w:r>
          </w:p>
        </w:tc>
        <w:tc>
          <w:tcPr>
            <w:tcW w:w="567" w:type="dxa"/>
            <w:tcBorders>
              <w:top w:val="nil"/>
              <w:left w:val="nil"/>
              <w:bottom w:val="single" w:sz="4" w:space="0" w:color="auto"/>
              <w:right w:val="nil"/>
            </w:tcBorders>
          </w:tcPr>
          <w:p w14:paraId="1DB8B3C8" w14:textId="77777777" w:rsidR="00E223C0" w:rsidRPr="00B7733A" w:rsidRDefault="00E223C0" w:rsidP="00E223C0">
            <w:pPr>
              <w:pStyle w:val="TableParagraph"/>
              <w:spacing w:line="205" w:lineRule="exact"/>
              <w:ind w:right="52"/>
              <w:jc w:val="right"/>
              <w:rPr>
                <w:rFonts w:ascii="Calibri" w:eastAsia="Calibri" w:hAnsi="Calibri" w:cs="Calibri"/>
                <w:sz w:val="19"/>
                <w:szCs w:val="19"/>
              </w:rPr>
            </w:pPr>
          </w:p>
        </w:tc>
        <w:tc>
          <w:tcPr>
            <w:tcW w:w="709" w:type="dxa"/>
            <w:tcBorders>
              <w:top w:val="nil"/>
              <w:left w:val="nil"/>
              <w:bottom w:val="single" w:sz="4" w:space="0" w:color="auto"/>
            </w:tcBorders>
          </w:tcPr>
          <w:p w14:paraId="51D5BFF2" w14:textId="77777777" w:rsidR="00E223C0" w:rsidRPr="00B7733A" w:rsidRDefault="00E223C0" w:rsidP="00E223C0">
            <w:pPr>
              <w:pStyle w:val="TableParagraph"/>
              <w:spacing w:line="205" w:lineRule="exact"/>
              <w:ind w:right="50"/>
              <w:jc w:val="center"/>
              <w:rPr>
                <w:rFonts w:ascii="Calibri" w:eastAsia="Calibri" w:hAnsi="Calibri" w:cs="Calibri"/>
                <w:sz w:val="19"/>
                <w:szCs w:val="19"/>
              </w:rPr>
            </w:pPr>
          </w:p>
        </w:tc>
        <w:tc>
          <w:tcPr>
            <w:tcW w:w="709" w:type="dxa"/>
            <w:tcBorders>
              <w:top w:val="nil"/>
              <w:bottom w:val="single" w:sz="4" w:space="0" w:color="auto"/>
              <w:right w:val="nil"/>
            </w:tcBorders>
            <w:shd w:val="clear" w:color="auto" w:fill="F2F2F2" w:themeFill="background1" w:themeFillShade="F2"/>
          </w:tcPr>
          <w:p w14:paraId="10317AE9" w14:textId="77777777" w:rsidR="00E223C0" w:rsidRPr="00B7733A" w:rsidRDefault="00E223C0" w:rsidP="00E223C0">
            <w:pPr>
              <w:pStyle w:val="TableParagraph"/>
              <w:spacing w:line="205" w:lineRule="exact"/>
              <w:ind w:left="354"/>
              <w:rPr>
                <w:rFonts w:ascii="Calibri" w:eastAsia="Calibri" w:hAnsi="Calibri" w:cs="Calibri"/>
                <w:sz w:val="19"/>
                <w:szCs w:val="19"/>
              </w:rPr>
            </w:pPr>
            <w:r>
              <w:rPr>
                <w:rFonts w:ascii="Calibri" w:eastAsia="Calibri" w:hAnsi="Calibri" w:cs="Calibri"/>
                <w:sz w:val="19"/>
                <w:szCs w:val="19"/>
              </w:rPr>
              <w:t xml:space="preserve">     1</w:t>
            </w:r>
          </w:p>
        </w:tc>
        <w:tc>
          <w:tcPr>
            <w:tcW w:w="567" w:type="dxa"/>
            <w:tcBorders>
              <w:top w:val="nil"/>
              <w:left w:val="nil"/>
              <w:bottom w:val="single" w:sz="4" w:space="0" w:color="auto"/>
              <w:right w:val="nil"/>
            </w:tcBorders>
            <w:shd w:val="clear" w:color="auto" w:fill="F2F2F2" w:themeFill="background1" w:themeFillShade="F2"/>
          </w:tcPr>
          <w:p w14:paraId="554507DF" w14:textId="77777777" w:rsidR="00E223C0" w:rsidRPr="00B7733A" w:rsidRDefault="00E223C0" w:rsidP="00E223C0">
            <w:pPr>
              <w:pStyle w:val="TableParagraph"/>
              <w:spacing w:line="205" w:lineRule="exact"/>
              <w:rPr>
                <w:rFonts w:ascii="Calibri" w:eastAsia="Calibri" w:hAnsi="Calibri" w:cs="Calibri"/>
                <w:sz w:val="19"/>
                <w:szCs w:val="19"/>
              </w:rPr>
            </w:pPr>
            <w:r>
              <w:rPr>
                <w:rFonts w:ascii="Calibri" w:eastAsia="Calibri" w:hAnsi="Calibri" w:cs="Calibri"/>
                <w:sz w:val="19"/>
                <w:szCs w:val="19"/>
              </w:rPr>
              <w:t xml:space="preserve">       19</w:t>
            </w:r>
          </w:p>
        </w:tc>
        <w:tc>
          <w:tcPr>
            <w:tcW w:w="567" w:type="dxa"/>
            <w:tcBorders>
              <w:top w:val="nil"/>
              <w:left w:val="nil"/>
              <w:bottom w:val="single" w:sz="4" w:space="0" w:color="auto"/>
              <w:right w:val="nil"/>
            </w:tcBorders>
            <w:shd w:val="clear" w:color="auto" w:fill="F2F2F2" w:themeFill="background1" w:themeFillShade="F2"/>
          </w:tcPr>
          <w:p w14:paraId="544BDDF0" w14:textId="77777777" w:rsidR="00E223C0" w:rsidRPr="00B7733A" w:rsidRDefault="00E223C0" w:rsidP="00E223C0">
            <w:pPr>
              <w:pStyle w:val="TableParagraph"/>
              <w:spacing w:line="205" w:lineRule="exact"/>
              <w:rPr>
                <w:rFonts w:ascii="Calibri" w:eastAsia="Calibri" w:hAnsi="Calibri" w:cs="Calibri"/>
                <w:sz w:val="19"/>
                <w:szCs w:val="19"/>
              </w:rPr>
            </w:pPr>
          </w:p>
        </w:tc>
        <w:tc>
          <w:tcPr>
            <w:tcW w:w="865" w:type="dxa"/>
            <w:tcBorders>
              <w:top w:val="nil"/>
              <w:left w:val="nil"/>
              <w:bottom w:val="single" w:sz="4" w:space="0" w:color="auto"/>
            </w:tcBorders>
            <w:shd w:val="clear" w:color="auto" w:fill="F2F2F2" w:themeFill="background1" w:themeFillShade="F2"/>
          </w:tcPr>
          <w:p w14:paraId="7D8E178D" w14:textId="77777777" w:rsidR="00E223C0" w:rsidRPr="00B7733A" w:rsidRDefault="00E223C0" w:rsidP="00E223C0">
            <w:pPr>
              <w:pStyle w:val="TableParagraph"/>
              <w:spacing w:line="205" w:lineRule="exact"/>
              <w:rPr>
                <w:rFonts w:ascii="Calibri" w:eastAsia="Calibri" w:hAnsi="Calibri" w:cs="Calibri"/>
                <w:sz w:val="19"/>
                <w:szCs w:val="19"/>
              </w:rPr>
            </w:pPr>
          </w:p>
        </w:tc>
      </w:tr>
      <w:tr w:rsidR="00E223C0" w:rsidRPr="00FF2554" w14:paraId="5D7CBC5E" w14:textId="77777777" w:rsidTr="00E223C0">
        <w:trPr>
          <w:trHeight w:val="271"/>
        </w:trPr>
        <w:tc>
          <w:tcPr>
            <w:tcW w:w="3964" w:type="dxa"/>
            <w:tcBorders>
              <w:top w:val="nil"/>
              <w:bottom w:val="single" w:sz="4" w:space="0" w:color="auto"/>
              <w:right w:val="nil"/>
            </w:tcBorders>
          </w:tcPr>
          <w:p w14:paraId="2AC3810E" w14:textId="77777777" w:rsidR="00E223C0" w:rsidRPr="00B7733A" w:rsidRDefault="00E223C0" w:rsidP="00E223C0">
            <w:pPr>
              <w:pStyle w:val="TableParagraph"/>
              <w:spacing w:line="204" w:lineRule="exact"/>
              <w:ind w:left="51"/>
              <w:rPr>
                <w:rFonts w:ascii="Calibri" w:eastAsia="Calibri" w:hAnsi="Calibri" w:cs="Calibri"/>
                <w:sz w:val="19"/>
                <w:szCs w:val="19"/>
              </w:rPr>
            </w:pPr>
            <w:r w:rsidRPr="00B7733A">
              <w:rPr>
                <w:rFonts w:ascii="Calibri" w:eastAsia="Calibri" w:hAnsi="Calibri" w:cs="Calibri"/>
                <w:b/>
                <w:bCs/>
                <w:sz w:val="19"/>
                <w:szCs w:val="19"/>
              </w:rPr>
              <w:t xml:space="preserve">Proforma  </w:t>
            </w:r>
          </w:p>
        </w:tc>
        <w:tc>
          <w:tcPr>
            <w:tcW w:w="582" w:type="dxa"/>
            <w:tcBorders>
              <w:top w:val="single" w:sz="4" w:space="0" w:color="auto"/>
              <w:left w:val="nil"/>
              <w:bottom w:val="single" w:sz="4" w:space="0" w:color="auto"/>
              <w:right w:val="nil"/>
            </w:tcBorders>
          </w:tcPr>
          <w:p w14:paraId="293ABEEB" w14:textId="77777777" w:rsidR="00E223C0" w:rsidRPr="00E8786F" w:rsidRDefault="00E223C0" w:rsidP="00E223C0">
            <w:pPr>
              <w:pStyle w:val="TableParagraph"/>
              <w:spacing w:line="204" w:lineRule="exact"/>
              <w:jc w:val="both"/>
              <w:rPr>
                <w:rFonts w:ascii="Calibri" w:eastAsia="Calibri" w:hAnsi="Calibri" w:cs="Calibri"/>
                <w:sz w:val="19"/>
                <w:szCs w:val="19"/>
              </w:rPr>
            </w:pPr>
            <w:r>
              <w:rPr>
                <w:rFonts w:ascii="Calibri" w:eastAsia="Calibri" w:hAnsi="Calibri" w:cs="Calibri"/>
                <w:b/>
                <w:sz w:val="19"/>
                <w:szCs w:val="19"/>
              </w:rPr>
              <w:t xml:space="preserve">  </w:t>
            </w:r>
            <w:r w:rsidRPr="00342F4F">
              <w:rPr>
                <w:rFonts w:ascii="Calibri" w:eastAsia="Calibri" w:hAnsi="Calibri" w:cs="Calibri"/>
                <w:b/>
                <w:sz w:val="19"/>
                <w:szCs w:val="19"/>
              </w:rPr>
              <w:t>2,145</w:t>
            </w:r>
          </w:p>
        </w:tc>
        <w:tc>
          <w:tcPr>
            <w:tcW w:w="694" w:type="dxa"/>
            <w:tcBorders>
              <w:top w:val="single" w:sz="4" w:space="0" w:color="auto"/>
              <w:left w:val="nil"/>
              <w:bottom w:val="single" w:sz="4" w:space="0" w:color="auto"/>
              <w:right w:val="nil"/>
            </w:tcBorders>
          </w:tcPr>
          <w:p w14:paraId="4DBB0620" w14:textId="77777777" w:rsidR="00E223C0" w:rsidRPr="00B7733A" w:rsidRDefault="00E223C0" w:rsidP="00E223C0">
            <w:pPr>
              <w:pStyle w:val="TableParagraph"/>
              <w:spacing w:line="204" w:lineRule="exact"/>
              <w:rPr>
                <w:rFonts w:ascii="Calibri" w:eastAsia="Calibri" w:hAnsi="Calibri" w:cs="Calibri"/>
                <w:sz w:val="19"/>
                <w:szCs w:val="19"/>
              </w:rPr>
            </w:pPr>
            <w:r>
              <w:rPr>
                <w:rFonts w:ascii="Calibri" w:eastAsia="Calibri" w:hAnsi="Calibri" w:cs="Calibri"/>
                <w:b/>
                <w:bCs/>
                <w:sz w:val="19"/>
                <w:szCs w:val="19"/>
              </w:rPr>
              <w:t xml:space="preserve">    </w:t>
            </w:r>
            <w:r w:rsidRPr="00B7733A">
              <w:rPr>
                <w:rFonts w:ascii="Calibri" w:eastAsia="Calibri" w:hAnsi="Calibri" w:cs="Calibri"/>
                <w:b/>
                <w:bCs/>
                <w:sz w:val="19"/>
                <w:szCs w:val="19"/>
              </w:rPr>
              <w:t xml:space="preserve"> 1,9</w:t>
            </w:r>
            <w:r>
              <w:rPr>
                <w:rFonts w:ascii="Calibri" w:eastAsia="Calibri" w:hAnsi="Calibri" w:cs="Calibri"/>
                <w:b/>
                <w:bCs/>
                <w:sz w:val="19"/>
                <w:szCs w:val="19"/>
              </w:rPr>
              <w:t>80</w:t>
            </w:r>
          </w:p>
        </w:tc>
        <w:tc>
          <w:tcPr>
            <w:tcW w:w="567" w:type="dxa"/>
            <w:tcBorders>
              <w:top w:val="single" w:sz="4" w:space="0" w:color="auto"/>
              <w:left w:val="nil"/>
              <w:bottom w:val="single" w:sz="4" w:space="0" w:color="auto"/>
              <w:right w:val="nil"/>
            </w:tcBorders>
          </w:tcPr>
          <w:p w14:paraId="1AE6E1C7" w14:textId="77777777" w:rsidR="00E223C0" w:rsidRPr="00B7733A" w:rsidRDefault="00E223C0" w:rsidP="00E223C0">
            <w:pPr>
              <w:pStyle w:val="TableParagraph"/>
              <w:spacing w:line="204" w:lineRule="exact"/>
              <w:rPr>
                <w:rFonts w:ascii="Calibri" w:eastAsia="Calibri" w:hAnsi="Calibri" w:cs="Calibri"/>
                <w:sz w:val="19"/>
                <w:szCs w:val="19"/>
              </w:rPr>
            </w:pPr>
            <w:r>
              <w:rPr>
                <w:rFonts w:ascii="Calibri" w:eastAsia="Calibri" w:hAnsi="Calibri" w:cs="Calibri"/>
                <w:b/>
                <w:sz w:val="19"/>
                <w:szCs w:val="19"/>
              </w:rPr>
              <w:t xml:space="preserve">    </w:t>
            </w:r>
            <w:r w:rsidRPr="00342F4F">
              <w:rPr>
                <w:rFonts w:ascii="Calibri" w:eastAsia="Calibri" w:hAnsi="Calibri" w:cs="Calibri"/>
                <w:b/>
                <w:sz w:val="19"/>
                <w:szCs w:val="19"/>
              </w:rPr>
              <w:t>+8%</w:t>
            </w:r>
          </w:p>
        </w:tc>
        <w:tc>
          <w:tcPr>
            <w:tcW w:w="709" w:type="dxa"/>
            <w:tcBorders>
              <w:top w:val="single" w:sz="4" w:space="0" w:color="auto"/>
              <w:left w:val="nil"/>
              <w:bottom w:val="single" w:sz="4" w:space="0" w:color="auto"/>
            </w:tcBorders>
          </w:tcPr>
          <w:p w14:paraId="26705534" w14:textId="77777777" w:rsidR="00E223C0" w:rsidRPr="00B7733A" w:rsidRDefault="00E223C0" w:rsidP="00E223C0">
            <w:pPr>
              <w:pStyle w:val="TableParagraph"/>
              <w:spacing w:line="204" w:lineRule="exact"/>
              <w:jc w:val="center"/>
              <w:rPr>
                <w:rFonts w:ascii="Calibri" w:eastAsia="Calibri" w:hAnsi="Calibri" w:cs="Calibri"/>
                <w:sz w:val="19"/>
                <w:szCs w:val="19"/>
              </w:rPr>
            </w:pPr>
            <w:r>
              <w:rPr>
                <w:rFonts w:ascii="Calibri" w:eastAsia="Calibri" w:hAnsi="Calibri" w:cs="Calibri"/>
                <w:b/>
                <w:sz w:val="19"/>
                <w:szCs w:val="19"/>
              </w:rPr>
              <w:t xml:space="preserve">       </w:t>
            </w:r>
            <w:r w:rsidRPr="00342F4F">
              <w:rPr>
                <w:rFonts w:ascii="Calibri" w:eastAsia="Calibri" w:hAnsi="Calibri" w:cs="Calibri"/>
                <w:b/>
                <w:sz w:val="19"/>
                <w:szCs w:val="19"/>
              </w:rPr>
              <w:t>+9%</w:t>
            </w:r>
          </w:p>
        </w:tc>
        <w:tc>
          <w:tcPr>
            <w:tcW w:w="709" w:type="dxa"/>
            <w:tcBorders>
              <w:top w:val="single" w:sz="4" w:space="0" w:color="auto"/>
              <w:bottom w:val="single" w:sz="4" w:space="0" w:color="000000" w:themeColor="text1"/>
              <w:right w:val="nil"/>
            </w:tcBorders>
            <w:shd w:val="clear" w:color="auto" w:fill="F2F2F2" w:themeFill="background1" w:themeFillShade="F2"/>
          </w:tcPr>
          <w:p w14:paraId="3E81716D" w14:textId="77777777" w:rsidR="00E223C0" w:rsidRPr="00B7733A" w:rsidRDefault="00E223C0" w:rsidP="00E223C0">
            <w:pPr>
              <w:pStyle w:val="TableParagraph"/>
              <w:spacing w:line="205" w:lineRule="exact"/>
              <w:rPr>
                <w:rFonts w:ascii="Calibri" w:eastAsia="Calibri" w:hAnsi="Calibri" w:cs="Calibri"/>
                <w:sz w:val="19"/>
                <w:szCs w:val="19"/>
              </w:rPr>
            </w:pPr>
            <w:r>
              <w:rPr>
                <w:rFonts w:ascii="Calibri" w:eastAsia="Calibri" w:hAnsi="Calibri" w:cs="Calibri"/>
                <w:b/>
                <w:sz w:val="19"/>
                <w:szCs w:val="19"/>
              </w:rPr>
              <w:t xml:space="preserve">         </w:t>
            </w:r>
            <w:r w:rsidRPr="00342F4F">
              <w:rPr>
                <w:rFonts w:ascii="Calibri" w:eastAsia="Calibri" w:hAnsi="Calibri" w:cs="Calibri"/>
                <w:b/>
                <w:sz w:val="19"/>
                <w:szCs w:val="19"/>
              </w:rPr>
              <w:t>386</w:t>
            </w:r>
          </w:p>
        </w:tc>
        <w:tc>
          <w:tcPr>
            <w:tcW w:w="567" w:type="dxa"/>
            <w:tcBorders>
              <w:top w:val="single" w:sz="4" w:space="0" w:color="auto"/>
              <w:left w:val="nil"/>
              <w:bottom w:val="single" w:sz="4" w:space="0" w:color="000000" w:themeColor="text1"/>
              <w:right w:val="nil"/>
            </w:tcBorders>
            <w:shd w:val="clear" w:color="auto" w:fill="F2F2F2" w:themeFill="background1" w:themeFillShade="F2"/>
          </w:tcPr>
          <w:p w14:paraId="06E92BA8" w14:textId="77777777" w:rsidR="00E223C0" w:rsidRPr="00B7733A" w:rsidRDefault="00E223C0" w:rsidP="00E223C0">
            <w:pPr>
              <w:pStyle w:val="TableParagraph"/>
              <w:spacing w:line="205" w:lineRule="exact"/>
              <w:rPr>
                <w:rFonts w:ascii="Calibri" w:eastAsia="Calibri" w:hAnsi="Calibri" w:cs="Calibri"/>
                <w:sz w:val="19"/>
                <w:szCs w:val="19"/>
              </w:rPr>
            </w:pPr>
            <w:r>
              <w:rPr>
                <w:rFonts w:ascii="Calibri" w:eastAsia="Calibri" w:hAnsi="Calibri" w:cs="Calibri"/>
                <w:b/>
                <w:bCs/>
                <w:sz w:val="19"/>
                <w:szCs w:val="19"/>
              </w:rPr>
              <w:t xml:space="preserve">     </w:t>
            </w:r>
            <w:r w:rsidRPr="00342F4F">
              <w:rPr>
                <w:rFonts w:ascii="Calibri" w:eastAsia="Calibri" w:hAnsi="Calibri" w:cs="Calibri"/>
                <w:b/>
                <w:bCs/>
                <w:sz w:val="19"/>
                <w:szCs w:val="19"/>
              </w:rPr>
              <w:t>470</w:t>
            </w:r>
          </w:p>
        </w:tc>
        <w:tc>
          <w:tcPr>
            <w:tcW w:w="567" w:type="dxa"/>
            <w:tcBorders>
              <w:top w:val="single" w:sz="4" w:space="0" w:color="auto"/>
              <w:left w:val="nil"/>
              <w:bottom w:val="single" w:sz="4" w:space="0" w:color="000000" w:themeColor="text1"/>
              <w:right w:val="nil"/>
            </w:tcBorders>
            <w:shd w:val="clear" w:color="auto" w:fill="F2F2F2" w:themeFill="background1" w:themeFillShade="F2"/>
          </w:tcPr>
          <w:p w14:paraId="3A3C8354" w14:textId="77777777" w:rsidR="00E223C0" w:rsidRPr="00B7733A" w:rsidRDefault="00E223C0" w:rsidP="00E223C0">
            <w:pPr>
              <w:pStyle w:val="TableParagraph"/>
              <w:spacing w:line="205" w:lineRule="exact"/>
              <w:rPr>
                <w:rFonts w:ascii="Calibri" w:eastAsia="Calibri" w:hAnsi="Calibri" w:cs="Calibri"/>
                <w:sz w:val="19"/>
                <w:szCs w:val="19"/>
              </w:rPr>
            </w:pPr>
            <w:r>
              <w:rPr>
                <w:rFonts w:ascii="Calibri" w:eastAsia="Calibri" w:hAnsi="Calibri" w:cs="Calibri"/>
                <w:b/>
                <w:sz w:val="19"/>
                <w:szCs w:val="19"/>
              </w:rPr>
              <w:t xml:space="preserve">   </w:t>
            </w:r>
            <w:r w:rsidRPr="00342F4F">
              <w:rPr>
                <w:rFonts w:ascii="Calibri" w:eastAsia="Calibri" w:hAnsi="Calibri" w:cs="Calibri"/>
                <w:b/>
                <w:sz w:val="19"/>
                <w:szCs w:val="19"/>
              </w:rPr>
              <w:t>-18%</w:t>
            </w:r>
          </w:p>
        </w:tc>
        <w:tc>
          <w:tcPr>
            <w:tcW w:w="865" w:type="dxa"/>
            <w:tcBorders>
              <w:top w:val="single" w:sz="4" w:space="0" w:color="auto"/>
              <w:left w:val="nil"/>
              <w:bottom w:val="single" w:sz="4" w:space="0" w:color="000000" w:themeColor="text1"/>
            </w:tcBorders>
            <w:shd w:val="clear" w:color="auto" w:fill="F2F2F2" w:themeFill="background1" w:themeFillShade="F2"/>
          </w:tcPr>
          <w:p w14:paraId="3E87094E" w14:textId="77777777" w:rsidR="00E223C0" w:rsidRPr="00B7733A" w:rsidRDefault="00E223C0" w:rsidP="00E223C0">
            <w:pPr>
              <w:pStyle w:val="TableParagraph"/>
              <w:spacing w:line="205" w:lineRule="exact"/>
              <w:rPr>
                <w:rFonts w:ascii="Calibri" w:eastAsia="Calibri" w:hAnsi="Calibri" w:cs="Calibri"/>
                <w:sz w:val="19"/>
                <w:szCs w:val="19"/>
              </w:rPr>
            </w:pPr>
            <w:r>
              <w:rPr>
                <w:rFonts w:ascii="Calibri" w:eastAsia="Calibri" w:hAnsi="Calibri" w:cs="Calibri"/>
                <w:b/>
                <w:sz w:val="19"/>
                <w:szCs w:val="19"/>
              </w:rPr>
              <w:t xml:space="preserve">         </w:t>
            </w:r>
            <w:r w:rsidRPr="00342F4F">
              <w:rPr>
                <w:rFonts w:ascii="Calibri" w:eastAsia="Calibri" w:hAnsi="Calibri" w:cs="Calibri"/>
                <w:b/>
                <w:sz w:val="19"/>
                <w:szCs w:val="19"/>
              </w:rPr>
              <w:t>-17%</w:t>
            </w:r>
          </w:p>
        </w:tc>
      </w:tr>
      <w:bookmarkEnd w:id="11"/>
    </w:tbl>
    <w:p w14:paraId="4217808A" w14:textId="1AAAF3E5" w:rsidR="00E223C0" w:rsidRDefault="00E223C0" w:rsidP="00E223C0">
      <w:pPr>
        <w:rPr>
          <w:rFonts w:asciiTheme="minorHAnsi" w:hAnsiTheme="minorHAnsi"/>
          <w:b/>
          <w:sz w:val="20"/>
          <w:lang w:eastAsia="en-IE"/>
        </w:rPr>
      </w:pPr>
    </w:p>
    <w:p w14:paraId="2B5B4FCA" w14:textId="6910C9AE" w:rsidR="00E223C0" w:rsidRDefault="00E223C0" w:rsidP="00E223C0">
      <w:pPr>
        <w:rPr>
          <w:rFonts w:asciiTheme="minorHAnsi" w:hAnsiTheme="minorHAnsi"/>
          <w:b/>
          <w:sz w:val="20"/>
          <w:lang w:eastAsia="en-IE"/>
        </w:rPr>
      </w:pPr>
    </w:p>
    <w:p w14:paraId="4415F51F" w14:textId="19698918" w:rsidR="00E223C0" w:rsidRDefault="00E223C0" w:rsidP="00E223C0">
      <w:pPr>
        <w:rPr>
          <w:rFonts w:asciiTheme="minorHAnsi" w:hAnsiTheme="minorHAnsi"/>
          <w:b/>
          <w:sz w:val="20"/>
          <w:lang w:eastAsia="en-IE"/>
        </w:rPr>
      </w:pPr>
    </w:p>
    <w:p w14:paraId="00BD279A" w14:textId="73A4F62A" w:rsidR="00E223C0" w:rsidRDefault="00E223C0" w:rsidP="00E223C0">
      <w:pPr>
        <w:rPr>
          <w:rFonts w:asciiTheme="minorHAnsi" w:hAnsiTheme="minorHAnsi"/>
          <w:b/>
          <w:sz w:val="20"/>
          <w:lang w:eastAsia="en-IE"/>
        </w:rPr>
      </w:pPr>
    </w:p>
    <w:p w14:paraId="1A84A472" w14:textId="77777777" w:rsidR="00E223C0" w:rsidRDefault="00E223C0" w:rsidP="00E223C0">
      <w:pPr>
        <w:rPr>
          <w:rFonts w:asciiTheme="minorHAnsi" w:hAnsiTheme="minorHAnsi"/>
          <w:b/>
          <w:sz w:val="20"/>
          <w:lang w:eastAsia="en-IE"/>
        </w:rPr>
      </w:pPr>
    </w:p>
    <w:p w14:paraId="5DD28EDD" w14:textId="71BFA80C" w:rsidR="00E223C0" w:rsidRDefault="00E223C0" w:rsidP="00E223C0">
      <w:pPr>
        <w:rPr>
          <w:rFonts w:asciiTheme="minorHAnsi" w:hAnsiTheme="minorHAnsi"/>
          <w:b/>
          <w:sz w:val="20"/>
          <w:lang w:eastAsia="en-IE"/>
        </w:rPr>
      </w:pPr>
    </w:p>
    <w:p w14:paraId="609EC68C" w14:textId="77777777" w:rsidR="00E223C0" w:rsidRPr="00D95794" w:rsidRDefault="00E223C0" w:rsidP="00E223C0">
      <w:pPr>
        <w:rPr>
          <w:rFonts w:asciiTheme="minorHAnsi" w:hAnsiTheme="minorHAnsi"/>
          <w:b/>
          <w:sz w:val="20"/>
          <w:lang w:eastAsia="en-IE"/>
        </w:rPr>
      </w:pPr>
    </w:p>
    <w:p w14:paraId="72443F4E" w14:textId="77777777" w:rsidR="00E223C0" w:rsidRPr="000B76DA" w:rsidRDefault="00E223C0" w:rsidP="00E223C0">
      <w:pPr>
        <w:spacing w:before="120" w:after="120"/>
        <w:rPr>
          <w:rFonts w:asciiTheme="minorHAnsi" w:hAnsiTheme="minorHAnsi"/>
          <w:b/>
          <w:sz w:val="4"/>
          <w:szCs w:val="4"/>
          <w:lang w:eastAsia="en-IE"/>
        </w:rPr>
      </w:pPr>
    </w:p>
    <w:p w14:paraId="3F3D92A4" w14:textId="77777777" w:rsidR="00E223C0" w:rsidRDefault="00E223C0" w:rsidP="00E223C0">
      <w:pPr>
        <w:spacing w:before="120" w:after="120"/>
        <w:rPr>
          <w:rFonts w:asciiTheme="minorHAnsi" w:hAnsiTheme="minorHAnsi"/>
          <w:b/>
          <w:sz w:val="20"/>
          <w:lang w:eastAsia="en-IE"/>
        </w:rPr>
      </w:pPr>
    </w:p>
    <w:p w14:paraId="382F686F" w14:textId="77777777" w:rsidR="00E223C0" w:rsidRPr="00D95794" w:rsidRDefault="00E223C0" w:rsidP="00E223C0">
      <w:pPr>
        <w:spacing w:before="120" w:after="120"/>
        <w:rPr>
          <w:rFonts w:asciiTheme="minorHAnsi" w:hAnsiTheme="minorHAnsi"/>
          <w:b/>
          <w:sz w:val="20"/>
          <w:lang w:eastAsia="en-IE"/>
        </w:rPr>
      </w:pPr>
      <w:r w:rsidRPr="00D95794">
        <w:rPr>
          <w:rFonts w:asciiTheme="minorHAnsi" w:hAnsiTheme="minorHAnsi"/>
          <w:b/>
          <w:sz w:val="20"/>
          <w:lang w:eastAsia="en-IE"/>
        </w:rPr>
        <w:t xml:space="preserve">Appendix </w:t>
      </w:r>
      <w:r>
        <w:rPr>
          <w:rFonts w:asciiTheme="minorHAnsi" w:hAnsiTheme="minorHAnsi"/>
          <w:b/>
          <w:sz w:val="20"/>
          <w:lang w:eastAsia="en-IE"/>
        </w:rPr>
        <w:t>3</w:t>
      </w:r>
      <w:r w:rsidRPr="00D95794">
        <w:rPr>
          <w:rFonts w:asciiTheme="minorHAnsi" w:hAnsiTheme="minorHAnsi"/>
          <w:b/>
          <w:sz w:val="20"/>
          <w:lang w:eastAsia="en-IE"/>
        </w:rPr>
        <w:t>: Reconciliation of Presented cash flow to Reported statutory cash flow</w:t>
      </w:r>
    </w:p>
    <w:p w14:paraId="0DC62F69" w14:textId="77777777" w:rsidR="00E223C0" w:rsidRPr="00185E5E" w:rsidRDefault="00E223C0" w:rsidP="00E223C0">
      <w:pPr>
        <w:spacing w:after="240"/>
        <w:jc w:val="both"/>
        <w:rPr>
          <w:rFonts w:asciiTheme="minorHAnsi" w:hAnsiTheme="minorHAnsi"/>
          <w:sz w:val="20"/>
          <w:highlight w:val="yellow"/>
        </w:rPr>
      </w:pPr>
      <w:r w:rsidRPr="000A46F9">
        <w:rPr>
          <w:rFonts w:asciiTheme="minorHAnsi" w:hAnsiTheme="minorHAnsi"/>
          <w:sz w:val="20"/>
        </w:rPr>
        <w:t>In the Operating and Financial Review the cash flow has been presented on a net cash basis. The difference between this and the reported statutory cash flow is the inclusion of borrowings to determine a net cash positio</w:t>
      </w:r>
      <w:r>
        <w:rPr>
          <w:rFonts w:asciiTheme="minorHAnsi" w:hAnsiTheme="minorHAnsi"/>
          <w:sz w:val="20"/>
        </w:rPr>
        <w:t>n and the use of the underlying EBITDA on a pre-IFRS 16 basis</w:t>
      </w:r>
      <w:r w:rsidRPr="000A46F9">
        <w:rPr>
          <w:rFonts w:asciiTheme="minorHAnsi" w:hAnsiTheme="minorHAnsi"/>
          <w:sz w:val="20"/>
        </w:rPr>
        <w:t>, as reconciled in the table below.</w:t>
      </w:r>
      <w:r>
        <w:rPr>
          <w:rFonts w:asciiTheme="minorHAnsi" w:hAnsiTheme="minorHAnsi"/>
          <w:sz w:val="20"/>
        </w:rPr>
        <w:t xml:space="preserve"> </w:t>
      </w:r>
    </w:p>
    <w:tbl>
      <w:tblPr>
        <w:tblpPr w:leftFromText="180" w:rightFromText="180" w:vertAnchor="text" w:horzAnchor="margin" w:tblpY="49"/>
        <w:tblW w:w="8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93"/>
        <w:gridCol w:w="805"/>
        <w:gridCol w:w="786"/>
        <w:gridCol w:w="636"/>
        <w:gridCol w:w="637"/>
        <w:gridCol w:w="796"/>
        <w:gridCol w:w="796"/>
      </w:tblGrid>
      <w:tr w:rsidR="00E223C0" w:rsidRPr="00185E5E" w14:paraId="4FEFE590" w14:textId="77777777" w:rsidTr="00DE428D">
        <w:trPr>
          <w:trHeight w:val="699"/>
        </w:trPr>
        <w:tc>
          <w:tcPr>
            <w:tcW w:w="4293" w:type="dxa"/>
          </w:tcPr>
          <w:p w14:paraId="071594C2"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b/>
                <w:sz w:val="18"/>
                <w:szCs w:val="18"/>
                <w:highlight w:val="yellow"/>
                <w:lang w:eastAsia="en-IE"/>
              </w:rPr>
            </w:pPr>
            <w:r w:rsidRPr="007D1296">
              <w:rPr>
                <w:rFonts w:asciiTheme="minorHAnsi" w:hAnsiTheme="minorHAnsi" w:cs="Times New Roman"/>
                <w:b/>
                <w:sz w:val="18"/>
                <w:szCs w:val="18"/>
                <w:lang w:eastAsia="en-IE"/>
              </w:rPr>
              <w:t>£m</w:t>
            </w:r>
          </w:p>
        </w:tc>
        <w:tc>
          <w:tcPr>
            <w:tcW w:w="1591" w:type="dxa"/>
            <w:gridSpan w:val="2"/>
            <w:shd w:val="clear" w:color="auto" w:fill="F2F2F2" w:themeFill="background1" w:themeFillShade="F2"/>
          </w:tcPr>
          <w:p w14:paraId="61F88023"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sz w:val="18"/>
                <w:szCs w:val="18"/>
                <w:lang w:eastAsia="en-IE"/>
              </w:rPr>
            </w:pPr>
            <w:r w:rsidRPr="007D1296">
              <w:rPr>
                <w:rFonts w:asciiTheme="minorHAnsi" w:hAnsiTheme="minorHAnsi" w:cs="Times New Roman"/>
                <w:b/>
                <w:sz w:val="18"/>
                <w:szCs w:val="18"/>
                <w:lang w:eastAsia="en-IE"/>
              </w:rPr>
              <w:t>Presented</w:t>
            </w:r>
          </w:p>
          <w:p w14:paraId="15589842"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sz w:val="18"/>
                <w:szCs w:val="18"/>
                <w:lang w:eastAsia="en-IE"/>
              </w:rPr>
            </w:pPr>
            <w:r w:rsidRPr="007D1296">
              <w:rPr>
                <w:rFonts w:asciiTheme="minorHAnsi" w:hAnsiTheme="minorHAnsi" w:cs="Times New Roman"/>
                <w:b/>
                <w:sz w:val="18"/>
                <w:szCs w:val="18"/>
                <w:lang w:eastAsia="en-IE"/>
              </w:rPr>
              <w:t xml:space="preserve"> cash flow</w:t>
            </w:r>
            <w:r>
              <w:rPr>
                <w:rFonts w:asciiTheme="minorHAnsi" w:hAnsiTheme="minorHAnsi" w:cs="Times New Roman"/>
                <w:b/>
                <w:sz w:val="18"/>
                <w:szCs w:val="18"/>
                <w:lang w:eastAsia="en-IE"/>
              </w:rPr>
              <w:t xml:space="preserve"> </w:t>
            </w:r>
            <w:r>
              <w:rPr>
                <w:rFonts w:asciiTheme="minorHAnsi" w:hAnsiTheme="minorHAnsi" w:cs="Times New Roman"/>
                <w:b/>
                <w:sz w:val="18"/>
                <w:szCs w:val="18"/>
                <w:lang w:eastAsia="en-IE"/>
              </w:rPr>
              <w:br/>
            </w:r>
            <w:r w:rsidRPr="00481E66">
              <w:rPr>
                <w:rFonts w:asciiTheme="minorHAnsi" w:hAnsiTheme="minorHAnsi" w:cs="Times New Roman"/>
                <w:sz w:val="18"/>
                <w:szCs w:val="18"/>
                <w:lang w:eastAsia="en-IE"/>
              </w:rPr>
              <w:t>(pre IFRS 16 adjustments)</w:t>
            </w:r>
          </w:p>
        </w:tc>
        <w:tc>
          <w:tcPr>
            <w:tcW w:w="1273" w:type="dxa"/>
            <w:gridSpan w:val="2"/>
            <w:shd w:val="clear" w:color="auto" w:fill="FFFFFF" w:themeFill="background1"/>
          </w:tcPr>
          <w:p w14:paraId="02D5D1C7"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sz w:val="18"/>
                <w:szCs w:val="18"/>
                <w:lang w:eastAsia="en-IE"/>
              </w:rPr>
            </w:pPr>
            <w:r w:rsidRPr="007D1296">
              <w:rPr>
                <w:rFonts w:asciiTheme="minorHAnsi" w:hAnsiTheme="minorHAnsi" w:cs="Times New Roman"/>
                <w:b/>
                <w:sz w:val="18"/>
                <w:szCs w:val="18"/>
                <w:lang w:eastAsia="en-IE"/>
              </w:rPr>
              <w:t xml:space="preserve">Adjustment to include borrowings </w:t>
            </w:r>
            <w:r>
              <w:rPr>
                <w:rFonts w:asciiTheme="minorHAnsi" w:hAnsiTheme="minorHAnsi" w:cs="Times New Roman"/>
                <w:b/>
                <w:sz w:val="18"/>
                <w:szCs w:val="18"/>
                <w:lang w:eastAsia="en-IE"/>
              </w:rPr>
              <w:t>and IFRS 16</w:t>
            </w:r>
          </w:p>
        </w:tc>
        <w:tc>
          <w:tcPr>
            <w:tcW w:w="1592" w:type="dxa"/>
            <w:gridSpan w:val="2"/>
            <w:shd w:val="clear" w:color="auto" w:fill="F2F2F2" w:themeFill="background1" w:themeFillShade="F2"/>
          </w:tcPr>
          <w:p w14:paraId="5FDD82CD"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sz w:val="18"/>
                <w:szCs w:val="18"/>
                <w:lang w:eastAsia="en-IE"/>
              </w:rPr>
            </w:pPr>
            <w:r w:rsidRPr="007D1296">
              <w:rPr>
                <w:rFonts w:asciiTheme="minorHAnsi" w:hAnsiTheme="minorHAnsi" w:cs="Times New Roman"/>
                <w:b/>
                <w:sz w:val="18"/>
                <w:szCs w:val="18"/>
                <w:lang w:eastAsia="en-IE"/>
              </w:rPr>
              <w:t>Reported cash flow</w:t>
            </w:r>
          </w:p>
        </w:tc>
      </w:tr>
      <w:tr w:rsidR="00E223C0" w:rsidRPr="00185E5E" w14:paraId="097D13E0" w14:textId="77777777" w:rsidTr="00DE428D">
        <w:trPr>
          <w:trHeight w:val="278"/>
        </w:trPr>
        <w:tc>
          <w:tcPr>
            <w:tcW w:w="4293" w:type="dxa"/>
          </w:tcPr>
          <w:p w14:paraId="4146B628" w14:textId="77777777" w:rsidR="00E223C0" w:rsidRPr="000B76DA"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sz w:val="4"/>
                <w:szCs w:val="4"/>
                <w:highlight w:val="yellow"/>
                <w:lang w:eastAsia="en-IE"/>
              </w:rPr>
            </w:pPr>
          </w:p>
        </w:tc>
        <w:tc>
          <w:tcPr>
            <w:tcW w:w="805" w:type="dxa"/>
            <w:shd w:val="clear" w:color="auto" w:fill="F2F2F2" w:themeFill="background1" w:themeFillShade="F2"/>
          </w:tcPr>
          <w:p w14:paraId="50C6E523"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064C74">
              <w:rPr>
                <w:rFonts w:asciiTheme="minorHAnsi" w:hAnsiTheme="minorHAnsi" w:cs="Times New Roman"/>
                <w:b/>
                <w:sz w:val="18"/>
                <w:szCs w:val="18"/>
                <w:lang w:eastAsia="en-IE"/>
              </w:rPr>
              <w:t>201</w:t>
            </w:r>
            <w:r>
              <w:rPr>
                <w:rFonts w:asciiTheme="minorHAnsi" w:hAnsiTheme="minorHAnsi" w:cs="Times New Roman"/>
                <w:b/>
                <w:sz w:val="18"/>
                <w:szCs w:val="18"/>
                <w:lang w:eastAsia="en-IE"/>
              </w:rPr>
              <w:t>9</w:t>
            </w:r>
          </w:p>
        </w:tc>
        <w:tc>
          <w:tcPr>
            <w:tcW w:w="786" w:type="dxa"/>
            <w:shd w:val="clear" w:color="auto" w:fill="F2F2F2" w:themeFill="background1" w:themeFillShade="F2"/>
          </w:tcPr>
          <w:p w14:paraId="795149ED"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7D1296">
              <w:rPr>
                <w:rFonts w:asciiTheme="minorHAnsi" w:hAnsiTheme="minorHAnsi" w:cs="Times New Roman"/>
                <w:b/>
                <w:sz w:val="18"/>
                <w:szCs w:val="18"/>
                <w:lang w:eastAsia="en-IE"/>
              </w:rPr>
              <w:t>201</w:t>
            </w:r>
            <w:r>
              <w:rPr>
                <w:rFonts w:asciiTheme="minorHAnsi" w:hAnsiTheme="minorHAnsi" w:cs="Times New Roman"/>
                <w:b/>
                <w:sz w:val="18"/>
                <w:szCs w:val="18"/>
                <w:lang w:eastAsia="en-IE"/>
              </w:rPr>
              <w:t>8</w:t>
            </w:r>
          </w:p>
          <w:p w14:paraId="3E8DFD9D"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highlight w:val="yellow"/>
                <w:lang w:eastAsia="en-IE"/>
              </w:rPr>
            </w:pPr>
          </w:p>
        </w:tc>
        <w:tc>
          <w:tcPr>
            <w:tcW w:w="636" w:type="dxa"/>
          </w:tcPr>
          <w:p w14:paraId="684734E4"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064C74">
              <w:rPr>
                <w:rFonts w:asciiTheme="minorHAnsi" w:hAnsiTheme="minorHAnsi" w:cs="Times New Roman"/>
                <w:b/>
                <w:sz w:val="18"/>
                <w:szCs w:val="18"/>
                <w:lang w:eastAsia="en-IE"/>
              </w:rPr>
              <w:t xml:space="preserve"> 201</w:t>
            </w:r>
            <w:r>
              <w:rPr>
                <w:rFonts w:asciiTheme="minorHAnsi" w:hAnsiTheme="minorHAnsi" w:cs="Times New Roman"/>
                <w:b/>
                <w:sz w:val="18"/>
                <w:szCs w:val="18"/>
                <w:lang w:eastAsia="en-IE"/>
              </w:rPr>
              <w:t>9</w:t>
            </w:r>
          </w:p>
        </w:tc>
        <w:tc>
          <w:tcPr>
            <w:tcW w:w="637" w:type="dxa"/>
          </w:tcPr>
          <w:p w14:paraId="0EC50C43"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064C74">
              <w:rPr>
                <w:rFonts w:asciiTheme="minorHAnsi" w:hAnsiTheme="minorHAnsi" w:cs="Times New Roman"/>
                <w:b/>
                <w:sz w:val="18"/>
                <w:szCs w:val="18"/>
                <w:lang w:eastAsia="en-IE"/>
              </w:rPr>
              <w:t>201</w:t>
            </w:r>
            <w:r>
              <w:rPr>
                <w:rFonts w:asciiTheme="minorHAnsi" w:hAnsiTheme="minorHAnsi" w:cs="Times New Roman"/>
                <w:b/>
                <w:sz w:val="18"/>
                <w:szCs w:val="18"/>
                <w:lang w:eastAsia="en-IE"/>
              </w:rPr>
              <w:t>8</w:t>
            </w:r>
          </w:p>
          <w:p w14:paraId="38741C5D"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p>
        </w:tc>
        <w:tc>
          <w:tcPr>
            <w:tcW w:w="796" w:type="dxa"/>
            <w:shd w:val="clear" w:color="auto" w:fill="F2F2F2" w:themeFill="background1" w:themeFillShade="F2"/>
          </w:tcPr>
          <w:p w14:paraId="5970F433"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064C74">
              <w:rPr>
                <w:rFonts w:asciiTheme="minorHAnsi" w:hAnsiTheme="minorHAnsi" w:cs="Times New Roman"/>
                <w:b/>
                <w:sz w:val="18"/>
                <w:szCs w:val="18"/>
                <w:lang w:eastAsia="en-IE"/>
              </w:rPr>
              <w:t xml:space="preserve"> 201</w:t>
            </w:r>
            <w:r>
              <w:rPr>
                <w:rFonts w:asciiTheme="minorHAnsi" w:hAnsiTheme="minorHAnsi" w:cs="Times New Roman"/>
                <w:b/>
                <w:sz w:val="18"/>
                <w:szCs w:val="18"/>
                <w:lang w:eastAsia="en-IE"/>
              </w:rPr>
              <w:t>9</w:t>
            </w:r>
          </w:p>
        </w:tc>
        <w:tc>
          <w:tcPr>
            <w:tcW w:w="796" w:type="dxa"/>
            <w:shd w:val="clear" w:color="auto" w:fill="F2F2F2" w:themeFill="background1" w:themeFillShade="F2"/>
          </w:tcPr>
          <w:p w14:paraId="5D552F41"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7D1296">
              <w:rPr>
                <w:rFonts w:asciiTheme="minorHAnsi" w:hAnsiTheme="minorHAnsi" w:cs="Times New Roman"/>
                <w:b/>
                <w:sz w:val="18"/>
                <w:szCs w:val="18"/>
                <w:lang w:eastAsia="en-IE"/>
              </w:rPr>
              <w:t xml:space="preserve"> 201</w:t>
            </w:r>
            <w:r>
              <w:rPr>
                <w:rFonts w:asciiTheme="minorHAnsi" w:hAnsiTheme="minorHAnsi" w:cs="Times New Roman"/>
                <w:b/>
                <w:sz w:val="18"/>
                <w:szCs w:val="18"/>
                <w:lang w:eastAsia="en-IE"/>
              </w:rPr>
              <w:t>8</w:t>
            </w:r>
          </w:p>
          <w:p w14:paraId="2802AB94"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p>
        </w:tc>
      </w:tr>
      <w:tr w:rsidR="00E223C0" w:rsidRPr="00185E5E" w14:paraId="64804A51" w14:textId="77777777" w:rsidTr="00DE428D">
        <w:trPr>
          <w:trHeight w:val="231"/>
        </w:trPr>
        <w:tc>
          <w:tcPr>
            <w:tcW w:w="4293" w:type="dxa"/>
            <w:vAlign w:val="center"/>
          </w:tcPr>
          <w:p w14:paraId="1E703A50"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8"/>
                <w:szCs w:val="18"/>
                <w:lang w:eastAsia="en-IE"/>
              </w:rPr>
            </w:pPr>
            <w:r w:rsidRPr="00064C74">
              <w:rPr>
                <w:rFonts w:asciiTheme="minorHAnsi" w:hAnsiTheme="minorHAnsi"/>
                <w:color w:val="000000"/>
                <w:sz w:val="18"/>
                <w:szCs w:val="18"/>
              </w:rPr>
              <w:t>Underlying EBITDA</w:t>
            </w:r>
            <w:r w:rsidRPr="00064C74">
              <w:rPr>
                <w:rFonts w:asciiTheme="minorHAnsi" w:hAnsiTheme="minorHAnsi"/>
                <w:color w:val="000000"/>
                <w:sz w:val="18"/>
                <w:szCs w:val="18"/>
                <w:vertAlign w:val="superscript"/>
              </w:rPr>
              <w:t>1</w:t>
            </w:r>
          </w:p>
        </w:tc>
        <w:tc>
          <w:tcPr>
            <w:tcW w:w="805" w:type="dxa"/>
            <w:shd w:val="clear" w:color="auto" w:fill="F2F2F2" w:themeFill="background1" w:themeFillShade="F2"/>
            <w:vAlign w:val="center"/>
          </w:tcPr>
          <w:p w14:paraId="5279E2E8"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385</w:t>
            </w:r>
          </w:p>
        </w:tc>
        <w:tc>
          <w:tcPr>
            <w:tcW w:w="786" w:type="dxa"/>
            <w:shd w:val="clear" w:color="auto" w:fill="F2F2F2" w:themeFill="background1" w:themeFillShade="F2"/>
            <w:vAlign w:val="center"/>
          </w:tcPr>
          <w:p w14:paraId="2902C1F0"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2D47C8">
              <w:rPr>
                <w:rFonts w:asciiTheme="minorHAnsi" w:hAnsiTheme="minorHAnsi" w:cs="Times New Roman"/>
                <w:sz w:val="18"/>
                <w:szCs w:val="18"/>
                <w:lang w:eastAsia="en-IE"/>
              </w:rPr>
              <w:t>451</w:t>
            </w:r>
          </w:p>
        </w:tc>
        <w:tc>
          <w:tcPr>
            <w:tcW w:w="636" w:type="dxa"/>
            <w:vAlign w:val="center"/>
          </w:tcPr>
          <w:p w14:paraId="69D6DDFD"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Pr>
                <w:rFonts w:asciiTheme="minorHAnsi" w:hAnsiTheme="minorHAnsi"/>
                <w:color w:val="000000"/>
                <w:sz w:val="18"/>
                <w:szCs w:val="18"/>
              </w:rPr>
              <w:t>40</w:t>
            </w:r>
          </w:p>
        </w:tc>
        <w:tc>
          <w:tcPr>
            <w:tcW w:w="637" w:type="dxa"/>
            <w:vAlign w:val="center"/>
          </w:tcPr>
          <w:p w14:paraId="730F2FE3"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7D1296">
              <w:rPr>
                <w:rFonts w:asciiTheme="minorHAnsi" w:hAnsiTheme="minorHAnsi"/>
                <w:color w:val="000000"/>
                <w:sz w:val="18"/>
                <w:szCs w:val="18"/>
              </w:rPr>
              <w:t>-</w:t>
            </w:r>
          </w:p>
        </w:tc>
        <w:tc>
          <w:tcPr>
            <w:tcW w:w="796" w:type="dxa"/>
            <w:shd w:val="clear" w:color="auto" w:fill="F2F2F2" w:themeFill="background1" w:themeFillShade="F2"/>
            <w:vAlign w:val="center"/>
          </w:tcPr>
          <w:p w14:paraId="28AD16C5"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Pr>
                <w:rFonts w:asciiTheme="minorHAnsi" w:hAnsiTheme="minorHAnsi" w:cs="Times New Roman"/>
                <w:sz w:val="18"/>
                <w:szCs w:val="18"/>
                <w:lang w:eastAsia="en-IE"/>
              </w:rPr>
              <w:t>425</w:t>
            </w:r>
          </w:p>
        </w:tc>
        <w:tc>
          <w:tcPr>
            <w:tcW w:w="796" w:type="dxa"/>
            <w:shd w:val="clear" w:color="auto" w:fill="F2F2F2" w:themeFill="background1" w:themeFillShade="F2"/>
            <w:vAlign w:val="center"/>
          </w:tcPr>
          <w:p w14:paraId="134F4E6C"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9156C2">
              <w:rPr>
                <w:rFonts w:asciiTheme="minorHAnsi" w:hAnsiTheme="minorHAnsi" w:cs="Times New Roman"/>
                <w:sz w:val="18"/>
                <w:szCs w:val="18"/>
                <w:lang w:eastAsia="en-IE"/>
              </w:rPr>
              <w:t>451</w:t>
            </w:r>
          </w:p>
        </w:tc>
      </w:tr>
      <w:tr w:rsidR="00E223C0" w:rsidRPr="00185E5E" w14:paraId="69B0E065" w14:textId="77777777" w:rsidTr="00DE428D">
        <w:trPr>
          <w:trHeight w:val="231"/>
        </w:trPr>
        <w:tc>
          <w:tcPr>
            <w:tcW w:w="4293" w:type="dxa"/>
            <w:vAlign w:val="center"/>
          </w:tcPr>
          <w:p w14:paraId="28AFF166"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8"/>
                <w:szCs w:val="18"/>
                <w:lang w:eastAsia="en-IE"/>
              </w:rPr>
            </w:pPr>
            <w:r w:rsidRPr="00064C74">
              <w:rPr>
                <w:rFonts w:asciiTheme="minorHAnsi" w:hAnsiTheme="minorHAnsi"/>
                <w:color w:val="000000"/>
                <w:sz w:val="18"/>
                <w:szCs w:val="18"/>
              </w:rPr>
              <w:t>Capex</w:t>
            </w:r>
            <w:r w:rsidRPr="00064C74">
              <w:rPr>
                <w:rFonts w:asciiTheme="minorHAnsi" w:hAnsiTheme="minorHAnsi"/>
                <w:color w:val="000000"/>
                <w:sz w:val="18"/>
                <w:szCs w:val="18"/>
                <w:vertAlign w:val="superscript"/>
              </w:rPr>
              <w:t>2</w:t>
            </w:r>
          </w:p>
        </w:tc>
        <w:tc>
          <w:tcPr>
            <w:tcW w:w="805" w:type="dxa"/>
            <w:shd w:val="clear" w:color="auto" w:fill="F2F2F2" w:themeFill="background1" w:themeFillShade="F2"/>
          </w:tcPr>
          <w:p w14:paraId="00CCA615" w14:textId="1AFFC06D"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(136)</w:t>
            </w:r>
          </w:p>
        </w:tc>
        <w:tc>
          <w:tcPr>
            <w:tcW w:w="786" w:type="dxa"/>
            <w:shd w:val="clear" w:color="auto" w:fill="F2F2F2" w:themeFill="background1" w:themeFillShade="F2"/>
          </w:tcPr>
          <w:p w14:paraId="460C26CE"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2D47C8">
              <w:rPr>
                <w:rFonts w:asciiTheme="minorHAnsi" w:hAnsiTheme="minorHAnsi" w:cs="Times New Roman"/>
                <w:sz w:val="18"/>
                <w:szCs w:val="18"/>
                <w:lang w:eastAsia="en-IE"/>
              </w:rPr>
              <w:t>(107)</w:t>
            </w:r>
          </w:p>
        </w:tc>
        <w:tc>
          <w:tcPr>
            <w:tcW w:w="636" w:type="dxa"/>
            <w:vAlign w:val="center"/>
          </w:tcPr>
          <w:p w14:paraId="5B3988FF"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sidRPr="007D1296">
              <w:rPr>
                <w:rFonts w:asciiTheme="minorHAnsi" w:hAnsiTheme="minorHAnsi"/>
                <w:color w:val="000000"/>
                <w:sz w:val="18"/>
                <w:szCs w:val="18"/>
              </w:rPr>
              <w:t>-</w:t>
            </w:r>
          </w:p>
        </w:tc>
        <w:tc>
          <w:tcPr>
            <w:tcW w:w="637" w:type="dxa"/>
            <w:vAlign w:val="center"/>
          </w:tcPr>
          <w:p w14:paraId="494993F9"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7D1296">
              <w:rPr>
                <w:rFonts w:asciiTheme="minorHAnsi" w:hAnsiTheme="minorHAnsi"/>
                <w:color w:val="000000"/>
                <w:sz w:val="18"/>
                <w:szCs w:val="18"/>
              </w:rPr>
              <w:t>-</w:t>
            </w:r>
          </w:p>
        </w:tc>
        <w:tc>
          <w:tcPr>
            <w:tcW w:w="796" w:type="dxa"/>
            <w:shd w:val="clear" w:color="auto" w:fill="F2F2F2" w:themeFill="background1" w:themeFillShade="F2"/>
          </w:tcPr>
          <w:p w14:paraId="26BEA288" w14:textId="6085E59F"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Pr>
                <w:rFonts w:asciiTheme="minorHAnsi" w:hAnsiTheme="minorHAnsi" w:cs="Times New Roman"/>
                <w:sz w:val="18"/>
                <w:szCs w:val="18"/>
                <w:lang w:eastAsia="en-IE"/>
              </w:rPr>
              <w:t>(136)</w:t>
            </w:r>
          </w:p>
        </w:tc>
        <w:tc>
          <w:tcPr>
            <w:tcW w:w="796" w:type="dxa"/>
            <w:shd w:val="clear" w:color="auto" w:fill="F2F2F2" w:themeFill="background1" w:themeFillShade="F2"/>
          </w:tcPr>
          <w:p w14:paraId="7A6E0488"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9156C2">
              <w:rPr>
                <w:rFonts w:asciiTheme="minorHAnsi" w:hAnsiTheme="minorHAnsi" w:cs="Times New Roman"/>
                <w:sz w:val="18"/>
                <w:szCs w:val="18"/>
                <w:lang w:eastAsia="en-IE"/>
              </w:rPr>
              <w:t>(107)</w:t>
            </w:r>
          </w:p>
        </w:tc>
      </w:tr>
      <w:tr w:rsidR="00E223C0" w:rsidRPr="00185E5E" w14:paraId="2F501563" w14:textId="77777777" w:rsidTr="00DE428D">
        <w:trPr>
          <w:trHeight w:val="231"/>
        </w:trPr>
        <w:tc>
          <w:tcPr>
            <w:tcW w:w="4293" w:type="dxa"/>
            <w:vAlign w:val="center"/>
          </w:tcPr>
          <w:p w14:paraId="419D80CC"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8"/>
                <w:szCs w:val="18"/>
                <w:lang w:eastAsia="en-IE"/>
              </w:rPr>
            </w:pPr>
            <w:r w:rsidRPr="00064C74">
              <w:rPr>
                <w:rFonts w:asciiTheme="minorHAnsi" w:hAnsiTheme="minorHAnsi"/>
                <w:color w:val="000000"/>
                <w:sz w:val="18"/>
                <w:szCs w:val="18"/>
              </w:rPr>
              <w:t>Working capital</w:t>
            </w:r>
            <w:r w:rsidRPr="00064C74">
              <w:rPr>
                <w:rFonts w:asciiTheme="minorHAnsi" w:hAnsiTheme="minorHAnsi"/>
                <w:color w:val="000000"/>
                <w:sz w:val="18"/>
                <w:szCs w:val="18"/>
                <w:vertAlign w:val="superscript"/>
              </w:rPr>
              <w:t>3</w:t>
            </w:r>
          </w:p>
        </w:tc>
        <w:tc>
          <w:tcPr>
            <w:tcW w:w="805" w:type="dxa"/>
            <w:shd w:val="clear" w:color="auto" w:fill="F2F2F2" w:themeFill="background1" w:themeFillShade="F2"/>
          </w:tcPr>
          <w:p w14:paraId="5262E07C" w14:textId="0BC6DE4E" w:rsidR="00E223C0" w:rsidRPr="002D47C8" w:rsidRDefault="00FF0FD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86</w:t>
            </w:r>
          </w:p>
        </w:tc>
        <w:tc>
          <w:tcPr>
            <w:tcW w:w="786" w:type="dxa"/>
            <w:shd w:val="clear" w:color="auto" w:fill="F2F2F2" w:themeFill="background1" w:themeFillShade="F2"/>
          </w:tcPr>
          <w:p w14:paraId="364ACEBD"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2D47C8">
              <w:rPr>
                <w:rFonts w:asciiTheme="minorHAnsi" w:hAnsiTheme="minorHAnsi" w:cs="Times New Roman"/>
                <w:sz w:val="18"/>
                <w:szCs w:val="18"/>
                <w:lang w:eastAsia="en-IE"/>
              </w:rPr>
              <w:t>(3</w:t>
            </w:r>
            <w:r>
              <w:rPr>
                <w:rFonts w:asciiTheme="minorHAnsi" w:hAnsiTheme="minorHAnsi" w:cs="Times New Roman"/>
                <w:sz w:val="18"/>
                <w:szCs w:val="18"/>
                <w:lang w:eastAsia="en-IE"/>
              </w:rPr>
              <w:t>8</w:t>
            </w:r>
            <w:r w:rsidRPr="002D47C8">
              <w:rPr>
                <w:rFonts w:asciiTheme="minorHAnsi" w:hAnsiTheme="minorHAnsi" w:cs="Times New Roman"/>
                <w:sz w:val="18"/>
                <w:szCs w:val="18"/>
                <w:lang w:eastAsia="en-IE"/>
              </w:rPr>
              <w:t>)</w:t>
            </w:r>
          </w:p>
        </w:tc>
        <w:tc>
          <w:tcPr>
            <w:tcW w:w="636" w:type="dxa"/>
            <w:vAlign w:val="center"/>
          </w:tcPr>
          <w:p w14:paraId="6EE9EC65" w14:textId="674B0C22"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Pr>
                <w:rFonts w:asciiTheme="minorHAnsi" w:hAnsiTheme="minorHAnsi"/>
                <w:color w:val="000000"/>
                <w:sz w:val="18"/>
                <w:szCs w:val="18"/>
              </w:rPr>
              <w:t>1</w:t>
            </w:r>
          </w:p>
        </w:tc>
        <w:tc>
          <w:tcPr>
            <w:tcW w:w="637" w:type="dxa"/>
            <w:vAlign w:val="center"/>
          </w:tcPr>
          <w:p w14:paraId="1F1EC053"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7D1296">
              <w:rPr>
                <w:rFonts w:asciiTheme="minorHAnsi" w:hAnsiTheme="minorHAnsi"/>
                <w:color w:val="000000"/>
                <w:sz w:val="18"/>
                <w:szCs w:val="18"/>
              </w:rPr>
              <w:t>-</w:t>
            </w:r>
          </w:p>
        </w:tc>
        <w:tc>
          <w:tcPr>
            <w:tcW w:w="796" w:type="dxa"/>
            <w:shd w:val="clear" w:color="auto" w:fill="F2F2F2" w:themeFill="background1" w:themeFillShade="F2"/>
          </w:tcPr>
          <w:p w14:paraId="79C4FDB3" w14:textId="451D5E3A"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Pr>
                <w:rFonts w:asciiTheme="minorHAnsi" w:hAnsiTheme="minorHAnsi" w:cs="Times New Roman"/>
                <w:sz w:val="18"/>
                <w:szCs w:val="18"/>
                <w:lang w:eastAsia="en-IE"/>
              </w:rPr>
              <w:t>8</w:t>
            </w:r>
            <w:r w:rsidR="00FF0FD0">
              <w:rPr>
                <w:rFonts w:asciiTheme="minorHAnsi" w:hAnsiTheme="minorHAnsi" w:cs="Times New Roman"/>
                <w:sz w:val="18"/>
                <w:szCs w:val="18"/>
                <w:lang w:eastAsia="en-IE"/>
              </w:rPr>
              <w:t>7</w:t>
            </w:r>
          </w:p>
        </w:tc>
        <w:tc>
          <w:tcPr>
            <w:tcW w:w="796" w:type="dxa"/>
            <w:shd w:val="clear" w:color="auto" w:fill="F2F2F2" w:themeFill="background1" w:themeFillShade="F2"/>
          </w:tcPr>
          <w:p w14:paraId="1545BC28"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9156C2">
              <w:rPr>
                <w:rFonts w:asciiTheme="minorHAnsi" w:hAnsiTheme="minorHAnsi" w:cs="Times New Roman"/>
                <w:sz w:val="18"/>
                <w:szCs w:val="18"/>
                <w:lang w:eastAsia="en-IE"/>
              </w:rPr>
              <w:t>(3</w:t>
            </w:r>
            <w:r>
              <w:rPr>
                <w:rFonts w:asciiTheme="minorHAnsi" w:hAnsiTheme="minorHAnsi" w:cs="Times New Roman"/>
                <w:sz w:val="18"/>
                <w:szCs w:val="18"/>
                <w:lang w:eastAsia="en-IE"/>
              </w:rPr>
              <w:t>8</w:t>
            </w:r>
            <w:r w:rsidRPr="009156C2">
              <w:rPr>
                <w:rFonts w:asciiTheme="minorHAnsi" w:hAnsiTheme="minorHAnsi" w:cs="Times New Roman"/>
                <w:sz w:val="18"/>
                <w:szCs w:val="18"/>
                <w:lang w:eastAsia="en-IE"/>
              </w:rPr>
              <w:t>)</w:t>
            </w:r>
          </w:p>
        </w:tc>
      </w:tr>
      <w:tr w:rsidR="00E223C0" w:rsidRPr="00185E5E" w14:paraId="48221863" w14:textId="77777777" w:rsidTr="00DE428D">
        <w:trPr>
          <w:trHeight w:val="231"/>
        </w:trPr>
        <w:tc>
          <w:tcPr>
            <w:tcW w:w="4293" w:type="dxa"/>
            <w:vAlign w:val="center"/>
          </w:tcPr>
          <w:p w14:paraId="2E513C0D"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olor w:val="000000"/>
                <w:sz w:val="18"/>
                <w:szCs w:val="18"/>
              </w:rPr>
            </w:pPr>
            <w:r w:rsidRPr="00064C74">
              <w:rPr>
                <w:rFonts w:asciiTheme="minorHAnsi" w:hAnsiTheme="minorHAnsi"/>
                <w:color w:val="000000"/>
                <w:sz w:val="18"/>
                <w:szCs w:val="18"/>
              </w:rPr>
              <w:t xml:space="preserve">Corporation tax </w:t>
            </w:r>
          </w:p>
        </w:tc>
        <w:tc>
          <w:tcPr>
            <w:tcW w:w="805" w:type="dxa"/>
            <w:shd w:val="clear" w:color="auto" w:fill="F2F2F2" w:themeFill="background1" w:themeFillShade="F2"/>
          </w:tcPr>
          <w:p w14:paraId="7D798454"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(41)</w:t>
            </w:r>
          </w:p>
        </w:tc>
        <w:tc>
          <w:tcPr>
            <w:tcW w:w="786" w:type="dxa"/>
            <w:shd w:val="clear" w:color="auto" w:fill="F2F2F2" w:themeFill="background1" w:themeFillShade="F2"/>
          </w:tcPr>
          <w:p w14:paraId="39D680E7"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2D47C8">
              <w:rPr>
                <w:rFonts w:asciiTheme="minorHAnsi" w:hAnsiTheme="minorHAnsi" w:cs="Times New Roman"/>
                <w:sz w:val="18"/>
                <w:szCs w:val="18"/>
                <w:lang w:eastAsia="en-IE"/>
              </w:rPr>
              <w:t>(60)</w:t>
            </w:r>
          </w:p>
        </w:tc>
        <w:tc>
          <w:tcPr>
            <w:tcW w:w="636" w:type="dxa"/>
            <w:vAlign w:val="center"/>
          </w:tcPr>
          <w:p w14:paraId="751BF774"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olor w:val="000000"/>
                <w:sz w:val="18"/>
                <w:szCs w:val="18"/>
              </w:rPr>
            </w:pPr>
            <w:r>
              <w:rPr>
                <w:rFonts w:asciiTheme="minorHAnsi" w:hAnsiTheme="minorHAnsi"/>
                <w:color w:val="000000"/>
                <w:sz w:val="18"/>
                <w:szCs w:val="18"/>
              </w:rPr>
              <w:t>-</w:t>
            </w:r>
          </w:p>
        </w:tc>
        <w:tc>
          <w:tcPr>
            <w:tcW w:w="637" w:type="dxa"/>
            <w:vAlign w:val="center"/>
          </w:tcPr>
          <w:p w14:paraId="4CF11FAA"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olor w:val="000000"/>
                <w:sz w:val="18"/>
                <w:szCs w:val="18"/>
              </w:rPr>
            </w:pPr>
            <w:r>
              <w:rPr>
                <w:rFonts w:asciiTheme="minorHAnsi" w:hAnsiTheme="minorHAnsi"/>
                <w:color w:val="000000"/>
                <w:sz w:val="18"/>
                <w:szCs w:val="18"/>
              </w:rPr>
              <w:t>-</w:t>
            </w:r>
          </w:p>
        </w:tc>
        <w:tc>
          <w:tcPr>
            <w:tcW w:w="796" w:type="dxa"/>
            <w:shd w:val="clear" w:color="auto" w:fill="F2F2F2" w:themeFill="background1" w:themeFillShade="F2"/>
          </w:tcPr>
          <w:p w14:paraId="5958A6C8"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Pr>
                <w:rFonts w:asciiTheme="minorHAnsi" w:hAnsiTheme="minorHAnsi" w:cs="Times New Roman"/>
                <w:sz w:val="18"/>
                <w:szCs w:val="18"/>
                <w:lang w:eastAsia="en-IE"/>
              </w:rPr>
              <w:t>(41)</w:t>
            </w:r>
          </w:p>
        </w:tc>
        <w:tc>
          <w:tcPr>
            <w:tcW w:w="796" w:type="dxa"/>
            <w:shd w:val="clear" w:color="auto" w:fill="F2F2F2" w:themeFill="background1" w:themeFillShade="F2"/>
          </w:tcPr>
          <w:p w14:paraId="39032152"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9156C2">
              <w:rPr>
                <w:rFonts w:asciiTheme="minorHAnsi" w:hAnsiTheme="minorHAnsi" w:cs="Times New Roman"/>
                <w:sz w:val="18"/>
                <w:szCs w:val="18"/>
                <w:lang w:eastAsia="en-IE"/>
              </w:rPr>
              <w:t>(60)</w:t>
            </w:r>
          </w:p>
        </w:tc>
      </w:tr>
      <w:tr w:rsidR="00E223C0" w:rsidRPr="00185E5E" w14:paraId="7963B41E" w14:textId="77777777" w:rsidTr="00DE428D">
        <w:trPr>
          <w:trHeight w:val="248"/>
        </w:trPr>
        <w:tc>
          <w:tcPr>
            <w:tcW w:w="4293" w:type="dxa"/>
            <w:vAlign w:val="center"/>
          </w:tcPr>
          <w:p w14:paraId="5F0E6062"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8"/>
                <w:szCs w:val="18"/>
                <w:lang w:eastAsia="en-IE"/>
              </w:rPr>
            </w:pPr>
            <w:r w:rsidRPr="00064C74">
              <w:rPr>
                <w:rFonts w:asciiTheme="minorHAnsi" w:hAnsiTheme="minorHAnsi"/>
                <w:b/>
                <w:bCs/>
                <w:color w:val="000000"/>
                <w:sz w:val="18"/>
                <w:szCs w:val="18"/>
              </w:rPr>
              <w:t>Underlying free cash flow</w:t>
            </w:r>
          </w:p>
        </w:tc>
        <w:tc>
          <w:tcPr>
            <w:tcW w:w="805" w:type="dxa"/>
            <w:shd w:val="clear" w:color="auto" w:fill="F2F2F2" w:themeFill="background1" w:themeFillShade="F2"/>
          </w:tcPr>
          <w:p w14:paraId="45948850" w14:textId="12B4A3CD" w:rsidR="00E223C0" w:rsidRPr="002D47C8" w:rsidRDefault="00FF0FD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Pr>
                <w:rFonts w:asciiTheme="minorHAnsi" w:hAnsiTheme="minorHAnsi" w:cs="Times New Roman"/>
                <w:b/>
                <w:sz w:val="18"/>
                <w:szCs w:val="18"/>
                <w:lang w:eastAsia="en-IE"/>
              </w:rPr>
              <w:t>295</w:t>
            </w:r>
          </w:p>
        </w:tc>
        <w:tc>
          <w:tcPr>
            <w:tcW w:w="786" w:type="dxa"/>
            <w:shd w:val="clear" w:color="auto" w:fill="F2F2F2" w:themeFill="background1" w:themeFillShade="F2"/>
          </w:tcPr>
          <w:p w14:paraId="6E3E3070" w14:textId="77777777" w:rsidR="00E223C0" w:rsidRPr="005603F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2D47C8">
              <w:rPr>
                <w:rFonts w:asciiTheme="minorHAnsi" w:hAnsiTheme="minorHAnsi" w:cs="Times New Roman"/>
                <w:b/>
                <w:sz w:val="18"/>
                <w:szCs w:val="18"/>
                <w:lang w:eastAsia="en-IE"/>
              </w:rPr>
              <w:t>247</w:t>
            </w:r>
          </w:p>
        </w:tc>
        <w:tc>
          <w:tcPr>
            <w:tcW w:w="636" w:type="dxa"/>
            <w:vAlign w:val="center"/>
          </w:tcPr>
          <w:p w14:paraId="62D52E8C" w14:textId="36FCA2F3"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Pr>
                <w:rFonts w:asciiTheme="minorHAnsi" w:hAnsiTheme="minorHAnsi"/>
                <w:b/>
                <w:bCs/>
                <w:color w:val="000000"/>
                <w:sz w:val="18"/>
                <w:szCs w:val="18"/>
              </w:rPr>
              <w:t>41</w:t>
            </w:r>
          </w:p>
        </w:tc>
        <w:tc>
          <w:tcPr>
            <w:tcW w:w="637" w:type="dxa"/>
            <w:vAlign w:val="center"/>
          </w:tcPr>
          <w:p w14:paraId="2767A66C"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7D1296">
              <w:rPr>
                <w:rFonts w:asciiTheme="minorHAnsi" w:hAnsiTheme="minorHAnsi"/>
                <w:b/>
                <w:bCs/>
                <w:color w:val="000000"/>
                <w:sz w:val="18"/>
                <w:szCs w:val="18"/>
              </w:rPr>
              <w:t>-</w:t>
            </w:r>
          </w:p>
        </w:tc>
        <w:tc>
          <w:tcPr>
            <w:tcW w:w="796" w:type="dxa"/>
            <w:shd w:val="clear" w:color="auto" w:fill="F2F2F2" w:themeFill="background1" w:themeFillShade="F2"/>
          </w:tcPr>
          <w:p w14:paraId="4E6856D9"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highlight w:val="yellow"/>
                <w:lang w:eastAsia="en-IE"/>
              </w:rPr>
            </w:pPr>
            <w:r>
              <w:rPr>
                <w:rFonts w:asciiTheme="minorHAnsi" w:hAnsiTheme="minorHAnsi" w:cs="Times New Roman"/>
                <w:b/>
                <w:sz w:val="18"/>
                <w:szCs w:val="18"/>
                <w:lang w:eastAsia="en-IE"/>
              </w:rPr>
              <w:t>336</w:t>
            </w:r>
          </w:p>
        </w:tc>
        <w:tc>
          <w:tcPr>
            <w:tcW w:w="796" w:type="dxa"/>
            <w:shd w:val="clear" w:color="auto" w:fill="F2F2F2" w:themeFill="background1" w:themeFillShade="F2"/>
          </w:tcPr>
          <w:p w14:paraId="13D8A5F7" w14:textId="77777777" w:rsidR="00E223C0" w:rsidRPr="005603F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9156C2">
              <w:rPr>
                <w:rFonts w:asciiTheme="minorHAnsi" w:hAnsiTheme="minorHAnsi" w:cs="Times New Roman"/>
                <w:b/>
                <w:sz w:val="18"/>
                <w:szCs w:val="18"/>
                <w:lang w:eastAsia="en-IE"/>
              </w:rPr>
              <w:t>247</w:t>
            </w:r>
          </w:p>
        </w:tc>
      </w:tr>
      <w:tr w:rsidR="00E223C0" w:rsidRPr="00185E5E" w14:paraId="423FE143" w14:textId="77777777" w:rsidTr="00DE428D">
        <w:trPr>
          <w:trHeight w:val="231"/>
        </w:trPr>
        <w:tc>
          <w:tcPr>
            <w:tcW w:w="4293" w:type="dxa"/>
            <w:vAlign w:val="center"/>
          </w:tcPr>
          <w:p w14:paraId="0101D65E"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8"/>
                <w:szCs w:val="18"/>
                <w:lang w:eastAsia="en-IE"/>
              </w:rPr>
            </w:pPr>
            <w:r w:rsidRPr="00064C74">
              <w:rPr>
                <w:rFonts w:asciiTheme="minorHAnsi" w:hAnsiTheme="minorHAnsi"/>
                <w:color w:val="000000"/>
                <w:sz w:val="18"/>
                <w:szCs w:val="18"/>
              </w:rPr>
              <w:t>Cash flow from separately disclosed items</w:t>
            </w:r>
            <w:r w:rsidRPr="00064C74">
              <w:rPr>
                <w:rFonts w:asciiTheme="minorHAnsi" w:hAnsiTheme="minorHAnsi"/>
                <w:color w:val="000000"/>
                <w:sz w:val="18"/>
                <w:szCs w:val="18"/>
                <w:vertAlign w:val="superscript"/>
              </w:rPr>
              <w:t>4</w:t>
            </w:r>
          </w:p>
        </w:tc>
        <w:tc>
          <w:tcPr>
            <w:tcW w:w="805" w:type="dxa"/>
            <w:shd w:val="clear" w:color="auto" w:fill="F2F2F2" w:themeFill="background1" w:themeFillShade="F2"/>
          </w:tcPr>
          <w:p w14:paraId="3E89842E"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(13)</w:t>
            </w:r>
          </w:p>
        </w:tc>
        <w:tc>
          <w:tcPr>
            <w:tcW w:w="786" w:type="dxa"/>
            <w:shd w:val="clear" w:color="auto" w:fill="F2F2F2" w:themeFill="background1" w:themeFillShade="F2"/>
          </w:tcPr>
          <w:p w14:paraId="3CA09CBF"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2D47C8">
              <w:rPr>
                <w:rFonts w:asciiTheme="minorHAnsi" w:hAnsiTheme="minorHAnsi" w:cs="Times New Roman"/>
                <w:sz w:val="18"/>
                <w:szCs w:val="18"/>
                <w:lang w:eastAsia="en-IE"/>
              </w:rPr>
              <w:t>(1)</w:t>
            </w:r>
          </w:p>
        </w:tc>
        <w:tc>
          <w:tcPr>
            <w:tcW w:w="636" w:type="dxa"/>
            <w:vAlign w:val="center"/>
          </w:tcPr>
          <w:p w14:paraId="78AA2DFD"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7D1296">
              <w:rPr>
                <w:rFonts w:asciiTheme="minorHAnsi" w:hAnsiTheme="minorHAnsi"/>
                <w:color w:val="000000"/>
                <w:sz w:val="18"/>
                <w:szCs w:val="18"/>
              </w:rPr>
              <w:t>-</w:t>
            </w:r>
          </w:p>
        </w:tc>
        <w:tc>
          <w:tcPr>
            <w:tcW w:w="637" w:type="dxa"/>
            <w:vAlign w:val="center"/>
          </w:tcPr>
          <w:p w14:paraId="33B3449D"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7D1296">
              <w:rPr>
                <w:rFonts w:asciiTheme="minorHAnsi" w:hAnsiTheme="minorHAnsi"/>
                <w:color w:val="000000"/>
                <w:sz w:val="18"/>
                <w:szCs w:val="18"/>
              </w:rPr>
              <w:t>-</w:t>
            </w:r>
          </w:p>
        </w:tc>
        <w:tc>
          <w:tcPr>
            <w:tcW w:w="796" w:type="dxa"/>
            <w:shd w:val="clear" w:color="auto" w:fill="F2F2F2" w:themeFill="background1" w:themeFillShade="F2"/>
          </w:tcPr>
          <w:p w14:paraId="7F5BFEB1"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highlight w:val="yellow"/>
                <w:lang w:eastAsia="en-IE"/>
              </w:rPr>
            </w:pPr>
            <w:r>
              <w:rPr>
                <w:rFonts w:asciiTheme="minorHAnsi" w:hAnsiTheme="minorHAnsi" w:cs="Times New Roman"/>
                <w:sz w:val="18"/>
                <w:szCs w:val="18"/>
                <w:lang w:eastAsia="en-IE"/>
              </w:rPr>
              <w:t>(13)</w:t>
            </w:r>
          </w:p>
        </w:tc>
        <w:tc>
          <w:tcPr>
            <w:tcW w:w="796" w:type="dxa"/>
            <w:shd w:val="clear" w:color="auto" w:fill="F2F2F2" w:themeFill="background1" w:themeFillShade="F2"/>
          </w:tcPr>
          <w:p w14:paraId="0746CD55"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9156C2">
              <w:rPr>
                <w:rFonts w:asciiTheme="minorHAnsi" w:hAnsiTheme="minorHAnsi" w:cs="Times New Roman"/>
                <w:sz w:val="18"/>
                <w:szCs w:val="18"/>
                <w:lang w:eastAsia="en-IE"/>
              </w:rPr>
              <w:t>(1)</w:t>
            </w:r>
          </w:p>
        </w:tc>
      </w:tr>
      <w:tr w:rsidR="00E223C0" w:rsidRPr="00185E5E" w14:paraId="6705D4C9" w14:textId="77777777" w:rsidTr="00DE428D">
        <w:trPr>
          <w:trHeight w:val="231"/>
        </w:trPr>
        <w:tc>
          <w:tcPr>
            <w:tcW w:w="4293" w:type="dxa"/>
            <w:vAlign w:val="center"/>
          </w:tcPr>
          <w:p w14:paraId="27B1A7B3"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8"/>
                <w:szCs w:val="18"/>
                <w:lang w:eastAsia="en-IE"/>
              </w:rPr>
            </w:pPr>
            <w:r w:rsidRPr="00064C74">
              <w:rPr>
                <w:rFonts w:asciiTheme="minorHAnsi" w:hAnsiTheme="minorHAnsi"/>
                <w:b/>
                <w:bCs/>
                <w:color w:val="000000"/>
                <w:sz w:val="18"/>
                <w:szCs w:val="18"/>
              </w:rPr>
              <w:t>Free cash flow</w:t>
            </w:r>
          </w:p>
        </w:tc>
        <w:tc>
          <w:tcPr>
            <w:tcW w:w="805" w:type="dxa"/>
            <w:shd w:val="clear" w:color="auto" w:fill="F2F2F2" w:themeFill="background1" w:themeFillShade="F2"/>
          </w:tcPr>
          <w:p w14:paraId="657B4821" w14:textId="150415F4" w:rsidR="00E223C0" w:rsidRPr="002D47C8" w:rsidRDefault="00FF0FD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Pr>
                <w:rFonts w:asciiTheme="minorHAnsi" w:hAnsiTheme="minorHAnsi" w:cs="Times New Roman"/>
                <w:b/>
                <w:sz w:val="18"/>
                <w:szCs w:val="18"/>
                <w:lang w:eastAsia="en-IE"/>
              </w:rPr>
              <w:t>282</w:t>
            </w:r>
          </w:p>
        </w:tc>
        <w:tc>
          <w:tcPr>
            <w:tcW w:w="786" w:type="dxa"/>
            <w:shd w:val="clear" w:color="auto" w:fill="F2F2F2" w:themeFill="background1" w:themeFillShade="F2"/>
          </w:tcPr>
          <w:p w14:paraId="458B0C7B"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2D47C8">
              <w:rPr>
                <w:rFonts w:asciiTheme="minorHAnsi" w:hAnsiTheme="minorHAnsi" w:cs="Times New Roman"/>
                <w:b/>
                <w:sz w:val="18"/>
                <w:szCs w:val="18"/>
                <w:lang w:eastAsia="en-IE"/>
              </w:rPr>
              <w:t xml:space="preserve">      246</w:t>
            </w:r>
          </w:p>
        </w:tc>
        <w:tc>
          <w:tcPr>
            <w:tcW w:w="636" w:type="dxa"/>
            <w:vAlign w:val="center"/>
          </w:tcPr>
          <w:p w14:paraId="026A9325" w14:textId="58CAE4AA"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b/>
                <w:bCs/>
                <w:color w:val="000000"/>
                <w:sz w:val="18"/>
                <w:szCs w:val="18"/>
              </w:rPr>
              <w:t>41</w:t>
            </w:r>
          </w:p>
        </w:tc>
        <w:tc>
          <w:tcPr>
            <w:tcW w:w="637" w:type="dxa"/>
            <w:vAlign w:val="center"/>
          </w:tcPr>
          <w:p w14:paraId="4D9B985B"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7D1296">
              <w:rPr>
                <w:rFonts w:asciiTheme="minorHAnsi" w:hAnsiTheme="minorHAnsi"/>
                <w:b/>
                <w:bCs/>
                <w:color w:val="000000"/>
                <w:sz w:val="18"/>
                <w:szCs w:val="18"/>
              </w:rPr>
              <w:t>-</w:t>
            </w:r>
          </w:p>
        </w:tc>
        <w:tc>
          <w:tcPr>
            <w:tcW w:w="796" w:type="dxa"/>
            <w:shd w:val="clear" w:color="auto" w:fill="F2F2F2" w:themeFill="background1" w:themeFillShade="F2"/>
          </w:tcPr>
          <w:p w14:paraId="6530B174" w14:textId="67FC122B"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Pr>
                <w:rFonts w:asciiTheme="minorHAnsi" w:hAnsiTheme="minorHAnsi" w:cs="Times New Roman"/>
                <w:b/>
                <w:sz w:val="18"/>
                <w:szCs w:val="18"/>
                <w:lang w:eastAsia="en-IE"/>
              </w:rPr>
              <w:t>323</w:t>
            </w:r>
          </w:p>
        </w:tc>
        <w:tc>
          <w:tcPr>
            <w:tcW w:w="796" w:type="dxa"/>
            <w:shd w:val="clear" w:color="auto" w:fill="F2F2F2" w:themeFill="background1" w:themeFillShade="F2"/>
          </w:tcPr>
          <w:p w14:paraId="18148A2E"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sz w:val="18"/>
                <w:szCs w:val="18"/>
                <w:lang w:eastAsia="en-IE"/>
              </w:rPr>
            </w:pPr>
            <w:r w:rsidRPr="009156C2">
              <w:rPr>
                <w:rFonts w:asciiTheme="minorHAnsi" w:hAnsiTheme="minorHAnsi" w:cs="Times New Roman"/>
                <w:b/>
                <w:sz w:val="18"/>
                <w:szCs w:val="18"/>
                <w:lang w:eastAsia="en-IE"/>
              </w:rPr>
              <w:t xml:space="preserve">     </w:t>
            </w:r>
            <w:r>
              <w:rPr>
                <w:rFonts w:asciiTheme="minorHAnsi" w:hAnsiTheme="minorHAnsi" w:cs="Times New Roman"/>
                <w:b/>
                <w:sz w:val="18"/>
                <w:szCs w:val="18"/>
                <w:lang w:eastAsia="en-IE"/>
              </w:rPr>
              <w:t xml:space="preserve">   </w:t>
            </w:r>
            <w:r w:rsidRPr="009156C2">
              <w:rPr>
                <w:rFonts w:asciiTheme="minorHAnsi" w:hAnsiTheme="minorHAnsi" w:cs="Times New Roman"/>
                <w:b/>
                <w:sz w:val="18"/>
                <w:szCs w:val="18"/>
                <w:lang w:eastAsia="en-IE"/>
              </w:rPr>
              <w:t xml:space="preserve"> 246</w:t>
            </w:r>
          </w:p>
        </w:tc>
      </w:tr>
      <w:tr w:rsidR="00E223C0" w:rsidRPr="00185E5E" w14:paraId="614006D7" w14:textId="77777777" w:rsidTr="00DE428D">
        <w:trPr>
          <w:trHeight w:val="248"/>
        </w:trPr>
        <w:tc>
          <w:tcPr>
            <w:tcW w:w="4293" w:type="dxa"/>
            <w:vAlign w:val="center"/>
          </w:tcPr>
          <w:p w14:paraId="65C10732"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8"/>
                <w:szCs w:val="18"/>
                <w:lang w:eastAsia="en-IE"/>
              </w:rPr>
            </w:pPr>
            <w:r w:rsidRPr="00064C74">
              <w:rPr>
                <w:rFonts w:asciiTheme="minorHAnsi" w:hAnsiTheme="minorHAnsi"/>
                <w:color w:val="000000"/>
                <w:sz w:val="18"/>
                <w:szCs w:val="18"/>
              </w:rPr>
              <w:t xml:space="preserve">Dividends paid </w:t>
            </w:r>
          </w:p>
        </w:tc>
        <w:tc>
          <w:tcPr>
            <w:tcW w:w="805" w:type="dxa"/>
            <w:shd w:val="clear" w:color="auto" w:fill="F2F2F2" w:themeFill="background1" w:themeFillShade="F2"/>
          </w:tcPr>
          <w:p w14:paraId="393E03BF"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D86829">
              <w:rPr>
                <w:rFonts w:asciiTheme="minorHAnsi" w:hAnsiTheme="minorHAnsi" w:cs="Times New Roman"/>
                <w:sz w:val="18"/>
                <w:szCs w:val="18"/>
                <w:lang w:eastAsia="en-IE"/>
              </w:rPr>
              <w:t>(156)</w:t>
            </w:r>
          </w:p>
        </w:tc>
        <w:tc>
          <w:tcPr>
            <w:tcW w:w="786" w:type="dxa"/>
            <w:shd w:val="clear" w:color="auto" w:fill="F2F2F2" w:themeFill="background1" w:themeFillShade="F2"/>
          </w:tcPr>
          <w:p w14:paraId="1B229686"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2D47C8">
              <w:rPr>
                <w:rFonts w:asciiTheme="minorHAnsi" w:hAnsiTheme="minorHAnsi" w:cs="Times New Roman"/>
                <w:sz w:val="18"/>
                <w:szCs w:val="18"/>
                <w:lang w:eastAsia="en-IE"/>
              </w:rPr>
              <w:t>(169)</w:t>
            </w:r>
          </w:p>
        </w:tc>
        <w:tc>
          <w:tcPr>
            <w:tcW w:w="636" w:type="dxa"/>
            <w:vAlign w:val="center"/>
          </w:tcPr>
          <w:p w14:paraId="18F547E2"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7D1296">
              <w:rPr>
                <w:rFonts w:asciiTheme="minorHAnsi" w:hAnsiTheme="minorHAnsi"/>
                <w:color w:val="000000"/>
                <w:sz w:val="18"/>
                <w:szCs w:val="18"/>
              </w:rPr>
              <w:t>-</w:t>
            </w:r>
          </w:p>
        </w:tc>
        <w:tc>
          <w:tcPr>
            <w:tcW w:w="637" w:type="dxa"/>
            <w:vAlign w:val="center"/>
          </w:tcPr>
          <w:p w14:paraId="14D35B3B"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7D1296">
              <w:rPr>
                <w:rFonts w:asciiTheme="minorHAnsi" w:hAnsiTheme="minorHAnsi"/>
                <w:color w:val="000000"/>
                <w:sz w:val="18"/>
                <w:szCs w:val="18"/>
              </w:rPr>
              <w:t>-</w:t>
            </w:r>
          </w:p>
        </w:tc>
        <w:tc>
          <w:tcPr>
            <w:tcW w:w="796" w:type="dxa"/>
            <w:shd w:val="clear" w:color="auto" w:fill="F2F2F2" w:themeFill="background1" w:themeFillShade="F2"/>
          </w:tcPr>
          <w:p w14:paraId="0B5FADC5"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highlight w:val="yellow"/>
                <w:lang w:eastAsia="en-IE"/>
              </w:rPr>
            </w:pPr>
            <w:r w:rsidRPr="00D86829">
              <w:rPr>
                <w:rFonts w:asciiTheme="minorHAnsi" w:hAnsiTheme="minorHAnsi" w:cs="Times New Roman"/>
                <w:sz w:val="18"/>
                <w:szCs w:val="18"/>
                <w:lang w:eastAsia="en-IE"/>
              </w:rPr>
              <w:t>(156)</w:t>
            </w:r>
          </w:p>
        </w:tc>
        <w:tc>
          <w:tcPr>
            <w:tcW w:w="796" w:type="dxa"/>
            <w:shd w:val="clear" w:color="auto" w:fill="F2F2F2" w:themeFill="background1" w:themeFillShade="F2"/>
          </w:tcPr>
          <w:p w14:paraId="709A0F0B"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9156C2">
              <w:rPr>
                <w:rFonts w:asciiTheme="minorHAnsi" w:hAnsiTheme="minorHAnsi" w:cs="Times New Roman"/>
                <w:sz w:val="18"/>
                <w:szCs w:val="18"/>
                <w:lang w:eastAsia="en-IE"/>
              </w:rPr>
              <w:t>(169)</w:t>
            </w:r>
          </w:p>
        </w:tc>
      </w:tr>
      <w:tr w:rsidR="00E223C0" w:rsidRPr="00185E5E" w14:paraId="725C98B0" w14:textId="77777777" w:rsidTr="00DE428D">
        <w:trPr>
          <w:trHeight w:val="248"/>
        </w:trPr>
        <w:tc>
          <w:tcPr>
            <w:tcW w:w="4293" w:type="dxa"/>
            <w:vAlign w:val="center"/>
          </w:tcPr>
          <w:p w14:paraId="70534B08"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olor w:val="000000"/>
                <w:sz w:val="18"/>
                <w:szCs w:val="18"/>
              </w:rPr>
            </w:pPr>
            <w:r w:rsidRPr="00064C74">
              <w:rPr>
                <w:rFonts w:asciiTheme="minorHAnsi" w:hAnsiTheme="minorHAnsi"/>
                <w:color w:val="000000"/>
                <w:sz w:val="18"/>
                <w:szCs w:val="18"/>
              </w:rPr>
              <w:t>Share buyback</w:t>
            </w:r>
          </w:p>
        </w:tc>
        <w:tc>
          <w:tcPr>
            <w:tcW w:w="805" w:type="dxa"/>
            <w:shd w:val="clear" w:color="auto" w:fill="F2F2F2" w:themeFill="background1" w:themeFillShade="F2"/>
          </w:tcPr>
          <w:p w14:paraId="46726572"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olor w:val="000000"/>
                <w:sz w:val="18"/>
                <w:szCs w:val="18"/>
              </w:rPr>
            </w:pPr>
            <w:r>
              <w:rPr>
                <w:rFonts w:asciiTheme="minorHAnsi" w:hAnsiTheme="minorHAnsi"/>
                <w:color w:val="000000"/>
                <w:sz w:val="18"/>
                <w:szCs w:val="18"/>
              </w:rPr>
              <w:t>(87)</w:t>
            </w:r>
          </w:p>
        </w:tc>
        <w:tc>
          <w:tcPr>
            <w:tcW w:w="786" w:type="dxa"/>
            <w:shd w:val="clear" w:color="auto" w:fill="F2F2F2" w:themeFill="background1" w:themeFillShade="F2"/>
          </w:tcPr>
          <w:p w14:paraId="2DAAA3DA"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olor w:val="000000"/>
                <w:sz w:val="18"/>
                <w:szCs w:val="18"/>
              </w:rPr>
            </w:pPr>
            <w:r w:rsidRPr="002D47C8">
              <w:rPr>
                <w:rFonts w:asciiTheme="minorHAnsi" w:hAnsiTheme="minorHAnsi" w:cs="Times New Roman"/>
                <w:sz w:val="18"/>
                <w:szCs w:val="18"/>
                <w:lang w:eastAsia="en-IE"/>
              </w:rPr>
              <w:t>(415)</w:t>
            </w:r>
          </w:p>
        </w:tc>
        <w:tc>
          <w:tcPr>
            <w:tcW w:w="636" w:type="dxa"/>
            <w:vAlign w:val="center"/>
          </w:tcPr>
          <w:p w14:paraId="065CA915"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olor w:val="000000"/>
                <w:sz w:val="18"/>
                <w:szCs w:val="18"/>
                <w:highlight w:val="yellow"/>
              </w:rPr>
            </w:pPr>
            <w:r>
              <w:rPr>
                <w:rFonts w:asciiTheme="minorHAnsi" w:hAnsiTheme="minorHAnsi"/>
                <w:color w:val="000000"/>
                <w:sz w:val="18"/>
                <w:szCs w:val="18"/>
              </w:rPr>
              <w:t>-</w:t>
            </w:r>
          </w:p>
        </w:tc>
        <w:tc>
          <w:tcPr>
            <w:tcW w:w="637" w:type="dxa"/>
            <w:vAlign w:val="center"/>
          </w:tcPr>
          <w:p w14:paraId="2BCF37AA"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olor w:val="000000"/>
                <w:sz w:val="18"/>
                <w:szCs w:val="18"/>
              </w:rPr>
            </w:pPr>
            <w:r>
              <w:rPr>
                <w:rFonts w:asciiTheme="minorHAnsi" w:hAnsiTheme="minorHAnsi"/>
                <w:color w:val="000000"/>
                <w:sz w:val="18"/>
                <w:szCs w:val="18"/>
              </w:rPr>
              <w:t>-</w:t>
            </w:r>
          </w:p>
        </w:tc>
        <w:tc>
          <w:tcPr>
            <w:tcW w:w="796" w:type="dxa"/>
            <w:shd w:val="clear" w:color="auto" w:fill="F2F2F2" w:themeFill="background1" w:themeFillShade="F2"/>
          </w:tcPr>
          <w:p w14:paraId="47972E9A"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olor w:val="000000"/>
                <w:sz w:val="18"/>
                <w:szCs w:val="18"/>
                <w:highlight w:val="yellow"/>
              </w:rPr>
            </w:pPr>
            <w:r>
              <w:rPr>
                <w:rFonts w:asciiTheme="minorHAnsi" w:hAnsiTheme="minorHAnsi"/>
                <w:color w:val="000000"/>
                <w:sz w:val="18"/>
                <w:szCs w:val="18"/>
              </w:rPr>
              <w:t>(87)</w:t>
            </w:r>
          </w:p>
        </w:tc>
        <w:tc>
          <w:tcPr>
            <w:tcW w:w="796" w:type="dxa"/>
            <w:shd w:val="clear" w:color="auto" w:fill="F2F2F2" w:themeFill="background1" w:themeFillShade="F2"/>
          </w:tcPr>
          <w:p w14:paraId="0DE3AC7B"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olor w:val="000000"/>
                <w:sz w:val="18"/>
                <w:szCs w:val="18"/>
              </w:rPr>
            </w:pPr>
            <w:r w:rsidRPr="009156C2">
              <w:rPr>
                <w:rFonts w:asciiTheme="minorHAnsi" w:hAnsiTheme="minorHAnsi" w:cs="Times New Roman"/>
                <w:sz w:val="18"/>
                <w:szCs w:val="18"/>
                <w:lang w:eastAsia="en-IE"/>
              </w:rPr>
              <w:t>(415)</w:t>
            </w:r>
          </w:p>
        </w:tc>
      </w:tr>
      <w:tr w:rsidR="00E223C0" w:rsidRPr="00185E5E" w14:paraId="5821E0E7" w14:textId="77777777" w:rsidTr="00DE428D">
        <w:trPr>
          <w:trHeight w:val="231"/>
        </w:trPr>
        <w:tc>
          <w:tcPr>
            <w:tcW w:w="4293" w:type="dxa"/>
            <w:vAlign w:val="center"/>
          </w:tcPr>
          <w:p w14:paraId="655A8601"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8"/>
                <w:szCs w:val="18"/>
                <w:lang w:eastAsia="en-IE"/>
              </w:rPr>
            </w:pPr>
            <w:r>
              <w:rPr>
                <w:rFonts w:asciiTheme="minorHAnsi" w:hAnsiTheme="minorHAnsi"/>
                <w:color w:val="000000"/>
                <w:sz w:val="18"/>
                <w:szCs w:val="18"/>
              </w:rPr>
              <w:t xml:space="preserve">Acquisitions (2019 Adjarabet; 2018 </w:t>
            </w:r>
            <w:proofErr w:type="spellStart"/>
            <w:r>
              <w:rPr>
                <w:rFonts w:asciiTheme="minorHAnsi" w:hAnsiTheme="minorHAnsi"/>
                <w:color w:val="000000"/>
                <w:sz w:val="18"/>
                <w:szCs w:val="18"/>
              </w:rPr>
              <w:t>FanDuel</w:t>
            </w:r>
            <w:proofErr w:type="spellEnd"/>
            <w:r>
              <w:rPr>
                <w:rFonts w:asciiTheme="minorHAnsi" w:hAnsiTheme="minorHAnsi"/>
                <w:color w:val="000000"/>
                <w:sz w:val="18"/>
                <w:szCs w:val="18"/>
              </w:rPr>
              <w:t>)</w:t>
            </w:r>
          </w:p>
        </w:tc>
        <w:tc>
          <w:tcPr>
            <w:tcW w:w="805" w:type="dxa"/>
            <w:shd w:val="clear" w:color="auto" w:fill="F2F2F2" w:themeFill="background1" w:themeFillShade="F2"/>
          </w:tcPr>
          <w:p w14:paraId="5CD3CE1F"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(102)</w:t>
            </w:r>
          </w:p>
        </w:tc>
        <w:tc>
          <w:tcPr>
            <w:tcW w:w="786" w:type="dxa"/>
            <w:shd w:val="clear" w:color="auto" w:fill="F2F2F2" w:themeFill="background1" w:themeFillShade="F2"/>
          </w:tcPr>
          <w:p w14:paraId="44975B78"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2D47C8">
              <w:rPr>
                <w:rFonts w:asciiTheme="minorHAnsi" w:hAnsiTheme="minorHAnsi" w:cs="Times New Roman"/>
                <w:sz w:val="18"/>
                <w:szCs w:val="18"/>
                <w:lang w:eastAsia="en-IE"/>
              </w:rPr>
              <w:t xml:space="preserve">     (71)</w:t>
            </w:r>
          </w:p>
        </w:tc>
        <w:tc>
          <w:tcPr>
            <w:tcW w:w="636" w:type="dxa"/>
            <w:vAlign w:val="center"/>
          </w:tcPr>
          <w:p w14:paraId="7D9CED1F"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sidRPr="007D1296">
              <w:rPr>
                <w:rFonts w:asciiTheme="minorHAnsi" w:hAnsiTheme="minorHAnsi"/>
                <w:color w:val="000000"/>
                <w:sz w:val="18"/>
                <w:szCs w:val="18"/>
              </w:rPr>
              <w:t>-</w:t>
            </w:r>
          </w:p>
        </w:tc>
        <w:tc>
          <w:tcPr>
            <w:tcW w:w="637" w:type="dxa"/>
            <w:vAlign w:val="center"/>
          </w:tcPr>
          <w:p w14:paraId="0841B8FF"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7D1296">
              <w:rPr>
                <w:rFonts w:asciiTheme="minorHAnsi" w:hAnsiTheme="minorHAnsi"/>
                <w:color w:val="000000"/>
                <w:sz w:val="18"/>
                <w:szCs w:val="18"/>
              </w:rPr>
              <w:t>-</w:t>
            </w:r>
          </w:p>
        </w:tc>
        <w:tc>
          <w:tcPr>
            <w:tcW w:w="796" w:type="dxa"/>
            <w:shd w:val="clear" w:color="auto" w:fill="F2F2F2" w:themeFill="background1" w:themeFillShade="F2"/>
          </w:tcPr>
          <w:p w14:paraId="5C62D67E"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Pr>
                <w:rFonts w:asciiTheme="minorHAnsi" w:hAnsiTheme="minorHAnsi" w:cs="Times New Roman"/>
                <w:sz w:val="18"/>
                <w:szCs w:val="18"/>
                <w:lang w:eastAsia="en-IE"/>
              </w:rPr>
              <w:t>(102)</w:t>
            </w:r>
          </w:p>
        </w:tc>
        <w:tc>
          <w:tcPr>
            <w:tcW w:w="796" w:type="dxa"/>
            <w:shd w:val="clear" w:color="auto" w:fill="F2F2F2" w:themeFill="background1" w:themeFillShade="F2"/>
          </w:tcPr>
          <w:p w14:paraId="56CB8107"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9156C2">
              <w:rPr>
                <w:rFonts w:asciiTheme="minorHAnsi" w:hAnsiTheme="minorHAnsi" w:cs="Times New Roman"/>
                <w:sz w:val="18"/>
                <w:szCs w:val="18"/>
                <w:lang w:eastAsia="en-IE"/>
              </w:rPr>
              <w:t xml:space="preserve">     (71)</w:t>
            </w:r>
          </w:p>
        </w:tc>
      </w:tr>
      <w:tr w:rsidR="00E223C0" w:rsidRPr="00185E5E" w14:paraId="222D0167" w14:textId="77777777" w:rsidTr="00DE428D">
        <w:trPr>
          <w:trHeight w:val="194"/>
        </w:trPr>
        <w:tc>
          <w:tcPr>
            <w:tcW w:w="4293" w:type="dxa"/>
            <w:vAlign w:val="center"/>
          </w:tcPr>
          <w:p w14:paraId="26BDE552"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olor w:val="000000"/>
                <w:sz w:val="18"/>
                <w:szCs w:val="18"/>
              </w:rPr>
            </w:pPr>
            <w:r w:rsidRPr="00D86829">
              <w:rPr>
                <w:rFonts w:asciiTheme="minorHAnsi" w:hAnsiTheme="minorHAnsi"/>
                <w:color w:val="000000"/>
                <w:sz w:val="18"/>
                <w:szCs w:val="18"/>
              </w:rPr>
              <w:t>Legacy Greek and German tax</w:t>
            </w:r>
          </w:p>
        </w:tc>
        <w:tc>
          <w:tcPr>
            <w:tcW w:w="805" w:type="dxa"/>
            <w:shd w:val="clear" w:color="auto" w:fill="F2F2F2" w:themeFill="background1" w:themeFillShade="F2"/>
          </w:tcPr>
          <w:p w14:paraId="5E1347BD" w14:textId="77777777" w:rsidR="00E223C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D86829">
              <w:rPr>
                <w:rFonts w:asciiTheme="minorHAnsi" w:hAnsiTheme="minorHAnsi" w:cs="Times New Roman"/>
                <w:sz w:val="18"/>
                <w:szCs w:val="18"/>
                <w:lang w:eastAsia="en-IE"/>
              </w:rPr>
              <w:t>(40)</w:t>
            </w:r>
          </w:p>
        </w:tc>
        <w:tc>
          <w:tcPr>
            <w:tcW w:w="786" w:type="dxa"/>
            <w:shd w:val="clear" w:color="auto" w:fill="F2F2F2" w:themeFill="background1" w:themeFillShade="F2"/>
          </w:tcPr>
          <w:p w14:paraId="24B40C68"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w:t>
            </w:r>
          </w:p>
        </w:tc>
        <w:tc>
          <w:tcPr>
            <w:tcW w:w="636" w:type="dxa"/>
            <w:vAlign w:val="center"/>
          </w:tcPr>
          <w:p w14:paraId="2A4CB717"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olor w:val="000000"/>
                <w:sz w:val="18"/>
                <w:szCs w:val="18"/>
              </w:rPr>
            </w:pPr>
            <w:r>
              <w:rPr>
                <w:rFonts w:asciiTheme="minorHAnsi" w:hAnsiTheme="minorHAnsi"/>
                <w:color w:val="000000"/>
                <w:sz w:val="18"/>
                <w:szCs w:val="18"/>
              </w:rPr>
              <w:t>-</w:t>
            </w:r>
          </w:p>
        </w:tc>
        <w:tc>
          <w:tcPr>
            <w:tcW w:w="637" w:type="dxa"/>
            <w:vAlign w:val="center"/>
          </w:tcPr>
          <w:p w14:paraId="5C18C7DE"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olor w:val="000000"/>
                <w:sz w:val="18"/>
                <w:szCs w:val="18"/>
              </w:rPr>
            </w:pPr>
            <w:r>
              <w:rPr>
                <w:rFonts w:asciiTheme="minorHAnsi" w:hAnsiTheme="minorHAnsi"/>
                <w:color w:val="000000"/>
                <w:sz w:val="18"/>
                <w:szCs w:val="18"/>
              </w:rPr>
              <w:t>-</w:t>
            </w:r>
          </w:p>
        </w:tc>
        <w:tc>
          <w:tcPr>
            <w:tcW w:w="796" w:type="dxa"/>
            <w:shd w:val="clear" w:color="auto" w:fill="F2F2F2" w:themeFill="background1" w:themeFillShade="F2"/>
          </w:tcPr>
          <w:p w14:paraId="3DB879AC" w14:textId="77777777" w:rsidR="00E223C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D86829">
              <w:rPr>
                <w:rFonts w:asciiTheme="minorHAnsi" w:hAnsiTheme="minorHAnsi" w:cs="Times New Roman"/>
                <w:sz w:val="18"/>
                <w:szCs w:val="18"/>
                <w:lang w:eastAsia="en-IE"/>
              </w:rPr>
              <w:t>(40)</w:t>
            </w:r>
          </w:p>
        </w:tc>
        <w:tc>
          <w:tcPr>
            <w:tcW w:w="796" w:type="dxa"/>
            <w:shd w:val="clear" w:color="auto" w:fill="F2F2F2" w:themeFill="background1" w:themeFillShade="F2"/>
          </w:tcPr>
          <w:p w14:paraId="69209625" w14:textId="77777777" w:rsidR="00E223C0" w:rsidRPr="009156C2"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w:t>
            </w:r>
          </w:p>
        </w:tc>
      </w:tr>
      <w:tr w:rsidR="00E223C0" w:rsidRPr="00185E5E" w14:paraId="5A870E1D" w14:textId="77777777" w:rsidTr="00DE428D">
        <w:trPr>
          <w:trHeight w:val="194"/>
        </w:trPr>
        <w:tc>
          <w:tcPr>
            <w:tcW w:w="4293" w:type="dxa"/>
            <w:vAlign w:val="center"/>
          </w:tcPr>
          <w:p w14:paraId="339B9ED7"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8"/>
                <w:szCs w:val="18"/>
                <w:lang w:eastAsia="en-IE"/>
              </w:rPr>
            </w:pPr>
            <w:r w:rsidRPr="00064C74">
              <w:rPr>
                <w:rFonts w:asciiTheme="minorHAnsi" w:hAnsiTheme="minorHAnsi"/>
                <w:color w:val="000000"/>
                <w:sz w:val="18"/>
                <w:szCs w:val="18"/>
              </w:rPr>
              <w:t>Interest and other borrowing costs</w:t>
            </w:r>
            <w:r>
              <w:rPr>
                <w:rFonts w:asciiTheme="minorHAnsi" w:hAnsiTheme="minorHAnsi"/>
                <w:color w:val="000000"/>
                <w:sz w:val="18"/>
                <w:szCs w:val="18"/>
                <w:vertAlign w:val="superscript"/>
              </w:rPr>
              <w:t>5</w:t>
            </w:r>
          </w:p>
        </w:tc>
        <w:tc>
          <w:tcPr>
            <w:tcW w:w="805" w:type="dxa"/>
            <w:shd w:val="clear" w:color="auto" w:fill="F2F2F2" w:themeFill="background1" w:themeFillShade="F2"/>
          </w:tcPr>
          <w:p w14:paraId="74297073"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(7)</w:t>
            </w:r>
          </w:p>
        </w:tc>
        <w:tc>
          <w:tcPr>
            <w:tcW w:w="786" w:type="dxa"/>
            <w:shd w:val="clear" w:color="auto" w:fill="F2F2F2" w:themeFill="background1" w:themeFillShade="F2"/>
          </w:tcPr>
          <w:p w14:paraId="74CBDD84"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2D47C8">
              <w:rPr>
                <w:rFonts w:asciiTheme="minorHAnsi" w:hAnsiTheme="minorHAnsi" w:cs="Times New Roman"/>
                <w:sz w:val="18"/>
                <w:szCs w:val="18"/>
                <w:lang w:eastAsia="en-IE"/>
              </w:rPr>
              <w:t>(4)</w:t>
            </w:r>
          </w:p>
        </w:tc>
        <w:tc>
          <w:tcPr>
            <w:tcW w:w="636" w:type="dxa"/>
            <w:vAlign w:val="center"/>
          </w:tcPr>
          <w:p w14:paraId="4BFE06F7"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sidRPr="007D1296">
              <w:rPr>
                <w:rFonts w:asciiTheme="minorHAnsi" w:hAnsiTheme="minorHAnsi"/>
                <w:color w:val="000000"/>
                <w:sz w:val="18"/>
                <w:szCs w:val="18"/>
              </w:rPr>
              <w:t>-</w:t>
            </w:r>
          </w:p>
        </w:tc>
        <w:tc>
          <w:tcPr>
            <w:tcW w:w="637" w:type="dxa"/>
            <w:vAlign w:val="center"/>
          </w:tcPr>
          <w:p w14:paraId="6B5E0EDD"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7D1296">
              <w:rPr>
                <w:rFonts w:asciiTheme="minorHAnsi" w:hAnsiTheme="minorHAnsi"/>
                <w:color w:val="000000"/>
                <w:sz w:val="18"/>
                <w:szCs w:val="18"/>
              </w:rPr>
              <w:t>-</w:t>
            </w:r>
          </w:p>
        </w:tc>
        <w:tc>
          <w:tcPr>
            <w:tcW w:w="796" w:type="dxa"/>
            <w:shd w:val="clear" w:color="auto" w:fill="F2F2F2" w:themeFill="background1" w:themeFillShade="F2"/>
          </w:tcPr>
          <w:p w14:paraId="126D2C06"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Pr>
                <w:rFonts w:asciiTheme="minorHAnsi" w:hAnsiTheme="minorHAnsi" w:cs="Times New Roman"/>
                <w:sz w:val="18"/>
                <w:szCs w:val="18"/>
                <w:lang w:eastAsia="en-IE"/>
              </w:rPr>
              <w:t>(7)</w:t>
            </w:r>
          </w:p>
        </w:tc>
        <w:tc>
          <w:tcPr>
            <w:tcW w:w="796" w:type="dxa"/>
            <w:shd w:val="clear" w:color="auto" w:fill="F2F2F2" w:themeFill="background1" w:themeFillShade="F2"/>
          </w:tcPr>
          <w:p w14:paraId="013E9FDA"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9156C2">
              <w:rPr>
                <w:rFonts w:asciiTheme="minorHAnsi" w:hAnsiTheme="minorHAnsi" w:cs="Times New Roman"/>
                <w:sz w:val="18"/>
                <w:szCs w:val="18"/>
                <w:lang w:eastAsia="en-IE"/>
              </w:rPr>
              <w:t>(4)</w:t>
            </w:r>
          </w:p>
        </w:tc>
      </w:tr>
      <w:tr w:rsidR="00E223C0" w:rsidRPr="00185E5E" w14:paraId="22EC9FFF" w14:textId="77777777" w:rsidTr="00DE428D">
        <w:trPr>
          <w:trHeight w:val="248"/>
        </w:trPr>
        <w:tc>
          <w:tcPr>
            <w:tcW w:w="4293" w:type="dxa"/>
            <w:vAlign w:val="center"/>
          </w:tcPr>
          <w:p w14:paraId="0A3556EA"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8"/>
                <w:szCs w:val="18"/>
                <w:lang w:eastAsia="en-IE"/>
              </w:rPr>
            </w:pPr>
            <w:r w:rsidRPr="00064C74">
              <w:rPr>
                <w:rFonts w:asciiTheme="minorHAnsi" w:hAnsiTheme="minorHAnsi"/>
                <w:color w:val="000000"/>
                <w:sz w:val="18"/>
                <w:szCs w:val="18"/>
              </w:rPr>
              <w:t>Net proceeds from issue of new shares</w:t>
            </w:r>
            <w:r w:rsidRPr="003935DF">
              <w:rPr>
                <w:rFonts w:asciiTheme="minorHAnsi" w:hAnsiTheme="minorHAnsi"/>
                <w:color w:val="000000"/>
                <w:sz w:val="18"/>
                <w:szCs w:val="18"/>
                <w:vertAlign w:val="superscript"/>
              </w:rPr>
              <w:t>6</w:t>
            </w:r>
          </w:p>
        </w:tc>
        <w:tc>
          <w:tcPr>
            <w:tcW w:w="805" w:type="dxa"/>
            <w:shd w:val="clear" w:color="auto" w:fill="F2F2F2" w:themeFill="background1" w:themeFillShade="F2"/>
          </w:tcPr>
          <w:p w14:paraId="3B540EEC"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4</w:t>
            </w:r>
          </w:p>
        </w:tc>
        <w:tc>
          <w:tcPr>
            <w:tcW w:w="786" w:type="dxa"/>
            <w:shd w:val="clear" w:color="auto" w:fill="F2F2F2" w:themeFill="background1" w:themeFillShade="F2"/>
          </w:tcPr>
          <w:p w14:paraId="22CD4B41"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2D47C8">
              <w:rPr>
                <w:rFonts w:asciiTheme="minorHAnsi" w:hAnsiTheme="minorHAnsi" w:cs="Times New Roman"/>
                <w:sz w:val="18"/>
                <w:szCs w:val="18"/>
                <w:lang w:eastAsia="en-IE"/>
              </w:rPr>
              <w:t>10</w:t>
            </w:r>
          </w:p>
        </w:tc>
        <w:tc>
          <w:tcPr>
            <w:tcW w:w="636" w:type="dxa"/>
            <w:vAlign w:val="center"/>
          </w:tcPr>
          <w:p w14:paraId="38CCB616"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sidRPr="007D1296">
              <w:rPr>
                <w:rFonts w:asciiTheme="minorHAnsi" w:hAnsiTheme="minorHAnsi"/>
                <w:color w:val="000000"/>
                <w:sz w:val="18"/>
                <w:szCs w:val="18"/>
              </w:rPr>
              <w:t>-</w:t>
            </w:r>
          </w:p>
        </w:tc>
        <w:tc>
          <w:tcPr>
            <w:tcW w:w="637" w:type="dxa"/>
            <w:vAlign w:val="center"/>
          </w:tcPr>
          <w:p w14:paraId="207229AF"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7D1296">
              <w:rPr>
                <w:rFonts w:asciiTheme="minorHAnsi" w:hAnsiTheme="minorHAnsi"/>
                <w:color w:val="000000"/>
                <w:sz w:val="18"/>
                <w:szCs w:val="18"/>
              </w:rPr>
              <w:t>-</w:t>
            </w:r>
          </w:p>
        </w:tc>
        <w:tc>
          <w:tcPr>
            <w:tcW w:w="796" w:type="dxa"/>
            <w:shd w:val="clear" w:color="auto" w:fill="F2F2F2" w:themeFill="background1" w:themeFillShade="F2"/>
          </w:tcPr>
          <w:p w14:paraId="56B5E12F"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Pr>
                <w:rFonts w:asciiTheme="minorHAnsi" w:hAnsiTheme="minorHAnsi" w:cs="Times New Roman"/>
                <w:sz w:val="18"/>
                <w:szCs w:val="18"/>
                <w:lang w:eastAsia="en-IE"/>
              </w:rPr>
              <w:t>4</w:t>
            </w:r>
          </w:p>
        </w:tc>
        <w:tc>
          <w:tcPr>
            <w:tcW w:w="796" w:type="dxa"/>
            <w:shd w:val="clear" w:color="auto" w:fill="F2F2F2" w:themeFill="background1" w:themeFillShade="F2"/>
          </w:tcPr>
          <w:p w14:paraId="1A8CB446"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9156C2">
              <w:rPr>
                <w:rFonts w:asciiTheme="minorHAnsi" w:hAnsiTheme="minorHAnsi" w:cs="Times New Roman"/>
                <w:sz w:val="18"/>
                <w:szCs w:val="18"/>
                <w:lang w:eastAsia="en-IE"/>
              </w:rPr>
              <w:t>10</w:t>
            </w:r>
          </w:p>
        </w:tc>
      </w:tr>
      <w:tr w:rsidR="00E223C0" w:rsidRPr="00185E5E" w14:paraId="5161D831" w14:textId="77777777" w:rsidTr="00DE428D">
        <w:trPr>
          <w:trHeight w:val="231"/>
        </w:trPr>
        <w:tc>
          <w:tcPr>
            <w:tcW w:w="4293" w:type="dxa"/>
            <w:vAlign w:val="center"/>
          </w:tcPr>
          <w:p w14:paraId="6AC2C6D0"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olor w:val="000000"/>
                <w:sz w:val="18"/>
                <w:szCs w:val="18"/>
              </w:rPr>
            </w:pPr>
            <w:r>
              <w:rPr>
                <w:rFonts w:asciiTheme="minorHAnsi" w:hAnsiTheme="minorHAnsi"/>
                <w:color w:val="000000"/>
                <w:sz w:val="18"/>
                <w:szCs w:val="18"/>
              </w:rPr>
              <w:t xml:space="preserve">Other </w:t>
            </w:r>
          </w:p>
        </w:tc>
        <w:tc>
          <w:tcPr>
            <w:tcW w:w="805" w:type="dxa"/>
            <w:shd w:val="clear" w:color="auto" w:fill="F2F2F2" w:themeFill="background1" w:themeFillShade="F2"/>
          </w:tcPr>
          <w:p w14:paraId="4D51F6D9"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Pr>
                <w:rFonts w:asciiTheme="minorHAnsi" w:hAnsiTheme="minorHAnsi" w:cs="Times New Roman"/>
                <w:sz w:val="18"/>
                <w:szCs w:val="18"/>
                <w:lang w:eastAsia="en-IE"/>
              </w:rPr>
              <w:t>3</w:t>
            </w:r>
          </w:p>
        </w:tc>
        <w:tc>
          <w:tcPr>
            <w:tcW w:w="786" w:type="dxa"/>
            <w:shd w:val="clear" w:color="auto" w:fill="F2F2F2" w:themeFill="background1" w:themeFillShade="F2"/>
          </w:tcPr>
          <w:p w14:paraId="5C77C224"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w:t>
            </w:r>
          </w:p>
        </w:tc>
        <w:tc>
          <w:tcPr>
            <w:tcW w:w="636" w:type="dxa"/>
            <w:vAlign w:val="center"/>
          </w:tcPr>
          <w:p w14:paraId="795FBAB6"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Pr>
                <w:rFonts w:asciiTheme="minorHAnsi" w:hAnsiTheme="minorHAnsi"/>
                <w:color w:val="000000"/>
                <w:sz w:val="18"/>
                <w:szCs w:val="18"/>
              </w:rPr>
              <w:t>-</w:t>
            </w:r>
          </w:p>
        </w:tc>
        <w:tc>
          <w:tcPr>
            <w:tcW w:w="637" w:type="dxa"/>
            <w:vAlign w:val="center"/>
          </w:tcPr>
          <w:p w14:paraId="688ADDF0" w14:textId="77777777" w:rsidR="00E223C0" w:rsidRPr="00701B1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olor w:val="000000"/>
                <w:sz w:val="18"/>
                <w:szCs w:val="18"/>
              </w:rPr>
            </w:pPr>
            <w:r>
              <w:rPr>
                <w:rFonts w:asciiTheme="minorHAnsi" w:hAnsiTheme="minorHAnsi"/>
                <w:color w:val="000000"/>
                <w:sz w:val="18"/>
                <w:szCs w:val="18"/>
              </w:rPr>
              <w:t>-</w:t>
            </w:r>
          </w:p>
        </w:tc>
        <w:tc>
          <w:tcPr>
            <w:tcW w:w="796" w:type="dxa"/>
            <w:shd w:val="clear" w:color="auto" w:fill="F2F2F2" w:themeFill="background1" w:themeFillShade="F2"/>
          </w:tcPr>
          <w:p w14:paraId="327129EA"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Pr>
                <w:rFonts w:asciiTheme="minorHAnsi" w:hAnsiTheme="minorHAnsi" w:cs="Times New Roman"/>
                <w:sz w:val="18"/>
                <w:szCs w:val="18"/>
                <w:lang w:eastAsia="en-IE"/>
              </w:rPr>
              <w:t>3</w:t>
            </w:r>
          </w:p>
        </w:tc>
        <w:tc>
          <w:tcPr>
            <w:tcW w:w="796" w:type="dxa"/>
            <w:shd w:val="clear" w:color="auto" w:fill="F2F2F2" w:themeFill="background1" w:themeFillShade="F2"/>
          </w:tcPr>
          <w:p w14:paraId="3A61B4CC" w14:textId="77777777" w:rsidR="00E223C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w:t>
            </w:r>
          </w:p>
        </w:tc>
      </w:tr>
      <w:tr w:rsidR="00E223C0" w:rsidRPr="00185E5E" w14:paraId="54695202" w14:textId="77777777" w:rsidTr="00DE428D">
        <w:trPr>
          <w:trHeight w:val="231"/>
        </w:trPr>
        <w:tc>
          <w:tcPr>
            <w:tcW w:w="4293" w:type="dxa"/>
            <w:vAlign w:val="center"/>
          </w:tcPr>
          <w:p w14:paraId="31AFA0B9"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olor w:val="000000"/>
                <w:sz w:val="18"/>
                <w:szCs w:val="18"/>
              </w:rPr>
            </w:pPr>
            <w:r>
              <w:rPr>
                <w:rFonts w:asciiTheme="minorHAnsi" w:hAnsiTheme="minorHAnsi"/>
                <w:color w:val="000000"/>
                <w:sz w:val="18"/>
                <w:szCs w:val="18"/>
              </w:rPr>
              <w:t>Lease liabilities paid</w:t>
            </w:r>
          </w:p>
        </w:tc>
        <w:tc>
          <w:tcPr>
            <w:tcW w:w="805" w:type="dxa"/>
            <w:shd w:val="clear" w:color="auto" w:fill="F2F2F2" w:themeFill="background1" w:themeFillShade="F2"/>
          </w:tcPr>
          <w:p w14:paraId="39B5B9A4" w14:textId="77777777" w:rsidR="00E223C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Pr>
                <w:rFonts w:asciiTheme="minorHAnsi" w:hAnsiTheme="minorHAnsi" w:cs="Times New Roman"/>
                <w:b/>
                <w:sz w:val="18"/>
                <w:szCs w:val="18"/>
                <w:lang w:eastAsia="en-IE"/>
              </w:rPr>
              <w:t>-</w:t>
            </w:r>
          </w:p>
        </w:tc>
        <w:tc>
          <w:tcPr>
            <w:tcW w:w="786" w:type="dxa"/>
            <w:shd w:val="clear" w:color="auto" w:fill="F2F2F2" w:themeFill="background1" w:themeFillShade="F2"/>
          </w:tcPr>
          <w:p w14:paraId="0B9F99A7"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w:t>
            </w:r>
          </w:p>
        </w:tc>
        <w:tc>
          <w:tcPr>
            <w:tcW w:w="636" w:type="dxa"/>
            <w:vAlign w:val="center"/>
          </w:tcPr>
          <w:p w14:paraId="04D663AE" w14:textId="77777777" w:rsidR="00E223C0" w:rsidRPr="00D8682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(41)</w:t>
            </w:r>
          </w:p>
        </w:tc>
        <w:tc>
          <w:tcPr>
            <w:tcW w:w="637" w:type="dxa"/>
            <w:vAlign w:val="center"/>
          </w:tcPr>
          <w:p w14:paraId="2FBAACAE" w14:textId="77777777" w:rsidR="00E223C0" w:rsidRPr="00701B1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olor w:val="000000"/>
                <w:sz w:val="18"/>
                <w:szCs w:val="18"/>
              </w:rPr>
            </w:pPr>
            <w:r>
              <w:rPr>
                <w:rFonts w:asciiTheme="minorHAnsi" w:hAnsiTheme="minorHAnsi"/>
                <w:color w:val="000000"/>
                <w:sz w:val="18"/>
                <w:szCs w:val="18"/>
              </w:rPr>
              <w:t>-</w:t>
            </w:r>
          </w:p>
        </w:tc>
        <w:tc>
          <w:tcPr>
            <w:tcW w:w="796" w:type="dxa"/>
            <w:shd w:val="clear" w:color="auto" w:fill="F2F2F2" w:themeFill="background1" w:themeFillShade="F2"/>
          </w:tcPr>
          <w:p w14:paraId="277F57F8" w14:textId="77777777" w:rsidR="00E223C0" w:rsidRPr="00D8682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(41)</w:t>
            </w:r>
          </w:p>
        </w:tc>
        <w:tc>
          <w:tcPr>
            <w:tcW w:w="796" w:type="dxa"/>
            <w:shd w:val="clear" w:color="auto" w:fill="F2F2F2" w:themeFill="background1" w:themeFillShade="F2"/>
          </w:tcPr>
          <w:p w14:paraId="5B5E86E1" w14:textId="77777777" w:rsidR="00E223C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w:t>
            </w:r>
          </w:p>
        </w:tc>
      </w:tr>
      <w:tr w:rsidR="00E223C0" w:rsidRPr="00185E5E" w14:paraId="419972C5" w14:textId="77777777" w:rsidTr="00DE428D">
        <w:trPr>
          <w:trHeight w:val="231"/>
        </w:trPr>
        <w:tc>
          <w:tcPr>
            <w:tcW w:w="4293" w:type="dxa"/>
            <w:vAlign w:val="center"/>
          </w:tcPr>
          <w:p w14:paraId="677C029F"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8"/>
                <w:szCs w:val="18"/>
                <w:lang w:eastAsia="en-IE"/>
              </w:rPr>
            </w:pPr>
            <w:r w:rsidRPr="00064C74">
              <w:rPr>
                <w:rFonts w:asciiTheme="minorHAnsi" w:hAnsiTheme="minorHAnsi"/>
                <w:color w:val="000000"/>
                <w:sz w:val="18"/>
                <w:szCs w:val="18"/>
              </w:rPr>
              <w:t>Net amounts drawn down / (repaid) on borrowings</w:t>
            </w:r>
          </w:p>
        </w:tc>
        <w:tc>
          <w:tcPr>
            <w:tcW w:w="805" w:type="dxa"/>
            <w:shd w:val="clear" w:color="auto" w:fill="F2F2F2" w:themeFill="background1" w:themeFillShade="F2"/>
          </w:tcPr>
          <w:p w14:paraId="1B7D7D2F"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Pr>
                <w:rFonts w:asciiTheme="minorHAnsi" w:hAnsiTheme="minorHAnsi" w:cs="Times New Roman"/>
                <w:b/>
                <w:sz w:val="18"/>
                <w:szCs w:val="18"/>
                <w:lang w:eastAsia="en-IE"/>
              </w:rPr>
              <w:t>-</w:t>
            </w:r>
          </w:p>
        </w:tc>
        <w:tc>
          <w:tcPr>
            <w:tcW w:w="786" w:type="dxa"/>
            <w:shd w:val="clear" w:color="auto" w:fill="F2F2F2" w:themeFill="background1" w:themeFillShade="F2"/>
          </w:tcPr>
          <w:p w14:paraId="38382B5F"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2D47C8">
              <w:rPr>
                <w:rFonts w:asciiTheme="minorHAnsi" w:hAnsiTheme="minorHAnsi" w:cs="Times New Roman"/>
                <w:sz w:val="18"/>
                <w:szCs w:val="18"/>
                <w:lang w:eastAsia="en-IE"/>
              </w:rPr>
              <w:t>-</w:t>
            </w:r>
          </w:p>
        </w:tc>
        <w:tc>
          <w:tcPr>
            <w:tcW w:w="636" w:type="dxa"/>
            <w:vAlign w:val="center"/>
          </w:tcPr>
          <w:p w14:paraId="5DE4B74C"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D86829">
              <w:rPr>
                <w:rFonts w:asciiTheme="minorHAnsi" w:hAnsiTheme="minorHAnsi" w:cs="Times New Roman"/>
                <w:sz w:val="18"/>
                <w:szCs w:val="18"/>
                <w:lang w:eastAsia="en-IE"/>
              </w:rPr>
              <w:t>8</w:t>
            </w:r>
            <w:r>
              <w:rPr>
                <w:rFonts w:asciiTheme="minorHAnsi" w:hAnsiTheme="minorHAnsi" w:cs="Times New Roman"/>
                <w:sz w:val="18"/>
                <w:szCs w:val="18"/>
                <w:lang w:eastAsia="en-IE"/>
              </w:rPr>
              <w:t>8</w:t>
            </w:r>
          </w:p>
        </w:tc>
        <w:tc>
          <w:tcPr>
            <w:tcW w:w="637" w:type="dxa"/>
            <w:vAlign w:val="center"/>
          </w:tcPr>
          <w:p w14:paraId="2A58CC02"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701B11">
              <w:rPr>
                <w:rFonts w:asciiTheme="minorHAnsi" w:hAnsiTheme="minorHAnsi"/>
                <w:color w:val="000000"/>
                <w:sz w:val="18"/>
                <w:szCs w:val="18"/>
              </w:rPr>
              <w:t>223</w:t>
            </w:r>
          </w:p>
        </w:tc>
        <w:tc>
          <w:tcPr>
            <w:tcW w:w="796" w:type="dxa"/>
            <w:shd w:val="clear" w:color="auto" w:fill="F2F2F2" w:themeFill="background1" w:themeFillShade="F2"/>
          </w:tcPr>
          <w:p w14:paraId="2B9723B2"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sidRPr="00D86829">
              <w:rPr>
                <w:rFonts w:asciiTheme="minorHAnsi" w:hAnsiTheme="minorHAnsi" w:cs="Times New Roman"/>
                <w:sz w:val="18"/>
                <w:szCs w:val="18"/>
                <w:lang w:eastAsia="en-IE"/>
              </w:rPr>
              <w:t>8</w:t>
            </w:r>
            <w:r>
              <w:rPr>
                <w:rFonts w:asciiTheme="minorHAnsi" w:hAnsiTheme="minorHAnsi" w:cs="Times New Roman"/>
                <w:sz w:val="18"/>
                <w:szCs w:val="18"/>
                <w:lang w:eastAsia="en-IE"/>
              </w:rPr>
              <w:t>8</w:t>
            </w:r>
          </w:p>
        </w:tc>
        <w:tc>
          <w:tcPr>
            <w:tcW w:w="796" w:type="dxa"/>
            <w:shd w:val="clear" w:color="auto" w:fill="F2F2F2" w:themeFill="background1" w:themeFillShade="F2"/>
          </w:tcPr>
          <w:p w14:paraId="60413BA1"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223</w:t>
            </w:r>
          </w:p>
        </w:tc>
      </w:tr>
      <w:tr w:rsidR="00E223C0" w:rsidRPr="00185E5E" w14:paraId="6851FCED" w14:textId="77777777" w:rsidTr="00DE428D">
        <w:trPr>
          <w:trHeight w:val="231"/>
        </w:trPr>
        <w:tc>
          <w:tcPr>
            <w:tcW w:w="4293" w:type="dxa"/>
            <w:vAlign w:val="center"/>
          </w:tcPr>
          <w:p w14:paraId="36D4BCE5"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8"/>
                <w:szCs w:val="18"/>
                <w:lang w:eastAsia="en-IE"/>
              </w:rPr>
            </w:pPr>
            <w:r w:rsidRPr="00064C74">
              <w:rPr>
                <w:rFonts w:asciiTheme="minorHAnsi" w:hAnsiTheme="minorHAnsi"/>
                <w:b/>
                <w:bCs/>
                <w:color w:val="000000"/>
                <w:sz w:val="18"/>
                <w:szCs w:val="18"/>
              </w:rPr>
              <w:t xml:space="preserve">Net </w:t>
            </w:r>
            <w:r>
              <w:rPr>
                <w:rFonts w:asciiTheme="minorHAnsi" w:hAnsiTheme="minorHAnsi"/>
                <w:b/>
                <w:bCs/>
                <w:color w:val="000000"/>
                <w:sz w:val="18"/>
                <w:szCs w:val="18"/>
              </w:rPr>
              <w:t>(decrease)</w:t>
            </w:r>
            <w:r w:rsidRPr="00064C74">
              <w:rPr>
                <w:rFonts w:asciiTheme="minorHAnsi" w:hAnsiTheme="minorHAnsi"/>
                <w:b/>
                <w:bCs/>
                <w:color w:val="000000"/>
                <w:sz w:val="18"/>
                <w:szCs w:val="18"/>
              </w:rPr>
              <w:t>/increase in cash</w:t>
            </w:r>
          </w:p>
        </w:tc>
        <w:tc>
          <w:tcPr>
            <w:tcW w:w="805" w:type="dxa"/>
            <w:shd w:val="clear" w:color="auto" w:fill="F2F2F2" w:themeFill="background1" w:themeFillShade="F2"/>
          </w:tcPr>
          <w:p w14:paraId="1A5F620E" w14:textId="7AB34258"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Pr>
                <w:rFonts w:asciiTheme="minorHAnsi" w:hAnsiTheme="minorHAnsi" w:cs="Times New Roman"/>
                <w:b/>
                <w:sz w:val="18"/>
                <w:szCs w:val="18"/>
                <w:lang w:eastAsia="en-IE"/>
              </w:rPr>
              <w:t>(</w:t>
            </w:r>
            <w:r w:rsidR="00FF0FD0">
              <w:rPr>
                <w:rFonts w:asciiTheme="minorHAnsi" w:hAnsiTheme="minorHAnsi" w:cs="Times New Roman"/>
                <w:b/>
                <w:sz w:val="18"/>
                <w:szCs w:val="18"/>
                <w:lang w:eastAsia="en-IE"/>
              </w:rPr>
              <w:t>104</w:t>
            </w:r>
            <w:r>
              <w:rPr>
                <w:rFonts w:asciiTheme="minorHAnsi" w:hAnsiTheme="minorHAnsi" w:cs="Times New Roman"/>
                <w:b/>
                <w:sz w:val="18"/>
                <w:szCs w:val="18"/>
                <w:lang w:eastAsia="en-IE"/>
              </w:rPr>
              <w:t>)</w:t>
            </w:r>
          </w:p>
        </w:tc>
        <w:tc>
          <w:tcPr>
            <w:tcW w:w="786" w:type="dxa"/>
            <w:shd w:val="clear" w:color="auto" w:fill="F2F2F2" w:themeFill="background1" w:themeFillShade="F2"/>
          </w:tcPr>
          <w:p w14:paraId="584163CA"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2D47C8">
              <w:rPr>
                <w:rFonts w:asciiTheme="minorHAnsi" w:hAnsiTheme="minorHAnsi" w:cs="Times New Roman"/>
                <w:b/>
                <w:sz w:val="18"/>
                <w:szCs w:val="18"/>
                <w:lang w:eastAsia="en-IE"/>
              </w:rPr>
              <w:t>(403)</w:t>
            </w:r>
          </w:p>
        </w:tc>
        <w:tc>
          <w:tcPr>
            <w:tcW w:w="636" w:type="dxa"/>
            <w:vAlign w:val="center"/>
          </w:tcPr>
          <w:p w14:paraId="5F9E18C5"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D86829">
              <w:rPr>
                <w:rFonts w:asciiTheme="minorHAnsi" w:hAnsiTheme="minorHAnsi" w:cs="Times New Roman"/>
                <w:b/>
                <w:sz w:val="18"/>
                <w:szCs w:val="18"/>
                <w:lang w:eastAsia="en-IE"/>
              </w:rPr>
              <w:t>8</w:t>
            </w:r>
            <w:r>
              <w:rPr>
                <w:rFonts w:asciiTheme="minorHAnsi" w:hAnsiTheme="minorHAnsi" w:cs="Times New Roman"/>
                <w:b/>
                <w:sz w:val="18"/>
                <w:szCs w:val="18"/>
                <w:lang w:eastAsia="en-IE"/>
              </w:rPr>
              <w:t>8</w:t>
            </w:r>
          </w:p>
        </w:tc>
        <w:tc>
          <w:tcPr>
            <w:tcW w:w="637" w:type="dxa"/>
            <w:vAlign w:val="center"/>
          </w:tcPr>
          <w:p w14:paraId="4F2915FB"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701B11">
              <w:rPr>
                <w:rFonts w:asciiTheme="minorHAnsi" w:hAnsiTheme="minorHAnsi"/>
                <w:b/>
                <w:bCs/>
                <w:color w:val="000000"/>
                <w:sz w:val="18"/>
                <w:szCs w:val="18"/>
              </w:rPr>
              <w:t>223</w:t>
            </w:r>
          </w:p>
        </w:tc>
        <w:tc>
          <w:tcPr>
            <w:tcW w:w="796" w:type="dxa"/>
            <w:shd w:val="clear" w:color="auto" w:fill="F2F2F2" w:themeFill="background1" w:themeFillShade="F2"/>
          </w:tcPr>
          <w:p w14:paraId="763D24E8"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sidRPr="00D86829">
              <w:rPr>
                <w:rFonts w:asciiTheme="minorHAnsi" w:hAnsiTheme="minorHAnsi" w:cs="Times New Roman"/>
                <w:b/>
                <w:sz w:val="18"/>
                <w:szCs w:val="18"/>
                <w:lang w:eastAsia="en-IE"/>
              </w:rPr>
              <w:t>(1</w:t>
            </w:r>
            <w:r>
              <w:rPr>
                <w:rFonts w:asciiTheme="minorHAnsi" w:hAnsiTheme="minorHAnsi" w:cs="Times New Roman"/>
                <w:b/>
                <w:sz w:val="18"/>
                <w:szCs w:val="18"/>
                <w:lang w:eastAsia="en-IE"/>
              </w:rPr>
              <w:t>6</w:t>
            </w:r>
            <w:r w:rsidRPr="00D86829">
              <w:rPr>
                <w:rFonts w:asciiTheme="minorHAnsi" w:hAnsiTheme="minorHAnsi" w:cs="Times New Roman"/>
                <w:b/>
                <w:sz w:val="18"/>
                <w:szCs w:val="18"/>
                <w:lang w:eastAsia="en-IE"/>
              </w:rPr>
              <w:t>)</w:t>
            </w:r>
          </w:p>
        </w:tc>
        <w:tc>
          <w:tcPr>
            <w:tcW w:w="796" w:type="dxa"/>
            <w:shd w:val="clear" w:color="auto" w:fill="F2F2F2" w:themeFill="background1" w:themeFillShade="F2"/>
          </w:tcPr>
          <w:p w14:paraId="22BDD99C"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9156C2">
              <w:rPr>
                <w:rFonts w:asciiTheme="minorHAnsi" w:hAnsiTheme="minorHAnsi" w:cs="Times New Roman"/>
                <w:b/>
                <w:sz w:val="18"/>
                <w:szCs w:val="18"/>
                <w:lang w:eastAsia="en-IE"/>
              </w:rPr>
              <w:t>(</w:t>
            </w:r>
            <w:r>
              <w:rPr>
                <w:rFonts w:asciiTheme="minorHAnsi" w:hAnsiTheme="minorHAnsi" w:cs="Times New Roman"/>
                <w:b/>
                <w:sz w:val="18"/>
                <w:szCs w:val="18"/>
                <w:lang w:eastAsia="en-IE"/>
              </w:rPr>
              <w:t>180</w:t>
            </w:r>
            <w:r w:rsidRPr="009156C2">
              <w:rPr>
                <w:rFonts w:asciiTheme="minorHAnsi" w:hAnsiTheme="minorHAnsi" w:cs="Times New Roman"/>
                <w:b/>
                <w:sz w:val="18"/>
                <w:szCs w:val="18"/>
                <w:lang w:eastAsia="en-IE"/>
              </w:rPr>
              <w:t>)</w:t>
            </w:r>
          </w:p>
        </w:tc>
      </w:tr>
      <w:tr w:rsidR="00E223C0" w:rsidRPr="00185E5E" w14:paraId="6E496FF2" w14:textId="77777777" w:rsidTr="00DE428D">
        <w:trPr>
          <w:trHeight w:val="178"/>
        </w:trPr>
        <w:tc>
          <w:tcPr>
            <w:tcW w:w="4293" w:type="dxa"/>
            <w:vAlign w:val="center"/>
          </w:tcPr>
          <w:p w14:paraId="2C610656" w14:textId="77777777" w:rsidR="00E223C0" w:rsidRPr="000B76DA"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2"/>
                <w:szCs w:val="12"/>
                <w:lang w:eastAsia="en-IE"/>
              </w:rPr>
            </w:pPr>
            <w:r w:rsidRPr="000B76DA">
              <w:rPr>
                <w:rFonts w:asciiTheme="minorHAnsi" w:hAnsiTheme="minorHAnsi"/>
                <w:color w:val="000000"/>
                <w:sz w:val="12"/>
                <w:szCs w:val="12"/>
              </w:rPr>
              <w:t> </w:t>
            </w:r>
          </w:p>
        </w:tc>
        <w:tc>
          <w:tcPr>
            <w:tcW w:w="805" w:type="dxa"/>
            <w:shd w:val="clear" w:color="auto" w:fill="F2F2F2" w:themeFill="background1" w:themeFillShade="F2"/>
          </w:tcPr>
          <w:p w14:paraId="213CDCD9" w14:textId="77777777" w:rsidR="00E223C0" w:rsidRPr="000B76DA"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2"/>
                <w:szCs w:val="12"/>
                <w:lang w:eastAsia="en-IE"/>
              </w:rPr>
            </w:pPr>
          </w:p>
        </w:tc>
        <w:tc>
          <w:tcPr>
            <w:tcW w:w="786" w:type="dxa"/>
            <w:shd w:val="clear" w:color="auto" w:fill="F2F2F2" w:themeFill="background1" w:themeFillShade="F2"/>
          </w:tcPr>
          <w:p w14:paraId="36F12EE0" w14:textId="77777777" w:rsidR="00E223C0" w:rsidRPr="000B76DA"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2"/>
                <w:szCs w:val="12"/>
                <w:lang w:eastAsia="en-IE"/>
              </w:rPr>
            </w:pPr>
          </w:p>
        </w:tc>
        <w:tc>
          <w:tcPr>
            <w:tcW w:w="636" w:type="dxa"/>
            <w:vAlign w:val="center"/>
          </w:tcPr>
          <w:p w14:paraId="5DA00A22" w14:textId="77777777" w:rsidR="00E223C0" w:rsidRPr="000B76DA"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2"/>
                <w:szCs w:val="12"/>
                <w:lang w:eastAsia="en-IE"/>
              </w:rPr>
            </w:pPr>
          </w:p>
        </w:tc>
        <w:tc>
          <w:tcPr>
            <w:tcW w:w="637" w:type="dxa"/>
            <w:vAlign w:val="center"/>
          </w:tcPr>
          <w:p w14:paraId="5FB1B47C" w14:textId="77777777" w:rsidR="00E223C0" w:rsidRPr="000B76DA"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2"/>
                <w:szCs w:val="12"/>
                <w:lang w:eastAsia="en-IE"/>
              </w:rPr>
            </w:pPr>
            <w:r w:rsidRPr="000B76DA">
              <w:rPr>
                <w:rFonts w:asciiTheme="minorHAnsi" w:hAnsiTheme="minorHAnsi"/>
                <w:color w:val="000000"/>
                <w:sz w:val="12"/>
                <w:szCs w:val="12"/>
              </w:rPr>
              <w:t> </w:t>
            </w:r>
          </w:p>
        </w:tc>
        <w:tc>
          <w:tcPr>
            <w:tcW w:w="796" w:type="dxa"/>
            <w:shd w:val="clear" w:color="auto" w:fill="F2F2F2" w:themeFill="background1" w:themeFillShade="F2"/>
          </w:tcPr>
          <w:p w14:paraId="3F65D5BC" w14:textId="77777777" w:rsidR="00E223C0" w:rsidRPr="000B76DA"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2"/>
                <w:szCs w:val="12"/>
                <w:highlight w:val="yellow"/>
                <w:lang w:eastAsia="en-IE"/>
              </w:rPr>
            </w:pPr>
          </w:p>
        </w:tc>
        <w:tc>
          <w:tcPr>
            <w:tcW w:w="796" w:type="dxa"/>
            <w:shd w:val="clear" w:color="auto" w:fill="F2F2F2" w:themeFill="background1" w:themeFillShade="F2"/>
          </w:tcPr>
          <w:p w14:paraId="40C55B39" w14:textId="77777777" w:rsidR="00E223C0" w:rsidRPr="000B76DA"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2"/>
                <w:szCs w:val="12"/>
                <w:lang w:eastAsia="en-IE"/>
              </w:rPr>
            </w:pPr>
          </w:p>
        </w:tc>
      </w:tr>
      <w:tr w:rsidR="00E223C0" w:rsidRPr="00185E5E" w14:paraId="55698818" w14:textId="77777777" w:rsidTr="00DE428D">
        <w:trPr>
          <w:trHeight w:val="231"/>
        </w:trPr>
        <w:tc>
          <w:tcPr>
            <w:tcW w:w="4293" w:type="dxa"/>
            <w:vAlign w:val="center"/>
          </w:tcPr>
          <w:p w14:paraId="125899BE"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8"/>
                <w:szCs w:val="18"/>
                <w:lang w:eastAsia="en-IE"/>
              </w:rPr>
            </w:pPr>
            <w:r w:rsidRPr="00064C74">
              <w:rPr>
                <w:rFonts w:asciiTheme="minorHAnsi" w:hAnsiTheme="minorHAnsi"/>
                <w:b/>
                <w:bCs/>
                <w:color w:val="000000"/>
                <w:sz w:val="18"/>
                <w:szCs w:val="18"/>
              </w:rPr>
              <w:t>Net cash at start of the year</w:t>
            </w:r>
          </w:p>
        </w:tc>
        <w:tc>
          <w:tcPr>
            <w:tcW w:w="805" w:type="dxa"/>
            <w:shd w:val="clear" w:color="auto" w:fill="F2F2F2" w:themeFill="background1" w:themeFillShade="F2"/>
          </w:tcPr>
          <w:p w14:paraId="6C0EC731"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Pr>
                <w:rFonts w:asciiTheme="minorHAnsi" w:hAnsiTheme="minorHAnsi" w:cs="Times New Roman"/>
                <w:b/>
                <w:sz w:val="18"/>
                <w:szCs w:val="18"/>
                <w:lang w:eastAsia="en-IE"/>
              </w:rPr>
              <w:t>(162)</w:t>
            </w:r>
          </w:p>
        </w:tc>
        <w:tc>
          <w:tcPr>
            <w:tcW w:w="786" w:type="dxa"/>
            <w:shd w:val="clear" w:color="auto" w:fill="F2F2F2" w:themeFill="background1" w:themeFillShade="F2"/>
          </w:tcPr>
          <w:p w14:paraId="0DFC9359"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2D47C8">
              <w:rPr>
                <w:rFonts w:asciiTheme="minorHAnsi" w:hAnsiTheme="minorHAnsi" w:cs="Times New Roman"/>
                <w:b/>
                <w:sz w:val="18"/>
                <w:szCs w:val="18"/>
                <w:lang w:eastAsia="en-IE"/>
              </w:rPr>
              <w:t>244</w:t>
            </w:r>
          </w:p>
        </w:tc>
        <w:tc>
          <w:tcPr>
            <w:tcW w:w="636" w:type="dxa"/>
            <w:vAlign w:val="center"/>
          </w:tcPr>
          <w:p w14:paraId="2DAD6A37"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Pr>
                <w:rFonts w:asciiTheme="minorHAnsi" w:hAnsiTheme="minorHAnsi" w:cs="Times New Roman"/>
                <w:b/>
                <w:sz w:val="18"/>
                <w:szCs w:val="18"/>
                <w:lang w:eastAsia="en-IE"/>
              </w:rPr>
              <w:t>285</w:t>
            </w:r>
          </w:p>
        </w:tc>
        <w:tc>
          <w:tcPr>
            <w:tcW w:w="637" w:type="dxa"/>
            <w:vAlign w:val="center"/>
          </w:tcPr>
          <w:p w14:paraId="70D09240"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701B11">
              <w:rPr>
                <w:rFonts w:asciiTheme="minorHAnsi" w:hAnsiTheme="minorHAnsi"/>
                <w:b/>
                <w:bCs/>
                <w:color w:val="000000"/>
                <w:sz w:val="18"/>
                <w:szCs w:val="18"/>
              </w:rPr>
              <w:t>62</w:t>
            </w:r>
          </w:p>
        </w:tc>
        <w:tc>
          <w:tcPr>
            <w:tcW w:w="796" w:type="dxa"/>
            <w:shd w:val="clear" w:color="auto" w:fill="F2F2F2" w:themeFill="background1" w:themeFillShade="F2"/>
          </w:tcPr>
          <w:p w14:paraId="0C878C07"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sidRPr="00D86829">
              <w:rPr>
                <w:rFonts w:asciiTheme="minorHAnsi" w:hAnsiTheme="minorHAnsi" w:cs="Times New Roman"/>
                <w:b/>
                <w:sz w:val="18"/>
                <w:szCs w:val="18"/>
                <w:lang w:eastAsia="en-IE"/>
              </w:rPr>
              <w:t>124</w:t>
            </w:r>
          </w:p>
        </w:tc>
        <w:tc>
          <w:tcPr>
            <w:tcW w:w="796" w:type="dxa"/>
            <w:shd w:val="clear" w:color="auto" w:fill="F2F2F2" w:themeFill="background1" w:themeFillShade="F2"/>
          </w:tcPr>
          <w:p w14:paraId="471395E0"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b/>
                <w:sz w:val="18"/>
                <w:szCs w:val="18"/>
                <w:lang w:eastAsia="en-IE"/>
              </w:rPr>
              <w:t>307</w:t>
            </w:r>
          </w:p>
        </w:tc>
      </w:tr>
      <w:tr w:rsidR="00E223C0" w:rsidRPr="00185E5E" w14:paraId="5FE3FC22" w14:textId="77777777" w:rsidTr="00DE428D">
        <w:trPr>
          <w:trHeight w:val="231"/>
        </w:trPr>
        <w:tc>
          <w:tcPr>
            <w:tcW w:w="4293" w:type="dxa"/>
            <w:vAlign w:val="center"/>
          </w:tcPr>
          <w:p w14:paraId="4C96D2C4"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8"/>
                <w:szCs w:val="18"/>
                <w:lang w:eastAsia="en-IE"/>
              </w:rPr>
            </w:pPr>
            <w:r w:rsidRPr="00064C74">
              <w:rPr>
                <w:rFonts w:asciiTheme="minorHAnsi" w:hAnsiTheme="minorHAnsi"/>
                <w:color w:val="000000"/>
                <w:sz w:val="18"/>
                <w:szCs w:val="18"/>
              </w:rPr>
              <w:t>Foreign currency exchange translation</w:t>
            </w:r>
          </w:p>
        </w:tc>
        <w:tc>
          <w:tcPr>
            <w:tcW w:w="805" w:type="dxa"/>
            <w:shd w:val="clear" w:color="auto" w:fill="F2F2F2" w:themeFill="background1" w:themeFillShade="F2"/>
          </w:tcPr>
          <w:p w14:paraId="51207F12"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1</w:t>
            </w:r>
          </w:p>
        </w:tc>
        <w:tc>
          <w:tcPr>
            <w:tcW w:w="786" w:type="dxa"/>
            <w:shd w:val="clear" w:color="auto" w:fill="F2F2F2" w:themeFill="background1" w:themeFillShade="F2"/>
          </w:tcPr>
          <w:p w14:paraId="66B7B585"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2D47C8">
              <w:rPr>
                <w:rFonts w:asciiTheme="minorHAnsi" w:hAnsiTheme="minorHAnsi" w:cs="Times New Roman"/>
                <w:sz w:val="18"/>
                <w:szCs w:val="18"/>
                <w:lang w:eastAsia="en-IE"/>
              </w:rPr>
              <w:t>(2)</w:t>
            </w:r>
          </w:p>
        </w:tc>
        <w:tc>
          <w:tcPr>
            <w:tcW w:w="636" w:type="dxa"/>
            <w:vAlign w:val="center"/>
          </w:tcPr>
          <w:p w14:paraId="30BBA34F"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Pr>
                <w:rFonts w:asciiTheme="minorHAnsi" w:hAnsiTheme="minorHAnsi" w:cs="Times New Roman"/>
                <w:sz w:val="18"/>
                <w:szCs w:val="18"/>
                <w:lang w:eastAsia="en-IE"/>
              </w:rPr>
              <w:t>(1)</w:t>
            </w:r>
          </w:p>
        </w:tc>
        <w:tc>
          <w:tcPr>
            <w:tcW w:w="637" w:type="dxa"/>
            <w:vAlign w:val="center"/>
          </w:tcPr>
          <w:p w14:paraId="2974C812"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2D47C8">
              <w:rPr>
                <w:rFonts w:asciiTheme="minorHAnsi" w:hAnsiTheme="minorHAnsi" w:cs="Times New Roman"/>
                <w:sz w:val="18"/>
                <w:szCs w:val="18"/>
                <w:lang w:eastAsia="en-IE"/>
              </w:rPr>
              <w:t>(1)</w:t>
            </w:r>
          </w:p>
        </w:tc>
        <w:tc>
          <w:tcPr>
            <w:tcW w:w="796" w:type="dxa"/>
            <w:shd w:val="clear" w:color="auto" w:fill="F2F2F2" w:themeFill="background1" w:themeFillShade="F2"/>
          </w:tcPr>
          <w:p w14:paraId="002C2120" w14:textId="77777777" w:rsidR="00E223C0" w:rsidRPr="00701B1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highlight w:val="yellow"/>
                <w:lang w:eastAsia="en-IE"/>
              </w:rPr>
            </w:pPr>
            <w:r>
              <w:rPr>
                <w:rFonts w:asciiTheme="minorHAnsi" w:hAnsiTheme="minorHAnsi" w:cs="Times New Roman"/>
                <w:sz w:val="18"/>
                <w:szCs w:val="18"/>
                <w:lang w:eastAsia="en-IE"/>
              </w:rPr>
              <w:t>-</w:t>
            </w:r>
          </w:p>
        </w:tc>
        <w:tc>
          <w:tcPr>
            <w:tcW w:w="796" w:type="dxa"/>
            <w:shd w:val="clear" w:color="auto" w:fill="F2F2F2" w:themeFill="background1" w:themeFillShade="F2"/>
          </w:tcPr>
          <w:p w14:paraId="37FF8026"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8"/>
                <w:szCs w:val="18"/>
                <w:lang w:eastAsia="en-IE"/>
              </w:rPr>
            </w:pPr>
            <w:r w:rsidRPr="002D47C8">
              <w:rPr>
                <w:rFonts w:asciiTheme="minorHAnsi" w:hAnsiTheme="minorHAnsi" w:cs="Times New Roman"/>
                <w:sz w:val="18"/>
                <w:szCs w:val="18"/>
                <w:lang w:eastAsia="en-IE"/>
              </w:rPr>
              <w:t>(3)</w:t>
            </w:r>
          </w:p>
        </w:tc>
      </w:tr>
      <w:tr w:rsidR="00E223C0" w:rsidRPr="00185E5E" w14:paraId="464A3047" w14:textId="77777777" w:rsidTr="00DE428D">
        <w:trPr>
          <w:trHeight w:val="231"/>
        </w:trPr>
        <w:tc>
          <w:tcPr>
            <w:tcW w:w="4293" w:type="dxa"/>
            <w:vAlign w:val="center"/>
          </w:tcPr>
          <w:p w14:paraId="484C93C5" w14:textId="77777777" w:rsidR="00E223C0" w:rsidRPr="00064C74"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8"/>
                <w:szCs w:val="18"/>
                <w:lang w:eastAsia="en-IE"/>
              </w:rPr>
            </w:pPr>
            <w:r w:rsidRPr="00064C74">
              <w:rPr>
                <w:rFonts w:asciiTheme="minorHAnsi" w:hAnsiTheme="minorHAnsi"/>
                <w:b/>
                <w:bCs/>
                <w:color w:val="000000"/>
                <w:sz w:val="18"/>
                <w:szCs w:val="18"/>
              </w:rPr>
              <w:t xml:space="preserve">Net </w:t>
            </w:r>
            <w:r>
              <w:rPr>
                <w:rFonts w:asciiTheme="minorHAnsi" w:hAnsiTheme="minorHAnsi"/>
                <w:b/>
                <w:bCs/>
                <w:color w:val="000000"/>
                <w:sz w:val="18"/>
                <w:szCs w:val="18"/>
              </w:rPr>
              <w:t>(debt)/</w:t>
            </w:r>
            <w:r w:rsidRPr="00064C74">
              <w:rPr>
                <w:rFonts w:asciiTheme="minorHAnsi" w:hAnsiTheme="minorHAnsi"/>
                <w:b/>
                <w:bCs/>
                <w:color w:val="000000"/>
                <w:sz w:val="18"/>
                <w:szCs w:val="18"/>
              </w:rPr>
              <w:t>cash at year end</w:t>
            </w:r>
          </w:p>
        </w:tc>
        <w:tc>
          <w:tcPr>
            <w:tcW w:w="805" w:type="dxa"/>
            <w:shd w:val="clear" w:color="auto" w:fill="F2F2F2" w:themeFill="background1" w:themeFillShade="F2"/>
          </w:tcPr>
          <w:p w14:paraId="3CCDCA3A" w14:textId="4A051C16"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Pr>
                <w:rFonts w:asciiTheme="minorHAnsi" w:hAnsiTheme="minorHAnsi" w:cs="Times New Roman"/>
                <w:b/>
                <w:sz w:val="18"/>
                <w:szCs w:val="18"/>
                <w:lang w:eastAsia="en-IE"/>
              </w:rPr>
              <w:t>(</w:t>
            </w:r>
            <w:r w:rsidR="00E52894">
              <w:rPr>
                <w:rFonts w:asciiTheme="minorHAnsi" w:hAnsiTheme="minorHAnsi" w:cs="Times New Roman"/>
                <w:b/>
                <w:sz w:val="18"/>
                <w:szCs w:val="18"/>
                <w:lang w:eastAsia="en-IE"/>
              </w:rPr>
              <w:t>265</w:t>
            </w:r>
            <w:r>
              <w:rPr>
                <w:rFonts w:asciiTheme="minorHAnsi" w:hAnsiTheme="minorHAnsi" w:cs="Times New Roman"/>
                <w:b/>
                <w:sz w:val="18"/>
                <w:szCs w:val="18"/>
                <w:lang w:eastAsia="en-IE"/>
              </w:rPr>
              <w:t>)</w:t>
            </w:r>
          </w:p>
        </w:tc>
        <w:tc>
          <w:tcPr>
            <w:tcW w:w="786" w:type="dxa"/>
            <w:shd w:val="clear" w:color="auto" w:fill="F2F2F2" w:themeFill="background1" w:themeFillShade="F2"/>
          </w:tcPr>
          <w:p w14:paraId="3DD3EEDC"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b/>
                <w:sz w:val="18"/>
                <w:szCs w:val="18"/>
                <w:lang w:eastAsia="en-IE"/>
              </w:rPr>
            </w:pPr>
            <w:r w:rsidRPr="002D47C8">
              <w:rPr>
                <w:rFonts w:asciiTheme="minorHAnsi" w:hAnsiTheme="minorHAnsi" w:cs="Times New Roman"/>
                <w:b/>
                <w:sz w:val="18"/>
                <w:szCs w:val="18"/>
                <w:lang w:eastAsia="en-IE"/>
              </w:rPr>
              <w:t xml:space="preserve"> </w:t>
            </w:r>
            <w:r>
              <w:rPr>
                <w:rFonts w:asciiTheme="minorHAnsi" w:hAnsiTheme="minorHAnsi" w:cs="Times New Roman"/>
                <w:b/>
                <w:sz w:val="18"/>
                <w:szCs w:val="18"/>
                <w:lang w:eastAsia="en-IE"/>
              </w:rPr>
              <w:t xml:space="preserve"> </w:t>
            </w:r>
            <w:r w:rsidRPr="002D47C8">
              <w:rPr>
                <w:rFonts w:asciiTheme="minorHAnsi" w:hAnsiTheme="minorHAnsi" w:cs="Times New Roman"/>
                <w:b/>
                <w:sz w:val="18"/>
                <w:szCs w:val="18"/>
                <w:lang w:eastAsia="en-IE"/>
              </w:rPr>
              <w:t xml:space="preserve"> </w:t>
            </w:r>
            <w:r>
              <w:rPr>
                <w:rFonts w:asciiTheme="minorHAnsi" w:hAnsiTheme="minorHAnsi" w:cs="Times New Roman"/>
                <w:b/>
                <w:sz w:val="18"/>
                <w:szCs w:val="18"/>
                <w:lang w:eastAsia="en-IE"/>
              </w:rPr>
              <w:t xml:space="preserve">    </w:t>
            </w:r>
            <w:r w:rsidRPr="002D47C8">
              <w:rPr>
                <w:rFonts w:asciiTheme="minorHAnsi" w:hAnsiTheme="minorHAnsi" w:cs="Times New Roman"/>
                <w:b/>
                <w:sz w:val="18"/>
                <w:szCs w:val="18"/>
                <w:lang w:eastAsia="en-IE"/>
              </w:rPr>
              <w:t>(162)</w:t>
            </w:r>
          </w:p>
        </w:tc>
        <w:tc>
          <w:tcPr>
            <w:tcW w:w="636" w:type="dxa"/>
            <w:vAlign w:val="center"/>
          </w:tcPr>
          <w:p w14:paraId="067F34F5" w14:textId="4113440B" w:rsidR="00E223C0" w:rsidRPr="002D47C8" w:rsidRDefault="00FF0FD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Pr>
                <w:rFonts w:asciiTheme="minorHAnsi" w:hAnsiTheme="minorHAnsi" w:cs="Times New Roman"/>
                <w:b/>
                <w:sz w:val="18"/>
                <w:szCs w:val="18"/>
                <w:lang w:eastAsia="en-IE"/>
              </w:rPr>
              <w:t>373</w:t>
            </w:r>
          </w:p>
        </w:tc>
        <w:tc>
          <w:tcPr>
            <w:tcW w:w="637" w:type="dxa"/>
            <w:vAlign w:val="center"/>
          </w:tcPr>
          <w:p w14:paraId="591F55F9" w14:textId="25B8F23B"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lang w:eastAsia="en-IE"/>
              </w:rPr>
            </w:pPr>
            <w:r w:rsidRPr="002D47C8">
              <w:rPr>
                <w:rFonts w:asciiTheme="minorHAnsi" w:hAnsiTheme="minorHAnsi"/>
                <w:b/>
                <w:color w:val="000000"/>
                <w:sz w:val="18"/>
                <w:szCs w:val="18"/>
              </w:rPr>
              <w:t>28</w:t>
            </w:r>
            <w:r>
              <w:rPr>
                <w:rFonts w:asciiTheme="minorHAnsi" w:hAnsiTheme="minorHAnsi"/>
                <w:b/>
                <w:color w:val="000000"/>
                <w:sz w:val="18"/>
                <w:szCs w:val="18"/>
              </w:rPr>
              <w:t>5</w:t>
            </w:r>
          </w:p>
        </w:tc>
        <w:tc>
          <w:tcPr>
            <w:tcW w:w="796" w:type="dxa"/>
            <w:shd w:val="clear" w:color="auto" w:fill="F2F2F2" w:themeFill="background1" w:themeFillShade="F2"/>
            <w:vAlign w:val="center"/>
          </w:tcPr>
          <w:p w14:paraId="2232096D" w14:textId="77777777" w:rsidR="00E223C0" w:rsidRPr="002D47C8"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8"/>
                <w:szCs w:val="18"/>
                <w:highlight w:val="yellow"/>
                <w:lang w:eastAsia="en-IE"/>
              </w:rPr>
            </w:pPr>
            <w:r w:rsidRPr="00D86829">
              <w:rPr>
                <w:rFonts w:asciiTheme="minorHAnsi" w:hAnsiTheme="minorHAnsi" w:cs="Times New Roman"/>
                <w:b/>
                <w:sz w:val="18"/>
                <w:szCs w:val="18"/>
                <w:lang w:eastAsia="en-IE"/>
              </w:rPr>
              <w:t>10</w:t>
            </w:r>
            <w:r>
              <w:rPr>
                <w:rFonts w:asciiTheme="minorHAnsi" w:hAnsiTheme="minorHAnsi" w:cs="Times New Roman"/>
                <w:b/>
                <w:sz w:val="18"/>
                <w:szCs w:val="18"/>
                <w:lang w:eastAsia="en-IE"/>
              </w:rPr>
              <w:t>8</w:t>
            </w:r>
          </w:p>
        </w:tc>
        <w:tc>
          <w:tcPr>
            <w:tcW w:w="796" w:type="dxa"/>
            <w:shd w:val="clear" w:color="auto" w:fill="F2F2F2" w:themeFill="background1" w:themeFillShade="F2"/>
            <w:vAlign w:val="center"/>
          </w:tcPr>
          <w:p w14:paraId="74A05783" w14:textId="77777777" w:rsidR="00E223C0" w:rsidRPr="007D129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sz w:val="18"/>
                <w:szCs w:val="18"/>
                <w:lang w:eastAsia="en-IE"/>
              </w:rPr>
            </w:pPr>
            <w:r>
              <w:rPr>
                <w:rFonts w:asciiTheme="minorHAnsi" w:hAnsiTheme="minorHAnsi" w:cs="Times New Roman"/>
                <w:sz w:val="18"/>
                <w:szCs w:val="18"/>
                <w:lang w:eastAsia="en-IE"/>
              </w:rPr>
              <w:t xml:space="preserve">        </w:t>
            </w:r>
            <w:r w:rsidRPr="002D47C8">
              <w:rPr>
                <w:rFonts w:asciiTheme="minorHAnsi" w:hAnsiTheme="minorHAnsi" w:cs="Times New Roman"/>
                <w:b/>
                <w:sz w:val="18"/>
                <w:szCs w:val="18"/>
                <w:lang w:eastAsia="en-IE"/>
              </w:rPr>
              <w:t>124</w:t>
            </w:r>
          </w:p>
        </w:tc>
      </w:tr>
    </w:tbl>
    <w:p w14:paraId="272AFF04" w14:textId="77777777" w:rsidR="00E223C0" w:rsidRDefault="00E223C0" w:rsidP="00E223C0">
      <w:pPr>
        <w:jc w:val="both"/>
        <w:rPr>
          <w:rFonts w:asciiTheme="minorHAnsi" w:hAnsiTheme="minorHAnsi"/>
          <w:b/>
          <w:sz w:val="22"/>
          <w:szCs w:val="22"/>
          <w:highlight w:val="yellow"/>
        </w:rPr>
      </w:pPr>
    </w:p>
    <w:p w14:paraId="37861385" w14:textId="77777777" w:rsidR="00E223C0" w:rsidRDefault="00E223C0" w:rsidP="00E223C0">
      <w:pPr>
        <w:jc w:val="both"/>
        <w:rPr>
          <w:rFonts w:asciiTheme="minorHAnsi" w:hAnsiTheme="minorHAnsi"/>
          <w:b/>
          <w:sz w:val="22"/>
          <w:szCs w:val="22"/>
          <w:highlight w:val="yellow"/>
        </w:rPr>
      </w:pPr>
    </w:p>
    <w:p w14:paraId="2DA7B1B4" w14:textId="77777777" w:rsidR="00E223C0" w:rsidRDefault="00E223C0" w:rsidP="00E223C0">
      <w:pPr>
        <w:jc w:val="both"/>
        <w:rPr>
          <w:rFonts w:asciiTheme="minorHAnsi" w:hAnsiTheme="minorHAnsi"/>
          <w:b/>
          <w:sz w:val="22"/>
          <w:szCs w:val="22"/>
          <w:highlight w:val="yellow"/>
        </w:rPr>
      </w:pPr>
    </w:p>
    <w:p w14:paraId="15591ECF" w14:textId="77777777" w:rsidR="00E223C0" w:rsidRDefault="00E223C0" w:rsidP="00E223C0">
      <w:pPr>
        <w:jc w:val="both"/>
        <w:rPr>
          <w:rFonts w:asciiTheme="minorHAnsi" w:hAnsiTheme="minorHAnsi"/>
          <w:b/>
          <w:sz w:val="22"/>
          <w:szCs w:val="22"/>
          <w:highlight w:val="yellow"/>
        </w:rPr>
      </w:pPr>
    </w:p>
    <w:p w14:paraId="16FFAB91" w14:textId="77777777" w:rsidR="00E223C0" w:rsidRDefault="00E223C0" w:rsidP="00E223C0">
      <w:pPr>
        <w:jc w:val="both"/>
        <w:rPr>
          <w:rFonts w:asciiTheme="minorHAnsi" w:hAnsiTheme="minorHAnsi"/>
          <w:b/>
          <w:sz w:val="22"/>
          <w:szCs w:val="22"/>
          <w:highlight w:val="yellow"/>
        </w:rPr>
      </w:pPr>
    </w:p>
    <w:p w14:paraId="69658E46" w14:textId="77777777" w:rsidR="00E223C0" w:rsidRDefault="00E223C0" w:rsidP="00E223C0">
      <w:pPr>
        <w:jc w:val="both"/>
        <w:rPr>
          <w:rFonts w:asciiTheme="minorHAnsi" w:hAnsiTheme="minorHAnsi"/>
          <w:b/>
          <w:sz w:val="22"/>
          <w:szCs w:val="22"/>
          <w:highlight w:val="yellow"/>
        </w:rPr>
      </w:pPr>
    </w:p>
    <w:p w14:paraId="781000E6" w14:textId="77777777" w:rsidR="00E223C0" w:rsidRDefault="00E223C0" w:rsidP="00E223C0">
      <w:pPr>
        <w:jc w:val="both"/>
        <w:rPr>
          <w:rFonts w:asciiTheme="minorHAnsi" w:hAnsiTheme="minorHAnsi"/>
          <w:b/>
          <w:sz w:val="22"/>
          <w:szCs w:val="22"/>
          <w:highlight w:val="yellow"/>
        </w:rPr>
      </w:pPr>
    </w:p>
    <w:p w14:paraId="18FF5FDC" w14:textId="77777777" w:rsidR="00E223C0" w:rsidRDefault="00E223C0" w:rsidP="00E223C0">
      <w:pPr>
        <w:jc w:val="both"/>
        <w:rPr>
          <w:rFonts w:asciiTheme="minorHAnsi" w:hAnsiTheme="minorHAnsi"/>
          <w:b/>
          <w:sz w:val="22"/>
          <w:szCs w:val="22"/>
          <w:highlight w:val="yellow"/>
        </w:rPr>
      </w:pPr>
    </w:p>
    <w:p w14:paraId="180D2868" w14:textId="77777777" w:rsidR="00E223C0" w:rsidRDefault="00E223C0" w:rsidP="00E223C0">
      <w:pPr>
        <w:jc w:val="both"/>
        <w:rPr>
          <w:rFonts w:asciiTheme="minorHAnsi" w:hAnsiTheme="minorHAnsi"/>
          <w:b/>
          <w:sz w:val="22"/>
          <w:szCs w:val="22"/>
          <w:highlight w:val="yellow"/>
        </w:rPr>
      </w:pPr>
    </w:p>
    <w:p w14:paraId="4BD3DB12" w14:textId="77777777" w:rsidR="00E223C0" w:rsidRDefault="00E223C0" w:rsidP="00E223C0">
      <w:pPr>
        <w:jc w:val="both"/>
        <w:rPr>
          <w:rFonts w:asciiTheme="minorHAnsi" w:hAnsiTheme="minorHAnsi"/>
          <w:b/>
          <w:sz w:val="22"/>
          <w:szCs w:val="22"/>
          <w:highlight w:val="yellow"/>
        </w:rPr>
      </w:pPr>
    </w:p>
    <w:p w14:paraId="198831B6" w14:textId="77777777" w:rsidR="00E223C0" w:rsidRDefault="00E223C0" w:rsidP="00E223C0">
      <w:pPr>
        <w:jc w:val="both"/>
        <w:rPr>
          <w:rFonts w:asciiTheme="minorHAnsi" w:hAnsiTheme="minorHAnsi"/>
          <w:b/>
          <w:sz w:val="22"/>
          <w:szCs w:val="22"/>
          <w:highlight w:val="yellow"/>
        </w:rPr>
      </w:pPr>
    </w:p>
    <w:p w14:paraId="18E7C360" w14:textId="77777777" w:rsidR="00E223C0" w:rsidRDefault="00E223C0" w:rsidP="00E223C0">
      <w:pPr>
        <w:jc w:val="both"/>
        <w:rPr>
          <w:rFonts w:asciiTheme="minorHAnsi" w:hAnsiTheme="minorHAnsi"/>
          <w:b/>
          <w:sz w:val="22"/>
          <w:szCs w:val="22"/>
          <w:highlight w:val="yellow"/>
        </w:rPr>
      </w:pPr>
    </w:p>
    <w:p w14:paraId="0E3EEC74" w14:textId="77777777" w:rsidR="00E223C0" w:rsidRDefault="00E223C0" w:rsidP="00E223C0">
      <w:pPr>
        <w:jc w:val="both"/>
        <w:rPr>
          <w:rFonts w:asciiTheme="minorHAnsi" w:hAnsiTheme="minorHAnsi"/>
          <w:b/>
          <w:sz w:val="22"/>
          <w:szCs w:val="22"/>
          <w:highlight w:val="yellow"/>
        </w:rPr>
      </w:pPr>
    </w:p>
    <w:p w14:paraId="1F01E8EC" w14:textId="77777777" w:rsidR="00E223C0" w:rsidRDefault="00E223C0" w:rsidP="00E223C0">
      <w:pPr>
        <w:jc w:val="both"/>
        <w:rPr>
          <w:rFonts w:asciiTheme="minorHAnsi" w:hAnsiTheme="minorHAnsi"/>
          <w:b/>
          <w:sz w:val="22"/>
          <w:szCs w:val="22"/>
          <w:highlight w:val="yellow"/>
        </w:rPr>
      </w:pPr>
    </w:p>
    <w:p w14:paraId="275163DA" w14:textId="77777777" w:rsidR="00E223C0" w:rsidRDefault="00E223C0" w:rsidP="00E223C0">
      <w:pPr>
        <w:jc w:val="both"/>
        <w:rPr>
          <w:rFonts w:asciiTheme="minorHAnsi" w:hAnsiTheme="minorHAnsi"/>
          <w:b/>
          <w:sz w:val="22"/>
          <w:szCs w:val="22"/>
          <w:highlight w:val="yellow"/>
        </w:rPr>
      </w:pPr>
    </w:p>
    <w:p w14:paraId="78706BEC" w14:textId="77777777" w:rsidR="00E223C0" w:rsidRDefault="00E223C0" w:rsidP="00E223C0">
      <w:pPr>
        <w:jc w:val="both"/>
        <w:rPr>
          <w:rFonts w:asciiTheme="minorHAnsi" w:hAnsiTheme="minorHAnsi"/>
          <w:b/>
          <w:sz w:val="22"/>
          <w:szCs w:val="22"/>
          <w:highlight w:val="yellow"/>
        </w:rPr>
      </w:pPr>
    </w:p>
    <w:p w14:paraId="0BE932C0" w14:textId="77777777" w:rsidR="00E223C0" w:rsidRDefault="00E223C0" w:rsidP="00E223C0">
      <w:pPr>
        <w:jc w:val="both"/>
        <w:rPr>
          <w:rFonts w:asciiTheme="minorHAnsi" w:hAnsiTheme="minorHAnsi"/>
          <w:b/>
          <w:sz w:val="22"/>
          <w:szCs w:val="22"/>
          <w:highlight w:val="yellow"/>
        </w:rPr>
      </w:pPr>
    </w:p>
    <w:p w14:paraId="0C4CA687" w14:textId="77777777" w:rsidR="00E223C0" w:rsidRDefault="00E223C0" w:rsidP="00E223C0">
      <w:pPr>
        <w:jc w:val="both"/>
        <w:rPr>
          <w:rFonts w:asciiTheme="minorHAnsi" w:hAnsiTheme="minorHAnsi"/>
          <w:b/>
          <w:sz w:val="22"/>
          <w:szCs w:val="22"/>
          <w:highlight w:val="yellow"/>
        </w:rPr>
      </w:pPr>
    </w:p>
    <w:p w14:paraId="739D340D" w14:textId="77298D4E" w:rsidR="00E223C0" w:rsidRDefault="00E223C0" w:rsidP="00E223C0">
      <w:pPr>
        <w:jc w:val="both"/>
        <w:rPr>
          <w:rFonts w:asciiTheme="minorHAnsi" w:hAnsiTheme="minorHAnsi"/>
          <w:b/>
          <w:sz w:val="22"/>
          <w:szCs w:val="22"/>
          <w:highlight w:val="yellow"/>
        </w:rPr>
      </w:pPr>
    </w:p>
    <w:p w14:paraId="101EE366" w14:textId="0C066F7D" w:rsidR="003C484A" w:rsidRDefault="003C484A" w:rsidP="00E223C0">
      <w:pPr>
        <w:jc w:val="both"/>
        <w:rPr>
          <w:rFonts w:asciiTheme="minorHAnsi" w:hAnsiTheme="minorHAnsi"/>
          <w:b/>
          <w:sz w:val="22"/>
          <w:szCs w:val="22"/>
          <w:highlight w:val="yellow"/>
        </w:rPr>
      </w:pPr>
    </w:p>
    <w:p w14:paraId="6DEFC10F" w14:textId="21CE5490" w:rsidR="003C484A" w:rsidRDefault="003C484A" w:rsidP="00E223C0">
      <w:pPr>
        <w:jc w:val="both"/>
        <w:rPr>
          <w:rFonts w:asciiTheme="minorHAnsi" w:hAnsiTheme="minorHAnsi"/>
          <w:b/>
          <w:sz w:val="22"/>
          <w:szCs w:val="22"/>
          <w:highlight w:val="yellow"/>
        </w:rPr>
      </w:pPr>
    </w:p>
    <w:p w14:paraId="038ED263" w14:textId="1929CAAD" w:rsidR="003C484A" w:rsidRDefault="003C484A" w:rsidP="00E223C0">
      <w:pPr>
        <w:jc w:val="both"/>
        <w:rPr>
          <w:rFonts w:asciiTheme="minorHAnsi" w:hAnsiTheme="minorHAnsi"/>
          <w:b/>
          <w:sz w:val="22"/>
          <w:szCs w:val="22"/>
          <w:highlight w:val="yellow"/>
        </w:rPr>
      </w:pPr>
    </w:p>
    <w:p w14:paraId="735116DA" w14:textId="36A9F6C8" w:rsidR="003C484A" w:rsidRDefault="003C484A" w:rsidP="00E223C0">
      <w:pPr>
        <w:jc w:val="both"/>
        <w:rPr>
          <w:rFonts w:asciiTheme="minorHAnsi" w:hAnsiTheme="minorHAnsi"/>
          <w:b/>
          <w:sz w:val="22"/>
          <w:szCs w:val="22"/>
          <w:highlight w:val="yellow"/>
        </w:rPr>
      </w:pPr>
    </w:p>
    <w:p w14:paraId="316D1C91" w14:textId="77777777" w:rsidR="003C484A" w:rsidRDefault="003C484A" w:rsidP="00E223C0">
      <w:pPr>
        <w:jc w:val="both"/>
        <w:rPr>
          <w:rFonts w:asciiTheme="minorHAnsi" w:hAnsiTheme="minorHAnsi"/>
          <w:b/>
          <w:sz w:val="22"/>
          <w:szCs w:val="22"/>
          <w:highlight w:val="yellow"/>
        </w:rPr>
      </w:pPr>
    </w:p>
    <w:p w14:paraId="1170FD16" w14:textId="77777777" w:rsidR="003C484A" w:rsidRDefault="003C484A" w:rsidP="00E223C0">
      <w:pPr>
        <w:jc w:val="both"/>
        <w:rPr>
          <w:rFonts w:asciiTheme="minorHAnsi" w:hAnsiTheme="minorHAnsi"/>
          <w:b/>
          <w:sz w:val="22"/>
          <w:szCs w:val="22"/>
          <w:highlight w:val="yellow"/>
        </w:rPr>
      </w:pPr>
    </w:p>
    <w:p w14:paraId="451D84BB" w14:textId="77777777" w:rsidR="00E223C0" w:rsidRPr="004F2332" w:rsidRDefault="00E223C0" w:rsidP="00E223C0">
      <w:pPr>
        <w:spacing w:before="240" w:after="40"/>
        <w:jc w:val="both"/>
        <w:rPr>
          <w:rFonts w:asciiTheme="minorHAnsi" w:hAnsiTheme="minorHAnsi"/>
          <w:sz w:val="16"/>
        </w:rPr>
      </w:pPr>
      <w:r w:rsidRPr="004F2332">
        <w:rPr>
          <w:rFonts w:asciiTheme="minorHAnsi" w:hAnsiTheme="minorHAnsi"/>
          <w:sz w:val="16"/>
          <w:vertAlign w:val="superscript"/>
        </w:rPr>
        <w:t>1</w:t>
      </w:r>
      <w:r w:rsidRPr="004F2332">
        <w:rPr>
          <w:rFonts w:asciiTheme="minorHAnsi" w:hAnsiTheme="minorHAnsi"/>
          <w:sz w:val="16"/>
        </w:rPr>
        <w:t xml:space="preserve">Underlying EBITDA </w:t>
      </w:r>
      <w:r w:rsidRPr="00C4417E">
        <w:rPr>
          <w:rFonts w:asciiTheme="minorHAnsi" w:hAnsiTheme="minorHAnsi"/>
          <w:sz w:val="16"/>
        </w:rPr>
        <w:t xml:space="preserve">(pre IFRS 16) </w:t>
      </w:r>
      <w:r w:rsidRPr="004F2332">
        <w:rPr>
          <w:rFonts w:asciiTheme="minorHAnsi" w:hAnsiTheme="minorHAnsi"/>
          <w:sz w:val="16"/>
        </w:rPr>
        <w:t xml:space="preserve">includes the following line items in the statutory cash flow: Profit for the </w:t>
      </w:r>
      <w:r w:rsidRPr="00C4417E">
        <w:rPr>
          <w:rFonts w:asciiTheme="minorHAnsi" w:hAnsiTheme="minorHAnsi"/>
          <w:sz w:val="16"/>
        </w:rPr>
        <w:t>period</w:t>
      </w:r>
      <w:r w:rsidRPr="004F2332">
        <w:rPr>
          <w:rFonts w:asciiTheme="minorHAnsi" w:hAnsiTheme="minorHAnsi"/>
          <w:sz w:val="16"/>
        </w:rPr>
        <w:t>, separately disclosed items, tax expense before separately disclosed items, financial income</w:t>
      </w:r>
      <w:r w:rsidRPr="00C4417E">
        <w:rPr>
          <w:rFonts w:asciiTheme="minorHAnsi" w:hAnsiTheme="minorHAnsi"/>
          <w:sz w:val="16"/>
        </w:rPr>
        <w:t xml:space="preserve"> before separately disclosed items</w:t>
      </w:r>
      <w:r w:rsidRPr="004F2332">
        <w:rPr>
          <w:rFonts w:asciiTheme="minorHAnsi" w:hAnsiTheme="minorHAnsi"/>
          <w:sz w:val="16"/>
        </w:rPr>
        <w:t>, financial expense</w:t>
      </w:r>
      <w:r w:rsidRPr="00C4417E">
        <w:rPr>
          <w:rFonts w:asciiTheme="minorHAnsi" w:hAnsiTheme="minorHAnsi"/>
          <w:sz w:val="16"/>
        </w:rPr>
        <w:t xml:space="preserve"> before separately disclosed items</w:t>
      </w:r>
      <w:r w:rsidRPr="004F2332">
        <w:rPr>
          <w:rFonts w:asciiTheme="minorHAnsi" w:hAnsiTheme="minorHAnsi"/>
          <w:sz w:val="16"/>
        </w:rPr>
        <w:t xml:space="preserve"> and depreciation and amortisation before separately disclosed items.</w:t>
      </w:r>
      <w:r w:rsidRPr="00C4417E">
        <w:rPr>
          <w:rFonts w:asciiTheme="minorHAnsi" w:hAnsiTheme="minorHAnsi"/>
          <w:sz w:val="16"/>
        </w:rPr>
        <w:t xml:space="preserve"> EBITDA throughout this Operating and Financial Review excludes the impact of IFRS 16. See Appendix 5 for a reconciliation to IFRS 16 compliant numbers</w:t>
      </w:r>
      <w:r w:rsidRPr="004570B5">
        <w:rPr>
          <w:rFonts w:asciiTheme="minorHAnsi" w:hAnsiTheme="minorHAnsi"/>
          <w:sz w:val="16"/>
        </w:rPr>
        <w:t>.</w:t>
      </w:r>
    </w:p>
    <w:p w14:paraId="1879CB3C" w14:textId="77777777" w:rsidR="00E223C0" w:rsidRPr="006F3B8A" w:rsidRDefault="00E223C0" w:rsidP="00E223C0">
      <w:pPr>
        <w:spacing w:after="40"/>
        <w:jc w:val="both"/>
        <w:rPr>
          <w:rFonts w:asciiTheme="minorHAnsi" w:hAnsiTheme="minorHAnsi"/>
          <w:sz w:val="16"/>
        </w:rPr>
      </w:pPr>
      <w:r w:rsidRPr="004F2332">
        <w:rPr>
          <w:rFonts w:asciiTheme="minorHAnsi" w:hAnsiTheme="minorHAnsi"/>
          <w:sz w:val="16"/>
          <w:vertAlign w:val="superscript"/>
        </w:rPr>
        <w:t>2</w:t>
      </w:r>
      <w:r w:rsidRPr="004F2332">
        <w:rPr>
          <w:rFonts w:asciiTheme="minorHAnsi" w:hAnsiTheme="minorHAnsi"/>
          <w:sz w:val="16"/>
        </w:rPr>
        <w:t xml:space="preserve"> Capex includes </w:t>
      </w:r>
      <w:r w:rsidRPr="000966C9">
        <w:rPr>
          <w:rFonts w:asciiTheme="minorHAnsi" w:hAnsiTheme="minorHAnsi"/>
          <w:sz w:val="16"/>
        </w:rPr>
        <w:t xml:space="preserve">purchase of property, plant and equipment, purchase of intangible assets, purchase of businesses net of cash acquired (excluding Adjarabet and </w:t>
      </w:r>
      <w:proofErr w:type="spellStart"/>
      <w:r w:rsidRPr="000966C9">
        <w:rPr>
          <w:rFonts w:asciiTheme="minorHAnsi" w:hAnsiTheme="minorHAnsi"/>
          <w:sz w:val="16"/>
        </w:rPr>
        <w:t>FanDuel</w:t>
      </w:r>
      <w:proofErr w:type="spellEnd"/>
      <w:r w:rsidRPr="000966C9">
        <w:rPr>
          <w:rFonts w:asciiTheme="minorHAnsi" w:hAnsiTheme="minorHAnsi"/>
          <w:sz w:val="16"/>
        </w:rPr>
        <w:t xml:space="preserve"> acquisitions shown separately in presented cash flow), capitalised internal development expenditure, payment of contingent deferred consideration </w:t>
      </w:r>
      <w:r w:rsidRPr="006F3B8A">
        <w:rPr>
          <w:rFonts w:asciiTheme="minorHAnsi" w:hAnsiTheme="minorHAnsi"/>
          <w:sz w:val="16"/>
        </w:rPr>
        <w:t>and loss on disposal of property, plant and equipment and intangible assets</w:t>
      </w:r>
      <w:r w:rsidRPr="000966C9">
        <w:rPr>
          <w:rFonts w:asciiTheme="minorHAnsi" w:hAnsiTheme="minorHAnsi"/>
          <w:sz w:val="16"/>
        </w:rPr>
        <w:t xml:space="preserve">. </w:t>
      </w:r>
    </w:p>
    <w:p w14:paraId="13767359" w14:textId="769D0C68" w:rsidR="00E223C0" w:rsidRPr="000966C9" w:rsidRDefault="00E223C0" w:rsidP="00E223C0">
      <w:pPr>
        <w:spacing w:after="40"/>
        <w:jc w:val="both"/>
        <w:rPr>
          <w:rFonts w:asciiTheme="minorHAnsi" w:hAnsiTheme="minorHAnsi"/>
          <w:sz w:val="16"/>
        </w:rPr>
      </w:pPr>
      <w:r w:rsidRPr="000966C9">
        <w:rPr>
          <w:rFonts w:asciiTheme="minorHAnsi" w:hAnsiTheme="minorHAnsi"/>
          <w:sz w:val="16"/>
          <w:vertAlign w:val="superscript"/>
        </w:rPr>
        <w:t>3</w:t>
      </w:r>
      <w:r w:rsidRPr="000966C9">
        <w:rPr>
          <w:rFonts w:asciiTheme="minorHAnsi" w:hAnsiTheme="minorHAnsi"/>
          <w:sz w:val="16"/>
        </w:rPr>
        <w:t xml:space="preserve"> Working capital includes (increase) / decrease in trade and other receivables, (decrease) / increase in trade, other payables and provisions, employee equity-settled share based payments expense before separately disclosed items, and foreign currency exchange (gain)/loss.  </w:t>
      </w:r>
    </w:p>
    <w:p w14:paraId="4233D9CD" w14:textId="77777777" w:rsidR="00E223C0" w:rsidRPr="000966C9" w:rsidRDefault="00E223C0" w:rsidP="00E223C0">
      <w:pPr>
        <w:spacing w:after="40"/>
        <w:jc w:val="both"/>
        <w:rPr>
          <w:rFonts w:asciiTheme="minorHAnsi" w:hAnsiTheme="minorHAnsi"/>
          <w:sz w:val="16"/>
          <w:vertAlign w:val="superscript"/>
        </w:rPr>
      </w:pPr>
      <w:r w:rsidRPr="000966C9">
        <w:rPr>
          <w:rFonts w:asciiTheme="minorHAnsi" w:hAnsiTheme="minorHAnsi"/>
          <w:sz w:val="16"/>
          <w:vertAlign w:val="superscript"/>
        </w:rPr>
        <w:t>4</w:t>
      </w:r>
      <w:r w:rsidRPr="000966C9">
        <w:rPr>
          <w:rFonts w:asciiTheme="minorHAnsi" w:hAnsiTheme="minorHAnsi"/>
          <w:sz w:val="16"/>
        </w:rPr>
        <w:t xml:space="preserve"> Cash flow from separately disclosed items includes restructuring</w:t>
      </w:r>
      <w:r>
        <w:rPr>
          <w:rFonts w:asciiTheme="minorHAnsi" w:hAnsiTheme="minorHAnsi"/>
          <w:sz w:val="16"/>
        </w:rPr>
        <w:t>, transaction fees</w:t>
      </w:r>
      <w:r w:rsidRPr="000966C9">
        <w:rPr>
          <w:rFonts w:asciiTheme="minorHAnsi" w:hAnsiTheme="minorHAnsi"/>
          <w:sz w:val="16"/>
        </w:rPr>
        <w:t xml:space="preserve"> and strategic initiative costs paid.</w:t>
      </w:r>
    </w:p>
    <w:p w14:paraId="5A37575A" w14:textId="77777777" w:rsidR="00E223C0" w:rsidRPr="000966C9" w:rsidRDefault="00E223C0" w:rsidP="00E223C0">
      <w:pPr>
        <w:spacing w:after="40"/>
        <w:jc w:val="both"/>
        <w:rPr>
          <w:rFonts w:asciiTheme="minorHAnsi" w:hAnsiTheme="minorHAnsi"/>
          <w:b/>
          <w:i/>
          <w:color w:val="FF0000"/>
          <w:sz w:val="20"/>
        </w:rPr>
      </w:pPr>
      <w:r w:rsidRPr="000966C9">
        <w:rPr>
          <w:rFonts w:asciiTheme="minorHAnsi" w:hAnsiTheme="minorHAnsi"/>
          <w:sz w:val="16"/>
          <w:vertAlign w:val="superscript"/>
        </w:rPr>
        <w:t>5</w:t>
      </w:r>
      <w:r w:rsidRPr="000966C9">
        <w:rPr>
          <w:rFonts w:asciiTheme="minorHAnsi" w:hAnsiTheme="minorHAnsi"/>
          <w:sz w:val="16"/>
        </w:rPr>
        <w:t xml:space="preserve"> Interest and other borrowing costs includes interest paid, interest received and fees in respect of borrowings facility.</w:t>
      </w:r>
    </w:p>
    <w:p w14:paraId="181EF549" w14:textId="77777777" w:rsidR="00E223C0" w:rsidRPr="006F3B8A" w:rsidRDefault="00E223C0" w:rsidP="00E223C0">
      <w:pPr>
        <w:spacing w:after="240"/>
        <w:jc w:val="both"/>
        <w:rPr>
          <w:rFonts w:asciiTheme="minorHAnsi" w:hAnsiTheme="minorHAnsi"/>
          <w:b/>
          <w:sz w:val="20"/>
          <w:lang w:eastAsia="en-IE"/>
        </w:rPr>
      </w:pPr>
      <w:r w:rsidRPr="006F3B8A">
        <w:rPr>
          <w:rFonts w:asciiTheme="minorHAnsi" w:hAnsiTheme="minorHAnsi"/>
          <w:sz w:val="16"/>
          <w:vertAlign w:val="superscript"/>
        </w:rPr>
        <w:t>6</w:t>
      </w:r>
      <w:r w:rsidRPr="006F3B8A">
        <w:rPr>
          <w:rFonts w:asciiTheme="minorHAnsi" w:hAnsiTheme="minorHAnsi"/>
          <w:sz w:val="16"/>
        </w:rPr>
        <w:t xml:space="preserve"> Net proceeds from issue of new shares includes proceeds from issue of new shares.</w:t>
      </w:r>
    </w:p>
    <w:p w14:paraId="3946828D" w14:textId="77777777" w:rsidR="00324B39" w:rsidRDefault="00324B39">
      <w:pPr>
        <w:pStyle w:val="BodyText"/>
        <w:spacing w:after="40"/>
        <w:rPr>
          <w:rFonts w:asciiTheme="minorHAnsi" w:hAnsiTheme="minorHAnsi"/>
          <w:sz w:val="16"/>
          <w:szCs w:val="16"/>
          <w:lang w:val="en-IE"/>
        </w:rPr>
        <w:sectPr w:rsidR="00324B39" w:rsidSect="00E223C0">
          <w:pgSz w:w="12240" w:h="15840"/>
          <w:pgMar w:top="624" w:right="567" w:bottom="624" w:left="567" w:header="709" w:footer="709" w:gutter="0"/>
          <w:cols w:space="708"/>
          <w:docGrid w:linePitch="360"/>
        </w:sectPr>
      </w:pPr>
    </w:p>
    <w:p w14:paraId="27A2DEF0" w14:textId="77777777" w:rsidR="00E223C0" w:rsidRPr="00A00C9B" w:rsidRDefault="00E223C0" w:rsidP="00E223C0">
      <w:pPr>
        <w:widowControl/>
        <w:autoSpaceDE/>
        <w:autoSpaceDN/>
        <w:adjustRightInd/>
        <w:rPr>
          <w:rFonts w:asciiTheme="minorHAnsi" w:hAnsiTheme="minorHAnsi"/>
          <w:b/>
          <w:i/>
          <w:color w:val="FF0000"/>
          <w:sz w:val="20"/>
        </w:rPr>
      </w:pPr>
      <w:bookmarkStart w:id="12" w:name="_DV_M63"/>
      <w:bookmarkStart w:id="13" w:name="_DV_M64"/>
      <w:bookmarkEnd w:id="12"/>
      <w:bookmarkEnd w:id="13"/>
      <w:r w:rsidRPr="00A00C9B">
        <w:rPr>
          <w:rFonts w:asciiTheme="minorHAnsi" w:hAnsiTheme="minorHAnsi"/>
          <w:b/>
          <w:sz w:val="20"/>
          <w:lang w:eastAsia="en-IE"/>
        </w:rPr>
        <w:lastRenderedPageBreak/>
        <w:t>Appendix 4: Reconciliation of growth rates to constant currency growth rates</w:t>
      </w:r>
    </w:p>
    <w:p w14:paraId="2E4F5576" w14:textId="77777777" w:rsidR="00E223C0" w:rsidRPr="00BE19A5" w:rsidRDefault="00E223C0" w:rsidP="00E223C0">
      <w:pPr>
        <w:spacing w:after="240"/>
        <w:jc w:val="both"/>
        <w:rPr>
          <w:rFonts w:asciiTheme="minorHAnsi" w:hAnsiTheme="minorHAnsi"/>
          <w:sz w:val="20"/>
        </w:rPr>
      </w:pPr>
      <w:r w:rsidRPr="00A00C9B">
        <w:rPr>
          <w:rFonts w:asciiTheme="minorHAnsi" w:hAnsiTheme="minorHAnsi"/>
          <w:sz w:val="20"/>
        </w:rPr>
        <w:t>Constant currency (“cc”) growth is calculated by retranslating non-sterling denominated component of 2018 at 2019 exchange rates as per the table below.</w:t>
      </w:r>
      <w:r>
        <w:rPr>
          <w:rFonts w:asciiTheme="minorHAnsi" w:hAnsiTheme="minorHAnsi"/>
          <w:sz w:val="20"/>
        </w:rPr>
        <w:t xml:space="preserve"> </w:t>
      </w:r>
      <w:r>
        <w:rPr>
          <w:rFonts w:asciiTheme="minorHAnsi" w:hAnsiTheme="minorHAnsi"/>
          <w:color w:val="FF0000"/>
          <w:sz w:val="20"/>
        </w:rPr>
        <w:t xml:space="preserve"> </w:t>
      </w:r>
    </w:p>
    <w:tbl>
      <w:tblPr>
        <w:tblW w:w="6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9"/>
        <w:gridCol w:w="657"/>
        <w:gridCol w:w="567"/>
        <w:gridCol w:w="619"/>
        <w:gridCol w:w="992"/>
        <w:gridCol w:w="850"/>
        <w:gridCol w:w="709"/>
      </w:tblGrid>
      <w:tr w:rsidR="00E223C0" w:rsidRPr="00185E5E" w14:paraId="34D5167C" w14:textId="77777777" w:rsidTr="00DE428D">
        <w:tc>
          <w:tcPr>
            <w:tcW w:w="2599" w:type="dxa"/>
            <w:tcBorders>
              <w:top w:val="single" w:sz="4" w:space="0" w:color="auto"/>
            </w:tcBorders>
            <w:tcMar>
              <w:left w:w="45" w:type="dxa"/>
              <w:right w:w="45" w:type="dxa"/>
            </w:tcMar>
          </w:tcPr>
          <w:p w14:paraId="348E5327" w14:textId="77777777" w:rsidR="00E223C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r w:rsidRPr="00791F17">
              <w:rPr>
                <w:rFonts w:asciiTheme="minorHAnsi" w:hAnsiTheme="minorHAnsi" w:cs="Times New Roman"/>
                <w:b/>
                <w:sz w:val="17"/>
                <w:szCs w:val="17"/>
                <w:lang w:eastAsia="en-IE"/>
              </w:rPr>
              <w:t>£m</w:t>
            </w:r>
          </w:p>
          <w:p w14:paraId="5318DD5A" w14:textId="77777777" w:rsidR="00E223C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i/>
                <w:sz w:val="17"/>
                <w:szCs w:val="17"/>
                <w:lang w:eastAsia="en-IE"/>
              </w:rPr>
            </w:pPr>
            <w:r w:rsidRPr="005947DC">
              <w:rPr>
                <w:rFonts w:asciiTheme="minorHAnsi" w:hAnsiTheme="minorHAnsi" w:cs="Times New Roman"/>
                <w:i/>
                <w:sz w:val="17"/>
                <w:szCs w:val="17"/>
                <w:lang w:eastAsia="en-IE"/>
              </w:rPr>
              <w:t>Pre IFRS 16 adjustments</w:t>
            </w:r>
          </w:p>
          <w:p w14:paraId="7BF0ABE5" w14:textId="77777777" w:rsidR="00E223C0" w:rsidRPr="000C7A56"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i/>
                <w:sz w:val="17"/>
              </w:rPr>
            </w:pPr>
          </w:p>
        </w:tc>
        <w:tc>
          <w:tcPr>
            <w:tcW w:w="657" w:type="dxa"/>
            <w:tcBorders>
              <w:top w:val="single" w:sz="4" w:space="0" w:color="auto"/>
            </w:tcBorders>
            <w:shd w:val="clear" w:color="auto" w:fill="F2F2F2" w:themeFill="background1" w:themeFillShade="F2"/>
            <w:tcMar>
              <w:left w:w="45" w:type="dxa"/>
              <w:right w:w="45" w:type="dxa"/>
            </w:tcMar>
          </w:tcPr>
          <w:p w14:paraId="5AFF671A"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5E77D0">
              <w:rPr>
                <w:rFonts w:asciiTheme="minorHAnsi" w:hAnsiTheme="minorHAnsi" w:cs="Times New Roman"/>
                <w:b/>
                <w:sz w:val="17"/>
                <w:szCs w:val="17"/>
                <w:lang w:eastAsia="en-IE"/>
              </w:rPr>
              <w:t xml:space="preserve"> </w:t>
            </w:r>
          </w:p>
          <w:p w14:paraId="1323347A"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5E77D0">
              <w:rPr>
                <w:rFonts w:asciiTheme="minorHAnsi" w:hAnsiTheme="minorHAnsi" w:cs="Times New Roman"/>
                <w:b/>
                <w:sz w:val="17"/>
                <w:szCs w:val="17"/>
                <w:lang w:eastAsia="en-IE"/>
              </w:rPr>
              <w:t>201</w:t>
            </w:r>
            <w:r>
              <w:rPr>
                <w:rFonts w:asciiTheme="minorHAnsi" w:hAnsiTheme="minorHAnsi" w:cs="Times New Roman"/>
                <w:b/>
                <w:sz w:val="17"/>
                <w:szCs w:val="17"/>
                <w:lang w:eastAsia="en-IE"/>
              </w:rPr>
              <w:t>9</w:t>
            </w:r>
          </w:p>
        </w:tc>
        <w:tc>
          <w:tcPr>
            <w:tcW w:w="567" w:type="dxa"/>
            <w:tcBorders>
              <w:top w:val="single" w:sz="4" w:space="0" w:color="auto"/>
            </w:tcBorders>
            <w:shd w:val="clear" w:color="auto" w:fill="auto"/>
            <w:tcMar>
              <w:left w:w="45" w:type="dxa"/>
              <w:right w:w="45" w:type="dxa"/>
            </w:tcMar>
          </w:tcPr>
          <w:p w14:paraId="48A0F29A"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p>
          <w:p w14:paraId="6187E652"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791F17">
              <w:rPr>
                <w:rFonts w:asciiTheme="minorHAnsi" w:hAnsiTheme="minorHAnsi" w:cs="Times New Roman"/>
                <w:b/>
                <w:sz w:val="17"/>
                <w:szCs w:val="17"/>
                <w:lang w:eastAsia="en-IE"/>
              </w:rPr>
              <w:t>201</w:t>
            </w:r>
            <w:r>
              <w:rPr>
                <w:rFonts w:asciiTheme="minorHAnsi" w:hAnsiTheme="minorHAnsi" w:cs="Times New Roman"/>
                <w:b/>
                <w:sz w:val="17"/>
                <w:szCs w:val="17"/>
                <w:lang w:eastAsia="en-IE"/>
              </w:rPr>
              <w:t>8</w:t>
            </w:r>
          </w:p>
        </w:tc>
        <w:tc>
          <w:tcPr>
            <w:tcW w:w="619" w:type="dxa"/>
            <w:tcBorders>
              <w:top w:val="single" w:sz="4" w:space="0" w:color="auto"/>
            </w:tcBorders>
            <w:shd w:val="clear" w:color="auto" w:fill="auto"/>
            <w:tcMar>
              <w:left w:w="45" w:type="dxa"/>
              <w:right w:w="45" w:type="dxa"/>
            </w:tcMar>
          </w:tcPr>
          <w:p w14:paraId="359BB29A"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8A798E">
              <w:rPr>
                <w:rFonts w:asciiTheme="minorHAnsi" w:hAnsiTheme="minorHAnsi" w:cs="Times New Roman"/>
                <w:b/>
                <w:sz w:val="17"/>
                <w:szCs w:val="17"/>
                <w:lang w:eastAsia="en-IE"/>
              </w:rPr>
              <w:t xml:space="preserve">% </w:t>
            </w:r>
          </w:p>
          <w:p w14:paraId="311F9D7B"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8A798E">
              <w:rPr>
                <w:rFonts w:asciiTheme="minorHAnsi" w:hAnsiTheme="minorHAnsi" w:cs="Times New Roman"/>
                <w:b/>
                <w:sz w:val="16"/>
                <w:szCs w:val="16"/>
                <w:lang w:eastAsia="en-IE"/>
              </w:rPr>
              <w:t>Change</w:t>
            </w:r>
          </w:p>
        </w:tc>
        <w:tc>
          <w:tcPr>
            <w:tcW w:w="992" w:type="dxa"/>
            <w:tcBorders>
              <w:top w:val="single" w:sz="4" w:space="0" w:color="auto"/>
            </w:tcBorders>
            <w:shd w:val="clear" w:color="auto" w:fill="auto"/>
          </w:tcPr>
          <w:p w14:paraId="24E941DD"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A107A3">
              <w:rPr>
                <w:rFonts w:asciiTheme="minorHAnsi" w:hAnsiTheme="minorHAnsi" w:cs="Times New Roman"/>
                <w:b/>
                <w:sz w:val="17"/>
                <w:szCs w:val="17"/>
                <w:lang w:eastAsia="en-IE"/>
              </w:rPr>
              <w:t>201</w:t>
            </w:r>
            <w:r>
              <w:rPr>
                <w:rFonts w:asciiTheme="minorHAnsi" w:hAnsiTheme="minorHAnsi" w:cs="Times New Roman"/>
                <w:b/>
                <w:sz w:val="17"/>
                <w:szCs w:val="17"/>
                <w:lang w:eastAsia="en-IE"/>
              </w:rPr>
              <w:t>8</w:t>
            </w:r>
            <w:r w:rsidRPr="00A107A3">
              <w:rPr>
                <w:rFonts w:asciiTheme="minorHAnsi" w:hAnsiTheme="minorHAnsi" w:cs="Times New Roman"/>
                <w:b/>
                <w:sz w:val="17"/>
                <w:szCs w:val="17"/>
                <w:lang w:eastAsia="en-IE"/>
              </w:rPr>
              <w:t xml:space="preserve"> FX impact</w:t>
            </w:r>
          </w:p>
        </w:tc>
        <w:tc>
          <w:tcPr>
            <w:tcW w:w="850" w:type="dxa"/>
            <w:tcBorders>
              <w:top w:val="single" w:sz="4" w:space="0" w:color="auto"/>
            </w:tcBorders>
            <w:shd w:val="clear" w:color="auto" w:fill="auto"/>
          </w:tcPr>
          <w:p w14:paraId="23908E62"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F871F9">
              <w:rPr>
                <w:rFonts w:asciiTheme="minorHAnsi" w:hAnsiTheme="minorHAnsi" w:cs="Times New Roman"/>
                <w:b/>
                <w:sz w:val="17"/>
                <w:szCs w:val="17"/>
                <w:lang w:eastAsia="en-IE"/>
              </w:rPr>
              <w:t>201</w:t>
            </w:r>
            <w:r>
              <w:rPr>
                <w:rFonts w:asciiTheme="minorHAnsi" w:hAnsiTheme="minorHAnsi" w:cs="Times New Roman"/>
                <w:b/>
                <w:sz w:val="17"/>
                <w:szCs w:val="17"/>
                <w:lang w:eastAsia="en-IE"/>
              </w:rPr>
              <w:t>8</w:t>
            </w:r>
          </w:p>
          <w:p w14:paraId="7BB309EF"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r w:rsidRPr="00F871F9">
              <w:rPr>
                <w:rFonts w:asciiTheme="minorHAnsi" w:hAnsiTheme="minorHAnsi" w:cs="Times New Roman"/>
                <w:b/>
                <w:sz w:val="17"/>
                <w:szCs w:val="17"/>
                <w:lang w:eastAsia="en-IE"/>
              </w:rPr>
              <w:t xml:space="preserve"> CC</w:t>
            </w:r>
          </w:p>
        </w:tc>
        <w:tc>
          <w:tcPr>
            <w:tcW w:w="709" w:type="dxa"/>
            <w:tcBorders>
              <w:top w:val="single" w:sz="4" w:space="0" w:color="auto"/>
            </w:tcBorders>
            <w:shd w:val="clear" w:color="auto" w:fill="auto"/>
            <w:tcMar>
              <w:left w:w="45" w:type="dxa"/>
              <w:right w:w="45" w:type="dxa"/>
            </w:tcMar>
          </w:tcPr>
          <w:p w14:paraId="1E9108D7" w14:textId="77777777" w:rsidR="00E223C0" w:rsidRPr="00836A1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836A10">
              <w:rPr>
                <w:rFonts w:asciiTheme="minorHAnsi" w:hAnsiTheme="minorHAnsi" w:cs="Times New Roman"/>
                <w:b/>
                <w:sz w:val="17"/>
                <w:szCs w:val="17"/>
                <w:lang w:eastAsia="en-IE"/>
              </w:rPr>
              <w:t xml:space="preserve"> CC% </w:t>
            </w:r>
          </w:p>
          <w:p w14:paraId="3D0CF30D" w14:textId="77777777" w:rsidR="00E223C0" w:rsidRPr="00836A1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836A10">
              <w:rPr>
                <w:rFonts w:asciiTheme="minorHAnsi" w:hAnsiTheme="minorHAnsi" w:cs="Times New Roman"/>
                <w:b/>
                <w:sz w:val="16"/>
                <w:szCs w:val="16"/>
                <w:lang w:eastAsia="en-IE"/>
              </w:rPr>
              <w:t>Change</w:t>
            </w:r>
          </w:p>
        </w:tc>
      </w:tr>
      <w:tr w:rsidR="00E223C0" w:rsidRPr="00185E5E" w14:paraId="63C4941A" w14:textId="77777777" w:rsidTr="00DE428D">
        <w:tc>
          <w:tcPr>
            <w:tcW w:w="2599" w:type="dxa"/>
            <w:tcMar>
              <w:left w:w="45" w:type="dxa"/>
              <w:right w:w="45" w:type="dxa"/>
            </w:tcMar>
          </w:tcPr>
          <w:p w14:paraId="6DCC67F0"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7"/>
                <w:szCs w:val="17"/>
                <w:lang w:eastAsia="en-IE"/>
              </w:rPr>
            </w:pPr>
            <w:r w:rsidRPr="00791F17">
              <w:rPr>
                <w:rFonts w:asciiTheme="minorHAnsi" w:hAnsiTheme="minorHAnsi" w:cs="Times New Roman"/>
                <w:sz w:val="17"/>
                <w:szCs w:val="17"/>
                <w:lang w:eastAsia="en-IE"/>
              </w:rPr>
              <w:t>Sports net revenue</w:t>
            </w:r>
          </w:p>
        </w:tc>
        <w:tc>
          <w:tcPr>
            <w:tcW w:w="657" w:type="dxa"/>
            <w:shd w:val="clear" w:color="auto" w:fill="F2F2F2" w:themeFill="background1" w:themeFillShade="F2"/>
            <w:tcMar>
              <w:left w:w="45" w:type="dxa"/>
              <w:right w:w="45" w:type="dxa"/>
            </w:tcMar>
          </w:tcPr>
          <w:p w14:paraId="55BC5AAC"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1,667</w:t>
            </w:r>
          </w:p>
        </w:tc>
        <w:tc>
          <w:tcPr>
            <w:tcW w:w="567" w:type="dxa"/>
            <w:shd w:val="clear" w:color="auto" w:fill="auto"/>
            <w:tcMar>
              <w:left w:w="45" w:type="dxa"/>
              <w:right w:w="45" w:type="dxa"/>
            </w:tcMar>
          </w:tcPr>
          <w:p w14:paraId="35EF5552"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5E77D0">
              <w:rPr>
                <w:rFonts w:asciiTheme="minorHAnsi" w:hAnsiTheme="minorHAnsi" w:cs="Times New Roman"/>
                <w:sz w:val="17"/>
                <w:szCs w:val="17"/>
                <w:lang w:eastAsia="en-IE"/>
              </w:rPr>
              <w:t>1,47</w:t>
            </w:r>
            <w:r>
              <w:rPr>
                <w:rFonts w:asciiTheme="minorHAnsi" w:hAnsiTheme="minorHAnsi" w:cs="Times New Roman"/>
                <w:sz w:val="17"/>
                <w:szCs w:val="17"/>
                <w:lang w:eastAsia="en-IE"/>
              </w:rPr>
              <w:t>4</w:t>
            </w:r>
          </w:p>
        </w:tc>
        <w:tc>
          <w:tcPr>
            <w:tcW w:w="619" w:type="dxa"/>
            <w:shd w:val="clear" w:color="auto" w:fill="auto"/>
            <w:tcMar>
              <w:left w:w="45" w:type="dxa"/>
              <w:right w:w="45" w:type="dxa"/>
            </w:tcMar>
          </w:tcPr>
          <w:p w14:paraId="39A906A7"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+13%</w:t>
            </w:r>
          </w:p>
        </w:tc>
        <w:tc>
          <w:tcPr>
            <w:tcW w:w="992" w:type="dxa"/>
            <w:shd w:val="clear" w:color="auto" w:fill="auto"/>
          </w:tcPr>
          <w:p w14:paraId="247102AC"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(7)</w:t>
            </w:r>
          </w:p>
        </w:tc>
        <w:tc>
          <w:tcPr>
            <w:tcW w:w="850" w:type="dxa"/>
            <w:shd w:val="clear" w:color="auto" w:fill="auto"/>
          </w:tcPr>
          <w:p w14:paraId="1E803756"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1,467</w:t>
            </w:r>
          </w:p>
        </w:tc>
        <w:tc>
          <w:tcPr>
            <w:tcW w:w="709" w:type="dxa"/>
            <w:shd w:val="clear" w:color="auto" w:fill="auto"/>
            <w:tcMar>
              <w:left w:w="45" w:type="dxa"/>
              <w:right w:w="45" w:type="dxa"/>
            </w:tcMar>
          </w:tcPr>
          <w:p w14:paraId="37D79038" w14:textId="77777777" w:rsidR="00E223C0" w:rsidRPr="00836A1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+14%</w:t>
            </w:r>
          </w:p>
        </w:tc>
      </w:tr>
      <w:tr w:rsidR="00E223C0" w:rsidRPr="00185E5E" w14:paraId="16EB0BDA" w14:textId="77777777" w:rsidTr="00DE428D">
        <w:tc>
          <w:tcPr>
            <w:tcW w:w="2599" w:type="dxa"/>
            <w:tcMar>
              <w:left w:w="45" w:type="dxa"/>
              <w:right w:w="45" w:type="dxa"/>
            </w:tcMar>
          </w:tcPr>
          <w:p w14:paraId="07728888"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7"/>
                <w:szCs w:val="17"/>
                <w:lang w:eastAsia="en-IE"/>
              </w:rPr>
            </w:pPr>
            <w:r w:rsidRPr="00791F17">
              <w:rPr>
                <w:rFonts w:asciiTheme="minorHAnsi" w:hAnsiTheme="minorHAnsi" w:cs="Times New Roman"/>
                <w:sz w:val="17"/>
                <w:szCs w:val="17"/>
                <w:lang w:eastAsia="en-IE"/>
              </w:rPr>
              <w:t>Gaming net revenue</w:t>
            </w:r>
          </w:p>
        </w:tc>
        <w:tc>
          <w:tcPr>
            <w:tcW w:w="657" w:type="dxa"/>
            <w:shd w:val="clear" w:color="auto" w:fill="F2F2F2" w:themeFill="background1" w:themeFillShade="F2"/>
            <w:tcMar>
              <w:left w:w="45" w:type="dxa"/>
              <w:right w:w="45" w:type="dxa"/>
            </w:tcMar>
          </w:tcPr>
          <w:p w14:paraId="4FEC9023"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473</w:t>
            </w:r>
          </w:p>
        </w:tc>
        <w:tc>
          <w:tcPr>
            <w:tcW w:w="567" w:type="dxa"/>
            <w:shd w:val="clear" w:color="auto" w:fill="auto"/>
            <w:tcMar>
              <w:left w:w="45" w:type="dxa"/>
              <w:right w:w="45" w:type="dxa"/>
            </w:tcMar>
          </w:tcPr>
          <w:p w14:paraId="41627A89"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399</w:t>
            </w:r>
          </w:p>
        </w:tc>
        <w:tc>
          <w:tcPr>
            <w:tcW w:w="619" w:type="dxa"/>
            <w:shd w:val="clear" w:color="auto" w:fill="auto"/>
            <w:tcMar>
              <w:left w:w="45" w:type="dxa"/>
              <w:right w:w="45" w:type="dxa"/>
            </w:tcMar>
          </w:tcPr>
          <w:p w14:paraId="7A03C237"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+19%</w:t>
            </w:r>
          </w:p>
        </w:tc>
        <w:tc>
          <w:tcPr>
            <w:tcW w:w="992" w:type="dxa"/>
            <w:shd w:val="clear" w:color="auto" w:fill="auto"/>
          </w:tcPr>
          <w:p w14:paraId="7D3EC01F"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w:t>
            </w:r>
          </w:p>
        </w:tc>
        <w:tc>
          <w:tcPr>
            <w:tcW w:w="850" w:type="dxa"/>
            <w:shd w:val="clear" w:color="auto" w:fill="auto"/>
          </w:tcPr>
          <w:p w14:paraId="6B5D671C"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400</w:t>
            </w:r>
          </w:p>
        </w:tc>
        <w:tc>
          <w:tcPr>
            <w:tcW w:w="709" w:type="dxa"/>
            <w:shd w:val="clear" w:color="auto" w:fill="auto"/>
            <w:tcMar>
              <w:left w:w="45" w:type="dxa"/>
              <w:right w:w="45" w:type="dxa"/>
            </w:tcMar>
          </w:tcPr>
          <w:p w14:paraId="79499521" w14:textId="77777777" w:rsidR="00E223C0" w:rsidRPr="00836A1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+18%</w:t>
            </w:r>
          </w:p>
        </w:tc>
      </w:tr>
      <w:tr w:rsidR="00E223C0" w:rsidRPr="00185E5E" w14:paraId="25C9A51F" w14:textId="77777777" w:rsidTr="00DE428D">
        <w:tc>
          <w:tcPr>
            <w:tcW w:w="2599" w:type="dxa"/>
            <w:tcMar>
              <w:left w:w="45" w:type="dxa"/>
              <w:right w:w="45" w:type="dxa"/>
            </w:tcMar>
          </w:tcPr>
          <w:p w14:paraId="52325D38"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r w:rsidRPr="00791F17">
              <w:rPr>
                <w:rFonts w:asciiTheme="minorHAnsi" w:hAnsiTheme="minorHAnsi" w:cs="Times New Roman"/>
                <w:b/>
                <w:sz w:val="17"/>
                <w:szCs w:val="17"/>
                <w:lang w:eastAsia="en-IE"/>
              </w:rPr>
              <w:t>Total net revenue</w:t>
            </w:r>
          </w:p>
        </w:tc>
        <w:tc>
          <w:tcPr>
            <w:tcW w:w="657" w:type="dxa"/>
            <w:shd w:val="clear" w:color="auto" w:fill="F2F2F2" w:themeFill="background1" w:themeFillShade="F2"/>
            <w:tcMar>
              <w:left w:w="45" w:type="dxa"/>
              <w:right w:w="45" w:type="dxa"/>
            </w:tcMar>
          </w:tcPr>
          <w:p w14:paraId="712F21EE"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2,140</w:t>
            </w:r>
          </w:p>
        </w:tc>
        <w:tc>
          <w:tcPr>
            <w:tcW w:w="567" w:type="dxa"/>
            <w:shd w:val="clear" w:color="auto" w:fill="auto"/>
            <w:tcMar>
              <w:left w:w="45" w:type="dxa"/>
              <w:right w:w="45" w:type="dxa"/>
            </w:tcMar>
          </w:tcPr>
          <w:p w14:paraId="38359994"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5E77D0">
              <w:rPr>
                <w:rFonts w:asciiTheme="minorHAnsi" w:hAnsiTheme="minorHAnsi" w:cs="Times New Roman"/>
                <w:b/>
                <w:sz w:val="17"/>
                <w:szCs w:val="17"/>
                <w:lang w:eastAsia="en-IE"/>
              </w:rPr>
              <w:t>1,873</w:t>
            </w:r>
          </w:p>
        </w:tc>
        <w:tc>
          <w:tcPr>
            <w:tcW w:w="619" w:type="dxa"/>
            <w:shd w:val="clear" w:color="auto" w:fill="auto"/>
            <w:tcMar>
              <w:left w:w="45" w:type="dxa"/>
              <w:right w:w="45" w:type="dxa"/>
            </w:tcMar>
          </w:tcPr>
          <w:p w14:paraId="7B518ED1"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+14%</w:t>
            </w:r>
          </w:p>
        </w:tc>
        <w:tc>
          <w:tcPr>
            <w:tcW w:w="992" w:type="dxa"/>
            <w:shd w:val="clear" w:color="auto" w:fill="auto"/>
          </w:tcPr>
          <w:p w14:paraId="02E0CFC8"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(7)</w:t>
            </w:r>
          </w:p>
        </w:tc>
        <w:tc>
          <w:tcPr>
            <w:tcW w:w="850" w:type="dxa"/>
            <w:shd w:val="clear" w:color="auto" w:fill="auto"/>
          </w:tcPr>
          <w:p w14:paraId="058FD5D8"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1,867</w:t>
            </w:r>
          </w:p>
        </w:tc>
        <w:tc>
          <w:tcPr>
            <w:tcW w:w="709" w:type="dxa"/>
            <w:shd w:val="clear" w:color="auto" w:fill="auto"/>
            <w:tcMar>
              <w:left w:w="45" w:type="dxa"/>
              <w:right w:w="45" w:type="dxa"/>
            </w:tcMar>
          </w:tcPr>
          <w:p w14:paraId="7A0B7D0F" w14:textId="77777777" w:rsidR="00E223C0" w:rsidRPr="00836A1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+15%</w:t>
            </w:r>
          </w:p>
        </w:tc>
      </w:tr>
      <w:tr w:rsidR="00E223C0" w:rsidRPr="00185E5E" w14:paraId="4119693B" w14:textId="77777777" w:rsidTr="00DE428D">
        <w:tc>
          <w:tcPr>
            <w:tcW w:w="2599" w:type="dxa"/>
            <w:tcMar>
              <w:left w:w="45" w:type="dxa"/>
              <w:right w:w="45" w:type="dxa"/>
            </w:tcMar>
          </w:tcPr>
          <w:p w14:paraId="43D06A8E"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0"/>
                <w:szCs w:val="10"/>
                <w:lang w:eastAsia="en-IE"/>
              </w:rPr>
            </w:pPr>
          </w:p>
        </w:tc>
        <w:tc>
          <w:tcPr>
            <w:tcW w:w="657" w:type="dxa"/>
            <w:shd w:val="clear" w:color="auto" w:fill="F2F2F2" w:themeFill="background1" w:themeFillShade="F2"/>
            <w:tcMar>
              <w:left w:w="45" w:type="dxa"/>
              <w:right w:w="45" w:type="dxa"/>
            </w:tcMar>
          </w:tcPr>
          <w:p w14:paraId="2D94B0B0"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0"/>
                <w:szCs w:val="10"/>
                <w:highlight w:val="yellow"/>
                <w:lang w:eastAsia="en-IE"/>
              </w:rPr>
            </w:pPr>
          </w:p>
        </w:tc>
        <w:tc>
          <w:tcPr>
            <w:tcW w:w="567" w:type="dxa"/>
            <w:shd w:val="clear" w:color="auto" w:fill="auto"/>
            <w:tcMar>
              <w:left w:w="45" w:type="dxa"/>
              <w:right w:w="45" w:type="dxa"/>
            </w:tcMar>
          </w:tcPr>
          <w:p w14:paraId="3C4B2761"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0"/>
                <w:szCs w:val="10"/>
                <w:lang w:eastAsia="en-IE"/>
              </w:rPr>
            </w:pPr>
          </w:p>
        </w:tc>
        <w:tc>
          <w:tcPr>
            <w:tcW w:w="619" w:type="dxa"/>
            <w:shd w:val="clear" w:color="auto" w:fill="auto"/>
            <w:tcMar>
              <w:left w:w="45" w:type="dxa"/>
              <w:right w:w="45" w:type="dxa"/>
            </w:tcMar>
          </w:tcPr>
          <w:p w14:paraId="2A328D1B"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0"/>
                <w:szCs w:val="10"/>
                <w:highlight w:val="yellow"/>
                <w:lang w:eastAsia="en-IE"/>
              </w:rPr>
            </w:pPr>
          </w:p>
        </w:tc>
        <w:tc>
          <w:tcPr>
            <w:tcW w:w="992" w:type="dxa"/>
            <w:shd w:val="clear" w:color="auto" w:fill="auto"/>
          </w:tcPr>
          <w:p w14:paraId="705C089E"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0"/>
                <w:szCs w:val="10"/>
                <w:lang w:eastAsia="en-IE"/>
              </w:rPr>
            </w:pPr>
          </w:p>
        </w:tc>
        <w:tc>
          <w:tcPr>
            <w:tcW w:w="850" w:type="dxa"/>
            <w:shd w:val="clear" w:color="auto" w:fill="auto"/>
          </w:tcPr>
          <w:p w14:paraId="15C37E00"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0"/>
                <w:szCs w:val="10"/>
                <w:lang w:eastAsia="en-IE"/>
              </w:rPr>
            </w:pPr>
          </w:p>
        </w:tc>
        <w:tc>
          <w:tcPr>
            <w:tcW w:w="709" w:type="dxa"/>
            <w:shd w:val="clear" w:color="auto" w:fill="auto"/>
            <w:tcMar>
              <w:left w:w="45" w:type="dxa"/>
              <w:right w:w="45" w:type="dxa"/>
            </w:tcMar>
          </w:tcPr>
          <w:p w14:paraId="07C58F5C"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0"/>
                <w:szCs w:val="10"/>
                <w:highlight w:val="yellow"/>
                <w:lang w:eastAsia="en-IE"/>
              </w:rPr>
            </w:pPr>
          </w:p>
        </w:tc>
      </w:tr>
      <w:tr w:rsidR="00E223C0" w:rsidRPr="00185E5E" w14:paraId="1E1E5012" w14:textId="77777777" w:rsidTr="00DE428D">
        <w:tc>
          <w:tcPr>
            <w:tcW w:w="2599" w:type="dxa"/>
            <w:tcMar>
              <w:left w:w="45" w:type="dxa"/>
              <w:right w:w="45" w:type="dxa"/>
            </w:tcMar>
          </w:tcPr>
          <w:p w14:paraId="06E6C7BE"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7"/>
                <w:szCs w:val="17"/>
                <w:lang w:eastAsia="en-IE"/>
              </w:rPr>
            </w:pPr>
            <w:r w:rsidRPr="00791F17">
              <w:rPr>
                <w:rFonts w:asciiTheme="minorHAnsi" w:hAnsiTheme="minorHAnsi" w:cs="Times New Roman"/>
                <w:sz w:val="17"/>
                <w:szCs w:val="17"/>
                <w:lang w:eastAsia="en-IE"/>
              </w:rPr>
              <w:t>Cost of sales</w:t>
            </w:r>
          </w:p>
        </w:tc>
        <w:tc>
          <w:tcPr>
            <w:tcW w:w="657" w:type="dxa"/>
            <w:shd w:val="clear" w:color="auto" w:fill="F2F2F2" w:themeFill="background1" w:themeFillShade="F2"/>
            <w:tcMar>
              <w:left w:w="45" w:type="dxa"/>
              <w:right w:w="45" w:type="dxa"/>
            </w:tcMar>
          </w:tcPr>
          <w:p w14:paraId="5E896630"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(650)</w:t>
            </w:r>
          </w:p>
        </w:tc>
        <w:tc>
          <w:tcPr>
            <w:tcW w:w="567" w:type="dxa"/>
            <w:shd w:val="clear" w:color="auto" w:fill="auto"/>
            <w:tcMar>
              <w:left w:w="45" w:type="dxa"/>
              <w:right w:w="45" w:type="dxa"/>
            </w:tcMar>
          </w:tcPr>
          <w:p w14:paraId="5822390C"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5E77D0">
              <w:rPr>
                <w:rFonts w:asciiTheme="minorHAnsi" w:hAnsiTheme="minorHAnsi" w:cs="Times New Roman"/>
                <w:sz w:val="17"/>
                <w:szCs w:val="17"/>
                <w:lang w:eastAsia="en-IE"/>
              </w:rPr>
              <w:t>(470)</w:t>
            </w:r>
          </w:p>
        </w:tc>
        <w:tc>
          <w:tcPr>
            <w:tcW w:w="619" w:type="dxa"/>
            <w:shd w:val="clear" w:color="auto" w:fill="auto"/>
            <w:tcMar>
              <w:left w:w="45" w:type="dxa"/>
              <w:right w:w="45" w:type="dxa"/>
            </w:tcMar>
          </w:tcPr>
          <w:p w14:paraId="33F353A2"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+38%</w:t>
            </w:r>
          </w:p>
        </w:tc>
        <w:tc>
          <w:tcPr>
            <w:tcW w:w="992" w:type="dxa"/>
            <w:shd w:val="clear" w:color="auto" w:fill="auto"/>
          </w:tcPr>
          <w:p w14:paraId="18DC3244" w14:textId="3B02551A"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2</w:t>
            </w:r>
          </w:p>
        </w:tc>
        <w:tc>
          <w:tcPr>
            <w:tcW w:w="850" w:type="dxa"/>
            <w:shd w:val="clear" w:color="auto" w:fill="auto"/>
          </w:tcPr>
          <w:p w14:paraId="528107F6"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(467)</w:t>
            </w:r>
          </w:p>
        </w:tc>
        <w:tc>
          <w:tcPr>
            <w:tcW w:w="709" w:type="dxa"/>
            <w:shd w:val="clear" w:color="auto" w:fill="auto"/>
            <w:tcMar>
              <w:left w:w="45" w:type="dxa"/>
              <w:right w:w="45" w:type="dxa"/>
            </w:tcMar>
          </w:tcPr>
          <w:p w14:paraId="3B1B371E"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highlight w:val="yellow"/>
                <w:lang w:eastAsia="en-IE"/>
              </w:rPr>
            </w:pPr>
            <w:r w:rsidRPr="00CB22CD">
              <w:rPr>
                <w:rFonts w:asciiTheme="minorHAnsi" w:hAnsiTheme="minorHAnsi" w:cs="Times New Roman"/>
                <w:sz w:val="17"/>
                <w:szCs w:val="17"/>
                <w:lang w:eastAsia="en-IE"/>
              </w:rPr>
              <w:t>+</w:t>
            </w:r>
            <w:r>
              <w:rPr>
                <w:rFonts w:asciiTheme="minorHAnsi" w:hAnsiTheme="minorHAnsi" w:cs="Times New Roman"/>
                <w:sz w:val="17"/>
                <w:szCs w:val="17"/>
                <w:lang w:eastAsia="en-IE"/>
              </w:rPr>
              <w:t>39</w:t>
            </w:r>
            <w:r w:rsidRPr="00CB22CD">
              <w:rPr>
                <w:rFonts w:asciiTheme="minorHAnsi" w:hAnsiTheme="minorHAnsi" w:cs="Times New Roman"/>
                <w:sz w:val="17"/>
                <w:szCs w:val="17"/>
                <w:lang w:eastAsia="en-IE"/>
              </w:rPr>
              <w:t>%</w:t>
            </w:r>
          </w:p>
        </w:tc>
      </w:tr>
      <w:tr w:rsidR="00E223C0" w:rsidRPr="00185E5E" w14:paraId="5252C190" w14:textId="77777777" w:rsidTr="00DE428D">
        <w:tc>
          <w:tcPr>
            <w:tcW w:w="2599" w:type="dxa"/>
            <w:tcMar>
              <w:left w:w="45" w:type="dxa"/>
              <w:right w:w="45" w:type="dxa"/>
            </w:tcMar>
          </w:tcPr>
          <w:p w14:paraId="0BF271AC"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0"/>
                <w:szCs w:val="10"/>
                <w:lang w:eastAsia="en-IE"/>
              </w:rPr>
            </w:pPr>
          </w:p>
        </w:tc>
        <w:tc>
          <w:tcPr>
            <w:tcW w:w="657" w:type="dxa"/>
            <w:shd w:val="clear" w:color="auto" w:fill="F2F2F2" w:themeFill="background1" w:themeFillShade="F2"/>
            <w:tcMar>
              <w:left w:w="45" w:type="dxa"/>
              <w:right w:w="45" w:type="dxa"/>
            </w:tcMar>
          </w:tcPr>
          <w:p w14:paraId="6EFF90A0"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0"/>
                <w:szCs w:val="10"/>
                <w:lang w:eastAsia="en-IE"/>
              </w:rPr>
            </w:pPr>
          </w:p>
        </w:tc>
        <w:tc>
          <w:tcPr>
            <w:tcW w:w="567" w:type="dxa"/>
            <w:shd w:val="clear" w:color="auto" w:fill="auto"/>
            <w:tcMar>
              <w:left w:w="45" w:type="dxa"/>
              <w:right w:w="45" w:type="dxa"/>
            </w:tcMar>
          </w:tcPr>
          <w:p w14:paraId="5D5C2C5B"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0"/>
                <w:szCs w:val="10"/>
                <w:lang w:eastAsia="en-IE"/>
              </w:rPr>
            </w:pPr>
          </w:p>
        </w:tc>
        <w:tc>
          <w:tcPr>
            <w:tcW w:w="619" w:type="dxa"/>
            <w:shd w:val="clear" w:color="auto" w:fill="auto"/>
            <w:tcMar>
              <w:left w:w="45" w:type="dxa"/>
              <w:right w:w="45" w:type="dxa"/>
            </w:tcMar>
          </w:tcPr>
          <w:p w14:paraId="341E7DFE"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0"/>
                <w:szCs w:val="10"/>
                <w:lang w:eastAsia="en-IE"/>
              </w:rPr>
            </w:pPr>
          </w:p>
        </w:tc>
        <w:tc>
          <w:tcPr>
            <w:tcW w:w="992" w:type="dxa"/>
            <w:shd w:val="clear" w:color="auto" w:fill="auto"/>
          </w:tcPr>
          <w:p w14:paraId="10D45870"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sz w:val="10"/>
                <w:szCs w:val="10"/>
                <w:highlight w:val="yellow"/>
                <w:lang w:eastAsia="en-IE"/>
              </w:rPr>
            </w:pPr>
          </w:p>
        </w:tc>
        <w:tc>
          <w:tcPr>
            <w:tcW w:w="850" w:type="dxa"/>
            <w:shd w:val="clear" w:color="auto" w:fill="auto"/>
          </w:tcPr>
          <w:p w14:paraId="3D516806"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sz w:val="10"/>
                <w:szCs w:val="10"/>
                <w:lang w:eastAsia="en-IE"/>
              </w:rPr>
            </w:pPr>
          </w:p>
        </w:tc>
        <w:tc>
          <w:tcPr>
            <w:tcW w:w="709" w:type="dxa"/>
            <w:shd w:val="clear" w:color="auto" w:fill="auto"/>
            <w:tcMar>
              <w:left w:w="45" w:type="dxa"/>
              <w:right w:w="45" w:type="dxa"/>
            </w:tcMar>
          </w:tcPr>
          <w:p w14:paraId="771095E1"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heme="minorHAnsi" w:hAnsiTheme="minorHAnsi" w:cs="Times New Roman"/>
                <w:sz w:val="10"/>
                <w:szCs w:val="10"/>
                <w:highlight w:val="yellow"/>
                <w:lang w:eastAsia="en-IE"/>
              </w:rPr>
            </w:pPr>
          </w:p>
        </w:tc>
      </w:tr>
      <w:tr w:rsidR="00E223C0" w:rsidRPr="00185E5E" w14:paraId="4FD127FE" w14:textId="77777777" w:rsidTr="00DE428D">
        <w:tc>
          <w:tcPr>
            <w:tcW w:w="2599" w:type="dxa"/>
            <w:tcMar>
              <w:left w:w="45" w:type="dxa"/>
              <w:right w:w="45" w:type="dxa"/>
            </w:tcMar>
          </w:tcPr>
          <w:p w14:paraId="4BD88FA6"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r w:rsidRPr="00791F17">
              <w:rPr>
                <w:rFonts w:asciiTheme="minorHAnsi" w:hAnsiTheme="minorHAnsi" w:cs="Times New Roman"/>
                <w:b/>
                <w:sz w:val="17"/>
                <w:szCs w:val="17"/>
                <w:lang w:eastAsia="en-IE"/>
              </w:rPr>
              <w:t>Gross Profit</w:t>
            </w:r>
          </w:p>
        </w:tc>
        <w:tc>
          <w:tcPr>
            <w:tcW w:w="657" w:type="dxa"/>
            <w:shd w:val="clear" w:color="auto" w:fill="F2F2F2" w:themeFill="background1" w:themeFillShade="F2"/>
            <w:tcMar>
              <w:left w:w="45" w:type="dxa"/>
              <w:right w:w="45" w:type="dxa"/>
            </w:tcMar>
          </w:tcPr>
          <w:p w14:paraId="4E0BA114"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1,490</w:t>
            </w:r>
          </w:p>
        </w:tc>
        <w:tc>
          <w:tcPr>
            <w:tcW w:w="567" w:type="dxa"/>
            <w:shd w:val="clear" w:color="auto" w:fill="auto"/>
            <w:tcMar>
              <w:left w:w="45" w:type="dxa"/>
              <w:right w:w="45" w:type="dxa"/>
            </w:tcMar>
          </w:tcPr>
          <w:p w14:paraId="2F2F6AF0"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5E77D0">
              <w:rPr>
                <w:rFonts w:asciiTheme="minorHAnsi" w:hAnsiTheme="minorHAnsi" w:cs="Times New Roman"/>
                <w:b/>
                <w:sz w:val="17"/>
                <w:szCs w:val="17"/>
                <w:lang w:eastAsia="en-IE"/>
              </w:rPr>
              <w:t>1,403</w:t>
            </w:r>
          </w:p>
        </w:tc>
        <w:tc>
          <w:tcPr>
            <w:tcW w:w="619" w:type="dxa"/>
            <w:shd w:val="clear" w:color="auto" w:fill="auto"/>
            <w:tcMar>
              <w:left w:w="45" w:type="dxa"/>
              <w:right w:w="45" w:type="dxa"/>
            </w:tcMar>
          </w:tcPr>
          <w:p w14:paraId="49263787"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+6%</w:t>
            </w:r>
          </w:p>
        </w:tc>
        <w:tc>
          <w:tcPr>
            <w:tcW w:w="992" w:type="dxa"/>
            <w:shd w:val="clear" w:color="auto" w:fill="auto"/>
          </w:tcPr>
          <w:p w14:paraId="5A2D14AD"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(4)</w:t>
            </w:r>
          </w:p>
        </w:tc>
        <w:tc>
          <w:tcPr>
            <w:tcW w:w="850" w:type="dxa"/>
            <w:shd w:val="clear" w:color="auto" w:fill="auto"/>
          </w:tcPr>
          <w:p w14:paraId="0E7F1A80"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1,399</w:t>
            </w:r>
          </w:p>
        </w:tc>
        <w:tc>
          <w:tcPr>
            <w:tcW w:w="709" w:type="dxa"/>
            <w:shd w:val="clear" w:color="auto" w:fill="auto"/>
            <w:tcMar>
              <w:left w:w="45" w:type="dxa"/>
              <w:right w:w="45" w:type="dxa"/>
            </w:tcMar>
          </w:tcPr>
          <w:p w14:paraId="3D285852" w14:textId="77777777" w:rsidR="00E223C0" w:rsidRPr="00836A1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+6%</w:t>
            </w:r>
          </w:p>
        </w:tc>
      </w:tr>
      <w:tr w:rsidR="00E223C0" w:rsidRPr="00185E5E" w14:paraId="5DB61952" w14:textId="77777777" w:rsidTr="00DE428D">
        <w:tc>
          <w:tcPr>
            <w:tcW w:w="2599" w:type="dxa"/>
            <w:tcMar>
              <w:left w:w="45" w:type="dxa"/>
              <w:right w:w="45" w:type="dxa"/>
            </w:tcMar>
          </w:tcPr>
          <w:p w14:paraId="25F80BD3"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0"/>
                <w:szCs w:val="10"/>
                <w:lang w:eastAsia="en-IE"/>
              </w:rPr>
            </w:pPr>
          </w:p>
        </w:tc>
        <w:tc>
          <w:tcPr>
            <w:tcW w:w="657" w:type="dxa"/>
            <w:shd w:val="clear" w:color="auto" w:fill="F2F2F2" w:themeFill="background1" w:themeFillShade="F2"/>
            <w:tcMar>
              <w:left w:w="45" w:type="dxa"/>
              <w:right w:w="45" w:type="dxa"/>
            </w:tcMar>
          </w:tcPr>
          <w:p w14:paraId="37EA5B3F"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0"/>
                <w:szCs w:val="10"/>
                <w:highlight w:val="yellow"/>
                <w:lang w:eastAsia="en-IE"/>
              </w:rPr>
            </w:pPr>
          </w:p>
        </w:tc>
        <w:tc>
          <w:tcPr>
            <w:tcW w:w="567" w:type="dxa"/>
            <w:shd w:val="clear" w:color="auto" w:fill="auto"/>
            <w:tcMar>
              <w:left w:w="45" w:type="dxa"/>
              <w:right w:w="45" w:type="dxa"/>
            </w:tcMar>
          </w:tcPr>
          <w:p w14:paraId="34BB3F34"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0"/>
                <w:szCs w:val="10"/>
                <w:lang w:eastAsia="en-IE"/>
              </w:rPr>
            </w:pPr>
          </w:p>
        </w:tc>
        <w:tc>
          <w:tcPr>
            <w:tcW w:w="619" w:type="dxa"/>
            <w:shd w:val="clear" w:color="auto" w:fill="auto"/>
            <w:tcMar>
              <w:left w:w="45" w:type="dxa"/>
              <w:right w:w="45" w:type="dxa"/>
            </w:tcMar>
          </w:tcPr>
          <w:p w14:paraId="0E747407"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0"/>
                <w:szCs w:val="10"/>
                <w:lang w:eastAsia="en-IE"/>
              </w:rPr>
            </w:pPr>
          </w:p>
        </w:tc>
        <w:tc>
          <w:tcPr>
            <w:tcW w:w="992" w:type="dxa"/>
            <w:shd w:val="clear" w:color="auto" w:fill="auto"/>
          </w:tcPr>
          <w:p w14:paraId="2493E49F"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0"/>
                <w:szCs w:val="10"/>
                <w:lang w:eastAsia="en-IE"/>
              </w:rPr>
            </w:pPr>
          </w:p>
        </w:tc>
        <w:tc>
          <w:tcPr>
            <w:tcW w:w="850" w:type="dxa"/>
            <w:shd w:val="clear" w:color="auto" w:fill="auto"/>
          </w:tcPr>
          <w:p w14:paraId="58B66474"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0"/>
                <w:szCs w:val="10"/>
                <w:highlight w:val="yellow"/>
                <w:lang w:eastAsia="en-IE"/>
              </w:rPr>
            </w:pPr>
          </w:p>
        </w:tc>
        <w:tc>
          <w:tcPr>
            <w:tcW w:w="709" w:type="dxa"/>
            <w:shd w:val="clear" w:color="auto" w:fill="auto"/>
            <w:tcMar>
              <w:left w:w="45" w:type="dxa"/>
              <w:right w:w="45" w:type="dxa"/>
            </w:tcMar>
          </w:tcPr>
          <w:p w14:paraId="683894EC" w14:textId="77777777" w:rsidR="00E223C0" w:rsidRPr="00836A1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0"/>
                <w:szCs w:val="10"/>
                <w:lang w:eastAsia="en-IE"/>
              </w:rPr>
            </w:pPr>
          </w:p>
        </w:tc>
      </w:tr>
      <w:tr w:rsidR="00E223C0" w:rsidRPr="00185E5E" w14:paraId="74ED619C" w14:textId="77777777" w:rsidTr="00DE428D">
        <w:tc>
          <w:tcPr>
            <w:tcW w:w="2599" w:type="dxa"/>
            <w:tcMar>
              <w:left w:w="45" w:type="dxa"/>
              <w:right w:w="45" w:type="dxa"/>
            </w:tcMar>
          </w:tcPr>
          <w:p w14:paraId="2DF634BC"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7"/>
                <w:szCs w:val="17"/>
                <w:lang w:eastAsia="en-IE"/>
              </w:rPr>
            </w:pPr>
            <w:r w:rsidRPr="00791F17">
              <w:rPr>
                <w:rFonts w:asciiTheme="minorHAnsi" w:hAnsiTheme="minorHAnsi" w:cs="Times New Roman"/>
                <w:sz w:val="17"/>
                <w:szCs w:val="17"/>
                <w:lang w:eastAsia="en-IE"/>
              </w:rPr>
              <w:t>Sales &amp; marketing</w:t>
            </w:r>
          </w:p>
        </w:tc>
        <w:tc>
          <w:tcPr>
            <w:tcW w:w="657" w:type="dxa"/>
            <w:shd w:val="clear" w:color="auto" w:fill="F2F2F2" w:themeFill="background1" w:themeFillShade="F2"/>
            <w:tcMar>
              <w:left w:w="45" w:type="dxa"/>
              <w:right w:w="45" w:type="dxa"/>
            </w:tcMar>
          </w:tcPr>
          <w:p w14:paraId="5951D0E2"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(465)</w:t>
            </w:r>
          </w:p>
        </w:tc>
        <w:tc>
          <w:tcPr>
            <w:tcW w:w="567" w:type="dxa"/>
            <w:shd w:val="clear" w:color="auto" w:fill="auto"/>
            <w:tcMar>
              <w:left w:w="45" w:type="dxa"/>
              <w:right w:w="45" w:type="dxa"/>
            </w:tcMar>
          </w:tcPr>
          <w:p w14:paraId="32C75DF8"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5E77D0">
              <w:rPr>
                <w:rFonts w:asciiTheme="minorHAnsi" w:hAnsiTheme="minorHAnsi" w:cs="Times New Roman"/>
                <w:sz w:val="17"/>
                <w:szCs w:val="17"/>
                <w:lang w:eastAsia="en-IE"/>
              </w:rPr>
              <w:t>(40</w:t>
            </w:r>
            <w:r>
              <w:rPr>
                <w:rFonts w:asciiTheme="minorHAnsi" w:hAnsiTheme="minorHAnsi" w:cs="Times New Roman"/>
                <w:sz w:val="17"/>
                <w:szCs w:val="17"/>
                <w:lang w:eastAsia="en-IE"/>
              </w:rPr>
              <w:t>6</w:t>
            </w:r>
            <w:r w:rsidRPr="005E77D0">
              <w:rPr>
                <w:rFonts w:asciiTheme="minorHAnsi" w:hAnsiTheme="minorHAnsi" w:cs="Times New Roman"/>
                <w:sz w:val="17"/>
                <w:szCs w:val="17"/>
                <w:lang w:eastAsia="en-IE"/>
              </w:rPr>
              <w:t>)</w:t>
            </w:r>
          </w:p>
        </w:tc>
        <w:tc>
          <w:tcPr>
            <w:tcW w:w="619" w:type="dxa"/>
            <w:shd w:val="clear" w:color="auto" w:fill="auto"/>
            <w:tcMar>
              <w:left w:w="45" w:type="dxa"/>
              <w:right w:w="45" w:type="dxa"/>
            </w:tcMar>
          </w:tcPr>
          <w:p w14:paraId="256CD434"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+15%</w:t>
            </w:r>
          </w:p>
        </w:tc>
        <w:tc>
          <w:tcPr>
            <w:tcW w:w="992" w:type="dxa"/>
            <w:shd w:val="clear" w:color="auto" w:fill="auto"/>
          </w:tcPr>
          <w:p w14:paraId="5B1591F3"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w:t>
            </w:r>
          </w:p>
        </w:tc>
        <w:tc>
          <w:tcPr>
            <w:tcW w:w="850" w:type="dxa"/>
            <w:shd w:val="clear" w:color="auto" w:fill="auto"/>
          </w:tcPr>
          <w:p w14:paraId="658D06EB"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(407)</w:t>
            </w:r>
          </w:p>
        </w:tc>
        <w:tc>
          <w:tcPr>
            <w:tcW w:w="709" w:type="dxa"/>
            <w:shd w:val="clear" w:color="auto" w:fill="auto"/>
            <w:tcMar>
              <w:left w:w="45" w:type="dxa"/>
              <w:right w:w="45" w:type="dxa"/>
            </w:tcMar>
          </w:tcPr>
          <w:p w14:paraId="6E4F57EF" w14:textId="77777777" w:rsidR="00E223C0" w:rsidRPr="00836A1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+14%</w:t>
            </w:r>
          </w:p>
        </w:tc>
      </w:tr>
      <w:tr w:rsidR="00E223C0" w:rsidRPr="00185E5E" w14:paraId="72949715" w14:textId="77777777" w:rsidTr="00DE428D">
        <w:tc>
          <w:tcPr>
            <w:tcW w:w="2599" w:type="dxa"/>
            <w:tcMar>
              <w:left w:w="45" w:type="dxa"/>
              <w:right w:w="45" w:type="dxa"/>
            </w:tcMar>
          </w:tcPr>
          <w:p w14:paraId="51C68C31"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7"/>
                <w:szCs w:val="17"/>
                <w:lang w:eastAsia="en-IE"/>
              </w:rPr>
            </w:pPr>
            <w:r w:rsidRPr="00791F17">
              <w:rPr>
                <w:rFonts w:asciiTheme="minorHAnsi" w:hAnsiTheme="minorHAnsi" w:cs="Times New Roman"/>
                <w:sz w:val="17"/>
                <w:szCs w:val="17"/>
                <w:lang w:eastAsia="en-IE"/>
              </w:rPr>
              <w:t>Product &amp; technology</w:t>
            </w:r>
          </w:p>
        </w:tc>
        <w:tc>
          <w:tcPr>
            <w:tcW w:w="657" w:type="dxa"/>
            <w:shd w:val="clear" w:color="auto" w:fill="F2F2F2" w:themeFill="background1" w:themeFillShade="F2"/>
            <w:tcMar>
              <w:left w:w="45" w:type="dxa"/>
              <w:right w:w="45" w:type="dxa"/>
            </w:tcMar>
          </w:tcPr>
          <w:p w14:paraId="48FD0AA4"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(171)</w:t>
            </w:r>
          </w:p>
        </w:tc>
        <w:tc>
          <w:tcPr>
            <w:tcW w:w="567" w:type="dxa"/>
            <w:shd w:val="clear" w:color="auto" w:fill="auto"/>
            <w:tcMar>
              <w:left w:w="45" w:type="dxa"/>
              <w:right w:w="45" w:type="dxa"/>
            </w:tcMar>
          </w:tcPr>
          <w:p w14:paraId="2E8E236D"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5E77D0">
              <w:rPr>
                <w:rFonts w:asciiTheme="minorHAnsi" w:hAnsiTheme="minorHAnsi" w:cs="Times New Roman"/>
                <w:sz w:val="17"/>
                <w:szCs w:val="17"/>
                <w:lang w:eastAsia="en-IE"/>
              </w:rPr>
              <w:t>(144)</w:t>
            </w:r>
          </w:p>
        </w:tc>
        <w:tc>
          <w:tcPr>
            <w:tcW w:w="619" w:type="dxa"/>
            <w:shd w:val="clear" w:color="auto" w:fill="auto"/>
            <w:tcMar>
              <w:left w:w="45" w:type="dxa"/>
              <w:right w:w="45" w:type="dxa"/>
            </w:tcMar>
          </w:tcPr>
          <w:p w14:paraId="1DF1CB04"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+19%</w:t>
            </w:r>
          </w:p>
        </w:tc>
        <w:tc>
          <w:tcPr>
            <w:tcW w:w="992" w:type="dxa"/>
            <w:shd w:val="clear" w:color="auto" w:fill="auto"/>
          </w:tcPr>
          <w:p w14:paraId="600617B1"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w:t>
            </w:r>
          </w:p>
        </w:tc>
        <w:tc>
          <w:tcPr>
            <w:tcW w:w="850" w:type="dxa"/>
            <w:shd w:val="clear" w:color="auto" w:fill="auto"/>
          </w:tcPr>
          <w:p w14:paraId="64C7C6D4"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(143)</w:t>
            </w:r>
          </w:p>
        </w:tc>
        <w:tc>
          <w:tcPr>
            <w:tcW w:w="709" w:type="dxa"/>
            <w:shd w:val="clear" w:color="auto" w:fill="auto"/>
            <w:tcMar>
              <w:left w:w="45" w:type="dxa"/>
              <w:right w:w="45" w:type="dxa"/>
            </w:tcMar>
          </w:tcPr>
          <w:p w14:paraId="5F239193" w14:textId="77777777" w:rsidR="00E223C0" w:rsidRPr="00836A1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+19%</w:t>
            </w:r>
          </w:p>
        </w:tc>
      </w:tr>
      <w:tr w:rsidR="00E223C0" w:rsidRPr="00185E5E" w14:paraId="05DC7590" w14:textId="77777777" w:rsidTr="00DE428D">
        <w:tc>
          <w:tcPr>
            <w:tcW w:w="2599" w:type="dxa"/>
            <w:tcMar>
              <w:left w:w="45" w:type="dxa"/>
              <w:right w:w="45" w:type="dxa"/>
            </w:tcMar>
          </w:tcPr>
          <w:p w14:paraId="4974E2EF"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7"/>
                <w:szCs w:val="17"/>
                <w:lang w:eastAsia="en-IE"/>
              </w:rPr>
            </w:pPr>
            <w:r w:rsidRPr="00791F17">
              <w:rPr>
                <w:rFonts w:asciiTheme="minorHAnsi" w:hAnsiTheme="minorHAnsi" w:cs="Times New Roman"/>
                <w:sz w:val="17"/>
                <w:szCs w:val="17"/>
                <w:lang w:eastAsia="en-IE"/>
              </w:rPr>
              <w:t>Operations</w:t>
            </w:r>
          </w:p>
        </w:tc>
        <w:tc>
          <w:tcPr>
            <w:tcW w:w="657" w:type="dxa"/>
            <w:shd w:val="clear" w:color="auto" w:fill="F2F2F2" w:themeFill="background1" w:themeFillShade="F2"/>
            <w:tcMar>
              <w:left w:w="45" w:type="dxa"/>
              <w:right w:w="45" w:type="dxa"/>
            </w:tcMar>
          </w:tcPr>
          <w:p w14:paraId="2432D0A7"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(409)</w:t>
            </w:r>
          </w:p>
        </w:tc>
        <w:tc>
          <w:tcPr>
            <w:tcW w:w="567" w:type="dxa"/>
            <w:shd w:val="clear" w:color="auto" w:fill="auto"/>
            <w:tcMar>
              <w:left w:w="45" w:type="dxa"/>
              <w:right w:w="45" w:type="dxa"/>
            </w:tcMar>
          </w:tcPr>
          <w:p w14:paraId="4C7B6ABD"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5E77D0">
              <w:rPr>
                <w:rFonts w:asciiTheme="minorHAnsi" w:hAnsiTheme="minorHAnsi" w:cs="Times New Roman"/>
                <w:sz w:val="17"/>
                <w:szCs w:val="17"/>
                <w:lang w:eastAsia="en-IE"/>
              </w:rPr>
              <w:t>(34</w:t>
            </w:r>
            <w:r>
              <w:rPr>
                <w:rFonts w:asciiTheme="minorHAnsi" w:hAnsiTheme="minorHAnsi" w:cs="Times New Roman"/>
                <w:sz w:val="17"/>
                <w:szCs w:val="17"/>
                <w:lang w:eastAsia="en-IE"/>
              </w:rPr>
              <w:t>3</w:t>
            </w:r>
            <w:r w:rsidRPr="005E77D0">
              <w:rPr>
                <w:rFonts w:asciiTheme="minorHAnsi" w:hAnsiTheme="minorHAnsi" w:cs="Times New Roman"/>
                <w:sz w:val="17"/>
                <w:szCs w:val="17"/>
                <w:lang w:eastAsia="en-IE"/>
              </w:rPr>
              <w:t>)</w:t>
            </w:r>
          </w:p>
        </w:tc>
        <w:tc>
          <w:tcPr>
            <w:tcW w:w="619" w:type="dxa"/>
            <w:shd w:val="clear" w:color="auto" w:fill="auto"/>
            <w:tcMar>
              <w:left w:w="45" w:type="dxa"/>
              <w:right w:w="45" w:type="dxa"/>
            </w:tcMar>
          </w:tcPr>
          <w:p w14:paraId="35BAA6DC"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+19%</w:t>
            </w:r>
          </w:p>
        </w:tc>
        <w:tc>
          <w:tcPr>
            <w:tcW w:w="992" w:type="dxa"/>
            <w:shd w:val="clear" w:color="auto" w:fill="auto"/>
          </w:tcPr>
          <w:p w14:paraId="54A0035D"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w:t>
            </w:r>
          </w:p>
        </w:tc>
        <w:tc>
          <w:tcPr>
            <w:tcW w:w="850" w:type="dxa"/>
            <w:shd w:val="clear" w:color="auto" w:fill="auto"/>
          </w:tcPr>
          <w:p w14:paraId="19ADDE87"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(343)</w:t>
            </w:r>
          </w:p>
        </w:tc>
        <w:tc>
          <w:tcPr>
            <w:tcW w:w="709" w:type="dxa"/>
            <w:shd w:val="clear" w:color="auto" w:fill="auto"/>
            <w:tcMar>
              <w:left w:w="45" w:type="dxa"/>
              <w:right w:w="45" w:type="dxa"/>
            </w:tcMar>
          </w:tcPr>
          <w:p w14:paraId="3E3EAF6B" w14:textId="77777777" w:rsidR="00E223C0" w:rsidRPr="00836A1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+19%</w:t>
            </w:r>
          </w:p>
        </w:tc>
      </w:tr>
      <w:tr w:rsidR="00E223C0" w:rsidRPr="00185E5E" w14:paraId="2EF4D333" w14:textId="77777777" w:rsidTr="00DE428D">
        <w:tc>
          <w:tcPr>
            <w:tcW w:w="2599" w:type="dxa"/>
            <w:tcMar>
              <w:left w:w="45" w:type="dxa"/>
              <w:right w:w="45" w:type="dxa"/>
            </w:tcMar>
          </w:tcPr>
          <w:p w14:paraId="7596D90B"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7"/>
                <w:szCs w:val="17"/>
                <w:lang w:eastAsia="en-IE"/>
              </w:rPr>
            </w:pPr>
            <w:r w:rsidRPr="00791F17">
              <w:rPr>
                <w:rFonts w:asciiTheme="minorHAnsi" w:hAnsiTheme="minorHAnsi" w:cs="Times New Roman"/>
                <w:sz w:val="17"/>
                <w:szCs w:val="17"/>
                <w:lang w:eastAsia="en-IE"/>
              </w:rPr>
              <w:t>Unallocated central costs</w:t>
            </w:r>
          </w:p>
        </w:tc>
        <w:tc>
          <w:tcPr>
            <w:tcW w:w="657" w:type="dxa"/>
            <w:shd w:val="clear" w:color="auto" w:fill="F2F2F2" w:themeFill="background1" w:themeFillShade="F2"/>
            <w:tcMar>
              <w:left w:w="45" w:type="dxa"/>
              <w:right w:w="45" w:type="dxa"/>
            </w:tcMar>
          </w:tcPr>
          <w:p w14:paraId="371182FE"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(60)</w:t>
            </w:r>
          </w:p>
        </w:tc>
        <w:tc>
          <w:tcPr>
            <w:tcW w:w="567" w:type="dxa"/>
            <w:shd w:val="clear" w:color="auto" w:fill="auto"/>
            <w:tcMar>
              <w:left w:w="45" w:type="dxa"/>
              <w:right w:w="45" w:type="dxa"/>
            </w:tcMar>
          </w:tcPr>
          <w:p w14:paraId="35DB17D3"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5E77D0">
              <w:rPr>
                <w:rFonts w:asciiTheme="minorHAnsi" w:hAnsiTheme="minorHAnsi" w:cs="Times New Roman"/>
                <w:sz w:val="17"/>
                <w:szCs w:val="17"/>
                <w:lang w:eastAsia="en-IE"/>
              </w:rPr>
              <w:t>(59)</w:t>
            </w:r>
          </w:p>
        </w:tc>
        <w:tc>
          <w:tcPr>
            <w:tcW w:w="619" w:type="dxa"/>
            <w:shd w:val="clear" w:color="auto" w:fill="auto"/>
            <w:tcMar>
              <w:left w:w="45" w:type="dxa"/>
              <w:right w:w="45" w:type="dxa"/>
            </w:tcMar>
          </w:tcPr>
          <w:p w14:paraId="312DD36B"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w:t>
            </w:r>
          </w:p>
        </w:tc>
        <w:tc>
          <w:tcPr>
            <w:tcW w:w="992" w:type="dxa"/>
            <w:shd w:val="clear" w:color="auto" w:fill="auto"/>
          </w:tcPr>
          <w:p w14:paraId="46147A93"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w:t>
            </w:r>
          </w:p>
        </w:tc>
        <w:tc>
          <w:tcPr>
            <w:tcW w:w="850" w:type="dxa"/>
            <w:shd w:val="clear" w:color="auto" w:fill="auto"/>
          </w:tcPr>
          <w:p w14:paraId="1AAF36EA"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(59)</w:t>
            </w:r>
          </w:p>
        </w:tc>
        <w:tc>
          <w:tcPr>
            <w:tcW w:w="709" w:type="dxa"/>
            <w:shd w:val="clear" w:color="auto" w:fill="auto"/>
            <w:tcMar>
              <w:left w:w="45" w:type="dxa"/>
              <w:right w:w="45" w:type="dxa"/>
            </w:tcMar>
          </w:tcPr>
          <w:p w14:paraId="4EDA7CDC" w14:textId="77777777" w:rsidR="00E223C0" w:rsidRPr="00836A1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+2%</w:t>
            </w:r>
          </w:p>
        </w:tc>
      </w:tr>
      <w:tr w:rsidR="00E223C0" w:rsidRPr="00185E5E" w14:paraId="2990F284" w14:textId="77777777" w:rsidTr="00DE428D">
        <w:tc>
          <w:tcPr>
            <w:tcW w:w="2599" w:type="dxa"/>
            <w:tcMar>
              <w:left w:w="45" w:type="dxa"/>
              <w:right w:w="45" w:type="dxa"/>
            </w:tcMar>
          </w:tcPr>
          <w:p w14:paraId="015705C0"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r w:rsidRPr="00791F17">
              <w:rPr>
                <w:rFonts w:asciiTheme="minorHAnsi" w:hAnsiTheme="minorHAnsi" w:cs="Times New Roman"/>
                <w:b/>
                <w:sz w:val="17"/>
                <w:szCs w:val="17"/>
                <w:lang w:eastAsia="en-IE"/>
              </w:rPr>
              <w:t>Operating costs</w:t>
            </w:r>
          </w:p>
        </w:tc>
        <w:tc>
          <w:tcPr>
            <w:tcW w:w="657" w:type="dxa"/>
            <w:shd w:val="clear" w:color="auto" w:fill="F2F2F2" w:themeFill="background1" w:themeFillShade="F2"/>
            <w:tcMar>
              <w:left w:w="45" w:type="dxa"/>
              <w:right w:w="45" w:type="dxa"/>
            </w:tcMar>
          </w:tcPr>
          <w:p w14:paraId="02844F66"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(1,105)</w:t>
            </w:r>
          </w:p>
        </w:tc>
        <w:tc>
          <w:tcPr>
            <w:tcW w:w="567" w:type="dxa"/>
            <w:shd w:val="clear" w:color="auto" w:fill="auto"/>
            <w:tcMar>
              <w:left w:w="45" w:type="dxa"/>
              <w:right w:w="45" w:type="dxa"/>
            </w:tcMar>
          </w:tcPr>
          <w:p w14:paraId="28E6BBD2"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5E77D0">
              <w:rPr>
                <w:rFonts w:asciiTheme="minorHAnsi" w:hAnsiTheme="minorHAnsi" w:cs="Times New Roman"/>
                <w:b/>
                <w:sz w:val="17"/>
                <w:szCs w:val="17"/>
                <w:lang w:eastAsia="en-IE"/>
              </w:rPr>
              <w:t>(953)</w:t>
            </w:r>
          </w:p>
        </w:tc>
        <w:tc>
          <w:tcPr>
            <w:tcW w:w="619" w:type="dxa"/>
            <w:shd w:val="clear" w:color="auto" w:fill="auto"/>
            <w:tcMar>
              <w:left w:w="45" w:type="dxa"/>
              <w:right w:w="45" w:type="dxa"/>
            </w:tcMar>
          </w:tcPr>
          <w:p w14:paraId="36C03C5E"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+16%</w:t>
            </w:r>
          </w:p>
        </w:tc>
        <w:tc>
          <w:tcPr>
            <w:tcW w:w="992" w:type="dxa"/>
            <w:shd w:val="clear" w:color="auto" w:fill="auto"/>
          </w:tcPr>
          <w:p w14:paraId="07D8C1E0"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1</w:t>
            </w:r>
          </w:p>
        </w:tc>
        <w:tc>
          <w:tcPr>
            <w:tcW w:w="850" w:type="dxa"/>
            <w:shd w:val="clear" w:color="auto" w:fill="auto"/>
          </w:tcPr>
          <w:p w14:paraId="21925065"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(951)</w:t>
            </w:r>
          </w:p>
        </w:tc>
        <w:tc>
          <w:tcPr>
            <w:tcW w:w="709" w:type="dxa"/>
            <w:shd w:val="clear" w:color="auto" w:fill="auto"/>
            <w:tcMar>
              <w:left w:w="45" w:type="dxa"/>
              <w:right w:w="45" w:type="dxa"/>
            </w:tcMar>
          </w:tcPr>
          <w:p w14:paraId="0522F801" w14:textId="77777777" w:rsidR="00E223C0" w:rsidRPr="00836A1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+16%</w:t>
            </w:r>
          </w:p>
        </w:tc>
      </w:tr>
      <w:tr w:rsidR="00E223C0" w:rsidRPr="00185E5E" w14:paraId="5CE43030" w14:textId="77777777" w:rsidTr="00DE428D">
        <w:trPr>
          <w:trHeight w:val="70"/>
        </w:trPr>
        <w:tc>
          <w:tcPr>
            <w:tcW w:w="2599" w:type="dxa"/>
            <w:tcMar>
              <w:left w:w="45" w:type="dxa"/>
              <w:right w:w="45" w:type="dxa"/>
            </w:tcMar>
          </w:tcPr>
          <w:p w14:paraId="38B4759D"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0"/>
                <w:szCs w:val="10"/>
                <w:lang w:eastAsia="en-IE"/>
              </w:rPr>
            </w:pPr>
          </w:p>
        </w:tc>
        <w:tc>
          <w:tcPr>
            <w:tcW w:w="657" w:type="dxa"/>
            <w:shd w:val="clear" w:color="auto" w:fill="F2F2F2" w:themeFill="background1" w:themeFillShade="F2"/>
            <w:tcMar>
              <w:left w:w="45" w:type="dxa"/>
              <w:right w:w="45" w:type="dxa"/>
            </w:tcMar>
          </w:tcPr>
          <w:p w14:paraId="7E10E2B2"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0"/>
                <w:szCs w:val="10"/>
                <w:highlight w:val="yellow"/>
                <w:lang w:eastAsia="en-IE"/>
              </w:rPr>
            </w:pPr>
          </w:p>
        </w:tc>
        <w:tc>
          <w:tcPr>
            <w:tcW w:w="567" w:type="dxa"/>
            <w:shd w:val="clear" w:color="auto" w:fill="auto"/>
            <w:tcMar>
              <w:left w:w="45" w:type="dxa"/>
              <w:right w:w="45" w:type="dxa"/>
            </w:tcMar>
          </w:tcPr>
          <w:p w14:paraId="68D5BE9F"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0"/>
                <w:szCs w:val="10"/>
                <w:lang w:eastAsia="en-IE"/>
              </w:rPr>
            </w:pPr>
          </w:p>
        </w:tc>
        <w:tc>
          <w:tcPr>
            <w:tcW w:w="619" w:type="dxa"/>
            <w:shd w:val="clear" w:color="auto" w:fill="auto"/>
            <w:tcMar>
              <w:left w:w="45" w:type="dxa"/>
              <w:right w:w="45" w:type="dxa"/>
            </w:tcMar>
          </w:tcPr>
          <w:p w14:paraId="6AFED29E"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0"/>
                <w:szCs w:val="10"/>
                <w:highlight w:val="yellow"/>
                <w:lang w:eastAsia="en-IE"/>
              </w:rPr>
            </w:pPr>
          </w:p>
        </w:tc>
        <w:tc>
          <w:tcPr>
            <w:tcW w:w="992" w:type="dxa"/>
            <w:shd w:val="clear" w:color="auto" w:fill="auto"/>
          </w:tcPr>
          <w:p w14:paraId="4CE2F713"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0"/>
                <w:szCs w:val="10"/>
                <w:highlight w:val="yellow"/>
                <w:lang w:eastAsia="en-IE"/>
              </w:rPr>
            </w:pPr>
          </w:p>
        </w:tc>
        <w:tc>
          <w:tcPr>
            <w:tcW w:w="850" w:type="dxa"/>
            <w:shd w:val="clear" w:color="auto" w:fill="auto"/>
          </w:tcPr>
          <w:p w14:paraId="3A2D8186"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0"/>
                <w:szCs w:val="10"/>
                <w:highlight w:val="yellow"/>
                <w:lang w:eastAsia="en-IE"/>
              </w:rPr>
            </w:pPr>
          </w:p>
        </w:tc>
        <w:tc>
          <w:tcPr>
            <w:tcW w:w="709" w:type="dxa"/>
            <w:shd w:val="clear" w:color="auto" w:fill="auto"/>
            <w:tcMar>
              <w:left w:w="45" w:type="dxa"/>
              <w:right w:w="45" w:type="dxa"/>
            </w:tcMar>
          </w:tcPr>
          <w:p w14:paraId="7ECEC18D"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0"/>
                <w:szCs w:val="10"/>
                <w:highlight w:val="yellow"/>
                <w:lang w:eastAsia="en-IE"/>
              </w:rPr>
            </w:pPr>
          </w:p>
        </w:tc>
      </w:tr>
      <w:tr w:rsidR="00E223C0" w:rsidRPr="00185E5E" w14:paraId="49B51ABE" w14:textId="77777777" w:rsidTr="00DE428D">
        <w:tc>
          <w:tcPr>
            <w:tcW w:w="2599" w:type="dxa"/>
            <w:tcMar>
              <w:left w:w="45" w:type="dxa"/>
              <w:right w:w="45" w:type="dxa"/>
            </w:tcMar>
          </w:tcPr>
          <w:p w14:paraId="391985EB"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r w:rsidRPr="00791F17">
              <w:rPr>
                <w:rFonts w:asciiTheme="minorHAnsi" w:hAnsiTheme="minorHAnsi" w:cs="Times New Roman"/>
                <w:b/>
                <w:sz w:val="17"/>
                <w:szCs w:val="17"/>
                <w:lang w:eastAsia="en-IE"/>
              </w:rPr>
              <w:t>Underlying EBITDA</w:t>
            </w:r>
          </w:p>
        </w:tc>
        <w:tc>
          <w:tcPr>
            <w:tcW w:w="657" w:type="dxa"/>
            <w:shd w:val="clear" w:color="auto" w:fill="F2F2F2" w:themeFill="background1" w:themeFillShade="F2"/>
            <w:tcMar>
              <w:left w:w="45" w:type="dxa"/>
              <w:right w:w="45" w:type="dxa"/>
            </w:tcMar>
          </w:tcPr>
          <w:p w14:paraId="2333521A"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385</w:t>
            </w:r>
          </w:p>
        </w:tc>
        <w:tc>
          <w:tcPr>
            <w:tcW w:w="567" w:type="dxa"/>
            <w:shd w:val="clear" w:color="auto" w:fill="auto"/>
            <w:tcMar>
              <w:left w:w="45" w:type="dxa"/>
              <w:right w:w="45" w:type="dxa"/>
            </w:tcMar>
          </w:tcPr>
          <w:p w14:paraId="02E17F19"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5E77D0">
              <w:rPr>
                <w:rFonts w:asciiTheme="minorHAnsi" w:hAnsiTheme="minorHAnsi" w:cs="Times New Roman"/>
                <w:b/>
                <w:sz w:val="17"/>
                <w:szCs w:val="17"/>
                <w:lang w:eastAsia="en-IE"/>
              </w:rPr>
              <w:t>451</w:t>
            </w:r>
          </w:p>
        </w:tc>
        <w:tc>
          <w:tcPr>
            <w:tcW w:w="619" w:type="dxa"/>
            <w:shd w:val="clear" w:color="auto" w:fill="auto"/>
            <w:tcMar>
              <w:left w:w="45" w:type="dxa"/>
              <w:right w:w="45" w:type="dxa"/>
            </w:tcMar>
          </w:tcPr>
          <w:p w14:paraId="1FD598C8"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-15%</w:t>
            </w:r>
          </w:p>
        </w:tc>
        <w:tc>
          <w:tcPr>
            <w:tcW w:w="992" w:type="dxa"/>
            <w:shd w:val="clear" w:color="auto" w:fill="auto"/>
          </w:tcPr>
          <w:p w14:paraId="6052FB10"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(3)</w:t>
            </w:r>
          </w:p>
        </w:tc>
        <w:tc>
          <w:tcPr>
            <w:tcW w:w="850" w:type="dxa"/>
            <w:shd w:val="clear" w:color="auto" w:fill="auto"/>
          </w:tcPr>
          <w:p w14:paraId="6A766D73"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448</w:t>
            </w:r>
          </w:p>
        </w:tc>
        <w:tc>
          <w:tcPr>
            <w:tcW w:w="709" w:type="dxa"/>
            <w:shd w:val="clear" w:color="auto" w:fill="auto"/>
            <w:tcMar>
              <w:left w:w="45" w:type="dxa"/>
              <w:right w:w="45" w:type="dxa"/>
            </w:tcMar>
          </w:tcPr>
          <w:p w14:paraId="5C51D068" w14:textId="77777777" w:rsidR="00E223C0" w:rsidRPr="00836A1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-14%</w:t>
            </w:r>
          </w:p>
        </w:tc>
      </w:tr>
      <w:tr w:rsidR="00E223C0" w:rsidRPr="00185E5E" w14:paraId="167E0971" w14:textId="77777777" w:rsidTr="00DE428D">
        <w:tc>
          <w:tcPr>
            <w:tcW w:w="2599" w:type="dxa"/>
            <w:tcMar>
              <w:left w:w="45" w:type="dxa"/>
              <w:right w:w="45" w:type="dxa"/>
            </w:tcMar>
          </w:tcPr>
          <w:p w14:paraId="43CFD99E"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7"/>
                <w:szCs w:val="17"/>
                <w:lang w:eastAsia="en-IE"/>
              </w:rPr>
            </w:pPr>
            <w:r w:rsidRPr="00791F17">
              <w:rPr>
                <w:rFonts w:asciiTheme="minorHAnsi" w:hAnsiTheme="minorHAnsi" w:cs="Times New Roman"/>
                <w:sz w:val="17"/>
                <w:szCs w:val="17"/>
                <w:lang w:eastAsia="en-IE"/>
              </w:rPr>
              <w:t>Depreciation &amp; amortisation</w:t>
            </w:r>
          </w:p>
        </w:tc>
        <w:tc>
          <w:tcPr>
            <w:tcW w:w="657" w:type="dxa"/>
            <w:shd w:val="clear" w:color="auto" w:fill="F2F2F2" w:themeFill="background1" w:themeFillShade="F2"/>
            <w:tcMar>
              <w:left w:w="45" w:type="dxa"/>
              <w:right w:w="45" w:type="dxa"/>
            </w:tcMar>
          </w:tcPr>
          <w:p w14:paraId="17DC6023"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(108)</w:t>
            </w:r>
          </w:p>
        </w:tc>
        <w:tc>
          <w:tcPr>
            <w:tcW w:w="567" w:type="dxa"/>
            <w:shd w:val="clear" w:color="auto" w:fill="auto"/>
            <w:tcMar>
              <w:left w:w="45" w:type="dxa"/>
              <w:right w:w="45" w:type="dxa"/>
            </w:tcMar>
          </w:tcPr>
          <w:p w14:paraId="7C60DB1B"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5E77D0">
              <w:rPr>
                <w:rFonts w:asciiTheme="minorHAnsi" w:hAnsiTheme="minorHAnsi" w:cs="Times New Roman"/>
                <w:sz w:val="17"/>
                <w:szCs w:val="17"/>
                <w:lang w:eastAsia="en-IE"/>
              </w:rPr>
              <w:t>(90)</w:t>
            </w:r>
          </w:p>
        </w:tc>
        <w:tc>
          <w:tcPr>
            <w:tcW w:w="619" w:type="dxa"/>
            <w:shd w:val="clear" w:color="auto" w:fill="auto"/>
            <w:tcMar>
              <w:left w:w="45" w:type="dxa"/>
              <w:right w:w="45" w:type="dxa"/>
            </w:tcMar>
          </w:tcPr>
          <w:p w14:paraId="2AC28416"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5"/>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+19%</w:t>
            </w:r>
          </w:p>
        </w:tc>
        <w:tc>
          <w:tcPr>
            <w:tcW w:w="992" w:type="dxa"/>
            <w:shd w:val="clear" w:color="auto" w:fill="auto"/>
          </w:tcPr>
          <w:p w14:paraId="0351FB6A"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w:t>
            </w:r>
          </w:p>
        </w:tc>
        <w:tc>
          <w:tcPr>
            <w:tcW w:w="850" w:type="dxa"/>
            <w:shd w:val="clear" w:color="auto" w:fill="auto"/>
          </w:tcPr>
          <w:p w14:paraId="7B26C68E"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(90)</w:t>
            </w:r>
          </w:p>
        </w:tc>
        <w:tc>
          <w:tcPr>
            <w:tcW w:w="709" w:type="dxa"/>
            <w:shd w:val="clear" w:color="auto" w:fill="auto"/>
            <w:tcMar>
              <w:left w:w="45" w:type="dxa"/>
              <w:right w:w="45" w:type="dxa"/>
            </w:tcMar>
          </w:tcPr>
          <w:p w14:paraId="199C2682" w14:textId="77777777" w:rsidR="00E223C0" w:rsidRPr="00836A1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+20%</w:t>
            </w:r>
          </w:p>
        </w:tc>
      </w:tr>
      <w:tr w:rsidR="00E223C0" w:rsidRPr="00185E5E" w14:paraId="7D296E29" w14:textId="77777777" w:rsidTr="00DE428D">
        <w:tc>
          <w:tcPr>
            <w:tcW w:w="2599" w:type="dxa"/>
            <w:tcMar>
              <w:left w:w="45" w:type="dxa"/>
              <w:right w:w="45" w:type="dxa"/>
            </w:tcMar>
          </w:tcPr>
          <w:p w14:paraId="7C3D0113"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r w:rsidRPr="00791F17">
              <w:rPr>
                <w:rFonts w:asciiTheme="minorHAnsi" w:hAnsiTheme="minorHAnsi" w:cs="Times New Roman"/>
                <w:b/>
                <w:sz w:val="17"/>
                <w:szCs w:val="17"/>
                <w:lang w:eastAsia="en-IE"/>
              </w:rPr>
              <w:t>Underlying operating profit</w:t>
            </w:r>
          </w:p>
        </w:tc>
        <w:tc>
          <w:tcPr>
            <w:tcW w:w="657" w:type="dxa"/>
            <w:shd w:val="clear" w:color="auto" w:fill="F2F2F2" w:themeFill="background1" w:themeFillShade="F2"/>
            <w:tcMar>
              <w:left w:w="45" w:type="dxa"/>
              <w:right w:w="45" w:type="dxa"/>
            </w:tcMar>
          </w:tcPr>
          <w:p w14:paraId="4B5F2B9D"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277</w:t>
            </w:r>
          </w:p>
        </w:tc>
        <w:tc>
          <w:tcPr>
            <w:tcW w:w="567" w:type="dxa"/>
            <w:shd w:val="clear" w:color="auto" w:fill="auto"/>
            <w:tcMar>
              <w:left w:w="45" w:type="dxa"/>
              <w:right w:w="45" w:type="dxa"/>
            </w:tcMar>
          </w:tcPr>
          <w:p w14:paraId="1D190DAA"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5E77D0">
              <w:rPr>
                <w:rFonts w:asciiTheme="minorHAnsi" w:hAnsiTheme="minorHAnsi" w:cs="Times New Roman"/>
                <w:b/>
                <w:sz w:val="17"/>
                <w:szCs w:val="17"/>
                <w:lang w:eastAsia="en-IE"/>
              </w:rPr>
              <w:t>360</w:t>
            </w:r>
          </w:p>
        </w:tc>
        <w:tc>
          <w:tcPr>
            <w:tcW w:w="619" w:type="dxa"/>
            <w:shd w:val="clear" w:color="auto" w:fill="auto"/>
            <w:tcMar>
              <w:left w:w="45" w:type="dxa"/>
              <w:right w:w="45" w:type="dxa"/>
            </w:tcMar>
          </w:tcPr>
          <w:p w14:paraId="652DEE40" w14:textId="77777777" w:rsidR="00E223C0" w:rsidRPr="008A798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-23%</w:t>
            </w:r>
          </w:p>
        </w:tc>
        <w:tc>
          <w:tcPr>
            <w:tcW w:w="992" w:type="dxa"/>
            <w:shd w:val="clear" w:color="auto" w:fill="auto"/>
          </w:tcPr>
          <w:p w14:paraId="2E19EFA2"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(3)</w:t>
            </w:r>
          </w:p>
        </w:tc>
        <w:tc>
          <w:tcPr>
            <w:tcW w:w="850" w:type="dxa"/>
            <w:shd w:val="clear" w:color="auto" w:fill="auto"/>
          </w:tcPr>
          <w:p w14:paraId="340AE049" w14:textId="77777777" w:rsidR="00E223C0" w:rsidRPr="00F871F9"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357</w:t>
            </w:r>
          </w:p>
        </w:tc>
        <w:tc>
          <w:tcPr>
            <w:tcW w:w="709" w:type="dxa"/>
            <w:shd w:val="clear" w:color="auto" w:fill="auto"/>
            <w:tcMar>
              <w:left w:w="45" w:type="dxa"/>
              <w:right w:w="45" w:type="dxa"/>
            </w:tcMar>
          </w:tcPr>
          <w:p w14:paraId="204B2078" w14:textId="77777777" w:rsidR="00E223C0" w:rsidRPr="00836A1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Pr>
                <w:rFonts w:asciiTheme="minorHAnsi" w:hAnsiTheme="minorHAnsi" w:cs="Times New Roman"/>
                <w:b/>
                <w:sz w:val="17"/>
                <w:szCs w:val="17"/>
                <w:lang w:eastAsia="en-IE"/>
              </w:rPr>
              <w:t>-22%</w:t>
            </w:r>
          </w:p>
        </w:tc>
      </w:tr>
      <w:tr w:rsidR="00E223C0" w:rsidRPr="00185E5E" w14:paraId="24ABF500" w14:textId="77777777" w:rsidTr="00DE428D">
        <w:tc>
          <w:tcPr>
            <w:tcW w:w="2599" w:type="dxa"/>
            <w:tcMar>
              <w:left w:w="45" w:type="dxa"/>
              <w:right w:w="45" w:type="dxa"/>
            </w:tcMar>
          </w:tcPr>
          <w:p w14:paraId="3974218B"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p>
        </w:tc>
        <w:tc>
          <w:tcPr>
            <w:tcW w:w="657" w:type="dxa"/>
            <w:shd w:val="clear" w:color="auto" w:fill="F2F2F2" w:themeFill="background1" w:themeFillShade="F2"/>
            <w:tcMar>
              <w:left w:w="45" w:type="dxa"/>
              <w:right w:w="45" w:type="dxa"/>
            </w:tcMar>
          </w:tcPr>
          <w:p w14:paraId="373794B5"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c>
          <w:tcPr>
            <w:tcW w:w="567" w:type="dxa"/>
            <w:shd w:val="clear" w:color="auto" w:fill="auto"/>
            <w:tcMar>
              <w:left w:w="45" w:type="dxa"/>
              <w:right w:w="45" w:type="dxa"/>
            </w:tcMar>
          </w:tcPr>
          <w:p w14:paraId="6A50BAF8"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p>
        </w:tc>
        <w:tc>
          <w:tcPr>
            <w:tcW w:w="619" w:type="dxa"/>
            <w:shd w:val="clear" w:color="auto" w:fill="auto"/>
            <w:tcMar>
              <w:left w:w="45" w:type="dxa"/>
              <w:right w:w="45" w:type="dxa"/>
            </w:tcMar>
          </w:tcPr>
          <w:p w14:paraId="3621A66B"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c>
          <w:tcPr>
            <w:tcW w:w="992" w:type="dxa"/>
            <w:shd w:val="clear" w:color="auto" w:fill="auto"/>
          </w:tcPr>
          <w:p w14:paraId="43FA270B"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c>
          <w:tcPr>
            <w:tcW w:w="850" w:type="dxa"/>
            <w:shd w:val="clear" w:color="auto" w:fill="auto"/>
          </w:tcPr>
          <w:p w14:paraId="6EB8B878"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c>
          <w:tcPr>
            <w:tcW w:w="709" w:type="dxa"/>
            <w:shd w:val="clear" w:color="auto" w:fill="auto"/>
            <w:tcMar>
              <w:left w:w="45" w:type="dxa"/>
              <w:right w:w="45" w:type="dxa"/>
            </w:tcMar>
          </w:tcPr>
          <w:p w14:paraId="3F89CDE1"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r>
      <w:tr w:rsidR="00E223C0" w:rsidRPr="00185E5E" w14:paraId="208208A3" w14:textId="77777777" w:rsidTr="00DE428D">
        <w:tc>
          <w:tcPr>
            <w:tcW w:w="2599" w:type="dxa"/>
            <w:tcMar>
              <w:left w:w="45" w:type="dxa"/>
              <w:right w:w="45" w:type="dxa"/>
            </w:tcMar>
          </w:tcPr>
          <w:p w14:paraId="73E2C6AE"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r w:rsidRPr="00791F17">
              <w:rPr>
                <w:rFonts w:asciiTheme="minorHAnsi" w:hAnsiTheme="minorHAnsi" w:cs="Times New Roman"/>
                <w:b/>
                <w:sz w:val="17"/>
                <w:szCs w:val="17"/>
                <w:lang w:eastAsia="en-IE"/>
              </w:rPr>
              <w:t>Revenue by division</w:t>
            </w:r>
          </w:p>
        </w:tc>
        <w:tc>
          <w:tcPr>
            <w:tcW w:w="657" w:type="dxa"/>
            <w:shd w:val="clear" w:color="auto" w:fill="F2F2F2" w:themeFill="background1" w:themeFillShade="F2"/>
            <w:tcMar>
              <w:left w:w="45" w:type="dxa"/>
              <w:right w:w="45" w:type="dxa"/>
            </w:tcMar>
          </w:tcPr>
          <w:p w14:paraId="5DECFE91"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c>
          <w:tcPr>
            <w:tcW w:w="567" w:type="dxa"/>
            <w:shd w:val="clear" w:color="auto" w:fill="auto"/>
            <w:tcMar>
              <w:left w:w="45" w:type="dxa"/>
              <w:right w:w="45" w:type="dxa"/>
            </w:tcMar>
          </w:tcPr>
          <w:p w14:paraId="67EED62B"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p>
        </w:tc>
        <w:tc>
          <w:tcPr>
            <w:tcW w:w="619" w:type="dxa"/>
            <w:shd w:val="clear" w:color="auto" w:fill="auto"/>
            <w:tcMar>
              <w:left w:w="45" w:type="dxa"/>
              <w:right w:w="45" w:type="dxa"/>
            </w:tcMar>
          </w:tcPr>
          <w:p w14:paraId="509B1320"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c>
          <w:tcPr>
            <w:tcW w:w="992" w:type="dxa"/>
            <w:shd w:val="clear" w:color="auto" w:fill="auto"/>
          </w:tcPr>
          <w:p w14:paraId="683994DB"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c>
          <w:tcPr>
            <w:tcW w:w="850" w:type="dxa"/>
            <w:shd w:val="clear" w:color="auto" w:fill="auto"/>
          </w:tcPr>
          <w:p w14:paraId="0410746C"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c>
          <w:tcPr>
            <w:tcW w:w="709" w:type="dxa"/>
            <w:shd w:val="clear" w:color="auto" w:fill="auto"/>
            <w:tcMar>
              <w:left w:w="45" w:type="dxa"/>
              <w:right w:w="45" w:type="dxa"/>
            </w:tcMar>
          </w:tcPr>
          <w:p w14:paraId="064F0511"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r>
      <w:tr w:rsidR="00E223C0" w:rsidRPr="00185E5E" w14:paraId="78C2D052" w14:textId="77777777" w:rsidTr="00DE428D">
        <w:tc>
          <w:tcPr>
            <w:tcW w:w="2599" w:type="dxa"/>
            <w:tcMar>
              <w:left w:w="45" w:type="dxa"/>
              <w:right w:w="45" w:type="dxa"/>
            </w:tcMar>
          </w:tcPr>
          <w:p w14:paraId="3792162E" w14:textId="6911E74F" w:rsidR="00E223C0" w:rsidRPr="00791F17" w:rsidRDefault="00012A96"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7"/>
                <w:szCs w:val="17"/>
                <w:lang w:eastAsia="en-IE"/>
              </w:rPr>
            </w:pPr>
            <w:r>
              <w:rPr>
                <w:rFonts w:asciiTheme="minorHAnsi" w:hAnsiTheme="minorHAnsi" w:cs="Times New Roman"/>
                <w:sz w:val="17"/>
                <w:szCs w:val="17"/>
                <w:lang w:eastAsia="en-IE"/>
              </w:rPr>
              <w:t xml:space="preserve">PPB </w:t>
            </w:r>
            <w:r w:rsidR="00E223C0" w:rsidRPr="00791F17">
              <w:rPr>
                <w:rFonts w:asciiTheme="minorHAnsi" w:hAnsiTheme="minorHAnsi" w:cs="Times New Roman"/>
                <w:sz w:val="17"/>
                <w:szCs w:val="17"/>
                <w:lang w:eastAsia="en-IE"/>
              </w:rPr>
              <w:t>Online</w:t>
            </w:r>
          </w:p>
        </w:tc>
        <w:tc>
          <w:tcPr>
            <w:tcW w:w="657" w:type="dxa"/>
            <w:shd w:val="clear" w:color="auto" w:fill="F2F2F2" w:themeFill="background1" w:themeFillShade="F2"/>
            <w:tcMar>
              <w:left w:w="45" w:type="dxa"/>
              <w:right w:w="45" w:type="dxa"/>
            </w:tcMar>
          </w:tcPr>
          <w:p w14:paraId="7A69A8B1" w14:textId="77777777" w:rsidR="00E223C0" w:rsidRPr="00FB697F"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
              </w:tabs>
              <w:jc w:val="right"/>
              <w:rPr>
                <w:rFonts w:asciiTheme="minorHAnsi" w:hAnsiTheme="minorHAnsi" w:cs="Times New Roman"/>
                <w:sz w:val="17"/>
                <w:szCs w:val="17"/>
                <w:lang w:eastAsia="en-IE"/>
              </w:rPr>
            </w:pPr>
            <w:r w:rsidRPr="00FB697F">
              <w:rPr>
                <w:rFonts w:asciiTheme="minorHAnsi" w:hAnsiTheme="minorHAnsi" w:cs="Times New Roman"/>
                <w:sz w:val="17"/>
                <w:szCs w:val="17"/>
                <w:lang w:eastAsia="en-IE"/>
              </w:rPr>
              <w:t>1,006</w:t>
            </w:r>
          </w:p>
        </w:tc>
        <w:tc>
          <w:tcPr>
            <w:tcW w:w="567" w:type="dxa"/>
            <w:shd w:val="clear" w:color="auto" w:fill="auto"/>
            <w:tcMar>
              <w:left w:w="45" w:type="dxa"/>
              <w:right w:w="45" w:type="dxa"/>
            </w:tcMar>
          </w:tcPr>
          <w:p w14:paraId="4279812B"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5E77D0">
              <w:rPr>
                <w:rFonts w:asciiTheme="minorHAnsi" w:hAnsiTheme="minorHAnsi" w:cs="Times New Roman"/>
                <w:sz w:val="17"/>
                <w:szCs w:val="17"/>
                <w:lang w:eastAsia="en-IE"/>
              </w:rPr>
              <w:t>948</w:t>
            </w:r>
          </w:p>
        </w:tc>
        <w:tc>
          <w:tcPr>
            <w:tcW w:w="619" w:type="dxa"/>
            <w:shd w:val="clear" w:color="auto" w:fill="auto"/>
            <w:tcMar>
              <w:left w:w="45" w:type="dxa"/>
              <w:right w:w="45" w:type="dxa"/>
            </w:tcMar>
          </w:tcPr>
          <w:p w14:paraId="4A5D13A1" w14:textId="77777777" w:rsidR="00E223C0" w:rsidRPr="004C349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4C3491">
              <w:rPr>
                <w:rFonts w:asciiTheme="minorHAnsi" w:hAnsiTheme="minorHAnsi" w:cs="Times New Roman"/>
                <w:sz w:val="17"/>
                <w:szCs w:val="17"/>
                <w:lang w:eastAsia="en-IE"/>
              </w:rPr>
              <w:t>+6%</w:t>
            </w:r>
          </w:p>
        </w:tc>
        <w:tc>
          <w:tcPr>
            <w:tcW w:w="992" w:type="dxa"/>
            <w:shd w:val="clear" w:color="auto" w:fill="auto"/>
          </w:tcPr>
          <w:p w14:paraId="6FC6EC7D"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w:t>
            </w:r>
          </w:p>
        </w:tc>
        <w:tc>
          <w:tcPr>
            <w:tcW w:w="850" w:type="dxa"/>
            <w:shd w:val="clear" w:color="auto" w:fill="auto"/>
          </w:tcPr>
          <w:p w14:paraId="3D6B71EB" w14:textId="77777777" w:rsidR="00E223C0" w:rsidRPr="002D0E5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947</w:t>
            </w:r>
          </w:p>
        </w:tc>
        <w:tc>
          <w:tcPr>
            <w:tcW w:w="709" w:type="dxa"/>
            <w:shd w:val="clear" w:color="auto" w:fill="auto"/>
            <w:tcMar>
              <w:left w:w="45" w:type="dxa"/>
              <w:right w:w="45" w:type="dxa"/>
            </w:tcMar>
          </w:tcPr>
          <w:p w14:paraId="5DFE1D9C" w14:textId="77777777" w:rsidR="00E223C0" w:rsidRPr="00DE660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DE660E">
              <w:rPr>
                <w:rFonts w:asciiTheme="minorHAnsi" w:hAnsiTheme="minorHAnsi" w:cs="Times New Roman"/>
                <w:sz w:val="17"/>
                <w:szCs w:val="17"/>
                <w:lang w:eastAsia="en-IE"/>
              </w:rPr>
              <w:t>+6%</w:t>
            </w:r>
          </w:p>
        </w:tc>
      </w:tr>
      <w:tr w:rsidR="00E223C0" w:rsidRPr="00185E5E" w14:paraId="4C2B8165" w14:textId="77777777" w:rsidTr="00DE428D">
        <w:tc>
          <w:tcPr>
            <w:tcW w:w="2599" w:type="dxa"/>
            <w:tcMar>
              <w:left w:w="45" w:type="dxa"/>
              <w:right w:w="45" w:type="dxa"/>
            </w:tcMar>
          </w:tcPr>
          <w:p w14:paraId="64BED425"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r w:rsidRPr="00791F17">
              <w:rPr>
                <w:rFonts w:asciiTheme="minorHAnsi" w:hAnsiTheme="minorHAnsi" w:cs="Times New Roman"/>
                <w:sz w:val="17"/>
                <w:szCs w:val="17"/>
                <w:lang w:eastAsia="en-IE"/>
              </w:rPr>
              <w:t>Australia</w:t>
            </w:r>
          </w:p>
        </w:tc>
        <w:tc>
          <w:tcPr>
            <w:tcW w:w="657" w:type="dxa"/>
            <w:shd w:val="clear" w:color="auto" w:fill="F2F2F2" w:themeFill="background1" w:themeFillShade="F2"/>
            <w:tcMar>
              <w:left w:w="45" w:type="dxa"/>
              <w:right w:w="45" w:type="dxa"/>
            </w:tcMar>
          </w:tcPr>
          <w:p w14:paraId="07DD811D" w14:textId="77777777" w:rsidR="00E223C0" w:rsidRPr="00FB697F"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FB697F">
              <w:rPr>
                <w:rFonts w:asciiTheme="minorHAnsi" w:hAnsiTheme="minorHAnsi" w:cs="Times New Roman"/>
                <w:sz w:val="17"/>
                <w:szCs w:val="17"/>
                <w:lang w:eastAsia="en-IE"/>
              </w:rPr>
              <w:t>446</w:t>
            </w:r>
          </w:p>
        </w:tc>
        <w:tc>
          <w:tcPr>
            <w:tcW w:w="567" w:type="dxa"/>
            <w:shd w:val="clear" w:color="auto" w:fill="auto"/>
            <w:tcMar>
              <w:left w:w="45" w:type="dxa"/>
              <w:right w:w="45" w:type="dxa"/>
            </w:tcMar>
          </w:tcPr>
          <w:p w14:paraId="57AED7B4"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5E77D0">
              <w:rPr>
                <w:rFonts w:asciiTheme="minorHAnsi" w:hAnsiTheme="minorHAnsi" w:cs="Times New Roman"/>
                <w:sz w:val="17"/>
                <w:szCs w:val="17"/>
                <w:lang w:eastAsia="en-IE"/>
              </w:rPr>
              <w:t>403</w:t>
            </w:r>
          </w:p>
        </w:tc>
        <w:tc>
          <w:tcPr>
            <w:tcW w:w="619" w:type="dxa"/>
            <w:shd w:val="clear" w:color="auto" w:fill="auto"/>
            <w:tcMar>
              <w:left w:w="45" w:type="dxa"/>
              <w:right w:w="45" w:type="dxa"/>
            </w:tcMar>
          </w:tcPr>
          <w:p w14:paraId="6995E7A2" w14:textId="77777777" w:rsidR="00E223C0" w:rsidRPr="004C349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4C3491">
              <w:rPr>
                <w:rFonts w:asciiTheme="minorHAnsi" w:hAnsiTheme="minorHAnsi" w:cs="Times New Roman"/>
                <w:sz w:val="17"/>
                <w:szCs w:val="17"/>
                <w:lang w:eastAsia="en-IE"/>
              </w:rPr>
              <w:t>+11%</w:t>
            </w:r>
          </w:p>
        </w:tc>
        <w:tc>
          <w:tcPr>
            <w:tcW w:w="992" w:type="dxa"/>
            <w:shd w:val="clear" w:color="auto" w:fill="auto"/>
          </w:tcPr>
          <w:p w14:paraId="36E42A7D"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(11)</w:t>
            </w:r>
          </w:p>
        </w:tc>
        <w:tc>
          <w:tcPr>
            <w:tcW w:w="850" w:type="dxa"/>
            <w:shd w:val="clear" w:color="auto" w:fill="auto"/>
          </w:tcPr>
          <w:p w14:paraId="6A3EC1D1" w14:textId="77777777" w:rsidR="00E223C0" w:rsidRPr="002D0E5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392</w:t>
            </w:r>
          </w:p>
        </w:tc>
        <w:tc>
          <w:tcPr>
            <w:tcW w:w="709" w:type="dxa"/>
            <w:shd w:val="clear" w:color="auto" w:fill="auto"/>
            <w:tcMar>
              <w:left w:w="45" w:type="dxa"/>
              <w:right w:w="45" w:type="dxa"/>
            </w:tcMar>
          </w:tcPr>
          <w:p w14:paraId="049E68EA" w14:textId="77777777" w:rsidR="00E223C0" w:rsidRPr="00DE660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DE660E">
              <w:rPr>
                <w:rFonts w:asciiTheme="minorHAnsi" w:hAnsiTheme="minorHAnsi" w:cs="Times New Roman"/>
                <w:sz w:val="17"/>
                <w:szCs w:val="17"/>
                <w:lang w:eastAsia="en-IE"/>
              </w:rPr>
              <w:t>+14%</w:t>
            </w:r>
          </w:p>
        </w:tc>
      </w:tr>
      <w:tr w:rsidR="00E223C0" w:rsidRPr="00185E5E" w14:paraId="35ED97FC" w14:textId="77777777" w:rsidTr="00DE428D">
        <w:tc>
          <w:tcPr>
            <w:tcW w:w="2599" w:type="dxa"/>
            <w:tcMar>
              <w:left w:w="45" w:type="dxa"/>
              <w:right w:w="45" w:type="dxa"/>
            </w:tcMar>
          </w:tcPr>
          <w:p w14:paraId="3C0FD5DC" w14:textId="7C188497" w:rsidR="00E223C0" w:rsidRPr="00791F17" w:rsidRDefault="00012A96"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r>
              <w:rPr>
                <w:rFonts w:asciiTheme="minorHAnsi" w:hAnsiTheme="minorHAnsi" w:cs="Times New Roman"/>
                <w:sz w:val="17"/>
                <w:szCs w:val="17"/>
                <w:lang w:eastAsia="en-IE"/>
              </w:rPr>
              <w:t xml:space="preserve">PPB </w:t>
            </w:r>
            <w:r w:rsidR="00E223C0" w:rsidRPr="00791F17">
              <w:rPr>
                <w:rFonts w:asciiTheme="minorHAnsi" w:hAnsiTheme="minorHAnsi" w:cs="Times New Roman"/>
                <w:sz w:val="17"/>
                <w:szCs w:val="17"/>
                <w:lang w:eastAsia="en-IE"/>
              </w:rPr>
              <w:t>Retail</w:t>
            </w:r>
          </w:p>
        </w:tc>
        <w:tc>
          <w:tcPr>
            <w:tcW w:w="657" w:type="dxa"/>
            <w:shd w:val="clear" w:color="auto" w:fill="F2F2F2" w:themeFill="background1" w:themeFillShade="F2"/>
            <w:tcMar>
              <w:left w:w="45" w:type="dxa"/>
              <w:right w:w="45" w:type="dxa"/>
            </w:tcMar>
          </w:tcPr>
          <w:p w14:paraId="468C2E6A" w14:textId="77777777" w:rsidR="00E223C0" w:rsidRPr="00FB697F"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FB697F">
              <w:rPr>
                <w:rFonts w:asciiTheme="minorHAnsi" w:hAnsiTheme="minorHAnsi" w:cs="Times New Roman"/>
                <w:sz w:val="17"/>
                <w:szCs w:val="17"/>
                <w:lang w:eastAsia="en-IE"/>
              </w:rPr>
              <w:t>312</w:t>
            </w:r>
          </w:p>
        </w:tc>
        <w:tc>
          <w:tcPr>
            <w:tcW w:w="567" w:type="dxa"/>
            <w:shd w:val="clear" w:color="auto" w:fill="auto"/>
            <w:tcMar>
              <w:left w:w="45" w:type="dxa"/>
              <w:right w:w="45" w:type="dxa"/>
            </w:tcMar>
          </w:tcPr>
          <w:p w14:paraId="0ADD7C04"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5E77D0">
              <w:rPr>
                <w:rFonts w:asciiTheme="minorHAnsi" w:hAnsiTheme="minorHAnsi" w:cs="Times New Roman"/>
                <w:sz w:val="17"/>
                <w:szCs w:val="17"/>
                <w:lang w:eastAsia="en-IE"/>
              </w:rPr>
              <w:t>331</w:t>
            </w:r>
          </w:p>
        </w:tc>
        <w:tc>
          <w:tcPr>
            <w:tcW w:w="619" w:type="dxa"/>
            <w:shd w:val="clear" w:color="auto" w:fill="auto"/>
            <w:tcMar>
              <w:left w:w="45" w:type="dxa"/>
              <w:right w:w="45" w:type="dxa"/>
            </w:tcMar>
          </w:tcPr>
          <w:p w14:paraId="6DEB6151" w14:textId="77777777" w:rsidR="00E223C0" w:rsidRPr="004C349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4C3491">
              <w:rPr>
                <w:rFonts w:asciiTheme="minorHAnsi" w:hAnsiTheme="minorHAnsi" w:cs="Times New Roman"/>
                <w:sz w:val="17"/>
                <w:szCs w:val="17"/>
                <w:lang w:eastAsia="en-IE"/>
              </w:rPr>
              <w:t>-6%</w:t>
            </w:r>
          </w:p>
        </w:tc>
        <w:tc>
          <w:tcPr>
            <w:tcW w:w="992" w:type="dxa"/>
            <w:shd w:val="clear" w:color="auto" w:fill="auto"/>
          </w:tcPr>
          <w:p w14:paraId="7A0165A5"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w:t>
            </w:r>
          </w:p>
        </w:tc>
        <w:tc>
          <w:tcPr>
            <w:tcW w:w="850" w:type="dxa"/>
            <w:shd w:val="clear" w:color="auto" w:fill="auto"/>
          </w:tcPr>
          <w:p w14:paraId="22A569A6" w14:textId="77777777" w:rsidR="00E223C0" w:rsidRPr="002D0E5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330</w:t>
            </w:r>
          </w:p>
        </w:tc>
        <w:tc>
          <w:tcPr>
            <w:tcW w:w="709" w:type="dxa"/>
            <w:shd w:val="clear" w:color="auto" w:fill="auto"/>
            <w:tcMar>
              <w:left w:w="45" w:type="dxa"/>
              <w:right w:w="45" w:type="dxa"/>
            </w:tcMar>
          </w:tcPr>
          <w:p w14:paraId="3ED2BEC6" w14:textId="77777777" w:rsidR="00E223C0" w:rsidRPr="00DE660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DE660E">
              <w:rPr>
                <w:rFonts w:asciiTheme="minorHAnsi" w:hAnsiTheme="minorHAnsi" w:cs="Times New Roman"/>
                <w:sz w:val="17"/>
                <w:szCs w:val="17"/>
                <w:lang w:eastAsia="en-IE"/>
              </w:rPr>
              <w:t>-6%</w:t>
            </w:r>
          </w:p>
        </w:tc>
      </w:tr>
      <w:tr w:rsidR="00E223C0" w:rsidRPr="00185E5E" w14:paraId="7A7230CC" w14:textId="77777777" w:rsidTr="00DE428D">
        <w:tc>
          <w:tcPr>
            <w:tcW w:w="2599" w:type="dxa"/>
            <w:tcMar>
              <w:left w:w="45" w:type="dxa"/>
              <w:right w:w="45" w:type="dxa"/>
            </w:tcMar>
          </w:tcPr>
          <w:p w14:paraId="76EC6128"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r w:rsidRPr="00791F17">
              <w:rPr>
                <w:rFonts w:asciiTheme="minorHAnsi" w:hAnsiTheme="minorHAnsi" w:cs="Times New Roman"/>
                <w:sz w:val="17"/>
                <w:szCs w:val="17"/>
                <w:lang w:eastAsia="en-IE"/>
              </w:rPr>
              <w:t>US</w:t>
            </w:r>
          </w:p>
        </w:tc>
        <w:tc>
          <w:tcPr>
            <w:tcW w:w="657" w:type="dxa"/>
            <w:shd w:val="clear" w:color="auto" w:fill="F2F2F2" w:themeFill="background1" w:themeFillShade="F2"/>
            <w:tcMar>
              <w:left w:w="45" w:type="dxa"/>
              <w:right w:w="45" w:type="dxa"/>
            </w:tcMar>
          </w:tcPr>
          <w:p w14:paraId="655827BA" w14:textId="77777777" w:rsidR="00E223C0" w:rsidRPr="00FB697F"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0"/>
              </w:tabs>
              <w:jc w:val="right"/>
              <w:rPr>
                <w:rFonts w:asciiTheme="minorHAnsi" w:hAnsiTheme="minorHAnsi" w:cs="Times New Roman"/>
                <w:sz w:val="17"/>
                <w:szCs w:val="17"/>
                <w:lang w:eastAsia="en-IE"/>
              </w:rPr>
            </w:pPr>
            <w:r w:rsidRPr="00FB697F">
              <w:rPr>
                <w:rFonts w:asciiTheme="minorHAnsi" w:hAnsiTheme="minorHAnsi" w:cs="Times New Roman"/>
                <w:sz w:val="17"/>
                <w:szCs w:val="17"/>
                <w:lang w:eastAsia="en-IE"/>
              </w:rPr>
              <w:t>376</w:t>
            </w:r>
          </w:p>
        </w:tc>
        <w:tc>
          <w:tcPr>
            <w:tcW w:w="567" w:type="dxa"/>
            <w:shd w:val="clear" w:color="auto" w:fill="auto"/>
            <w:tcMar>
              <w:left w:w="45" w:type="dxa"/>
              <w:right w:w="45" w:type="dxa"/>
            </w:tcMar>
          </w:tcPr>
          <w:p w14:paraId="01F8EF81"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5E77D0">
              <w:rPr>
                <w:rFonts w:asciiTheme="minorHAnsi" w:hAnsiTheme="minorHAnsi" w:cs="Times New Roman"/>
                <w:sz w:val="17"/>
                <w:szCs w:val="17"/>
                <w:lang w:eastAsia="en-IE"/>
              </w:rPr>
              <w:t>191</w:t>
            </w:r>
          </w:p>
        </w:tc>
        <w:tc>
          <w:tcPr>
            <w:tcW w:w="619" w:type="dxa"/>
            <w:shd w:val="clear" w:color="auto" w:fill="auto"/>
            <w:tcMar>
              <w:left w:w="45" w:type="dxa"/>
              <w:right w:w="45" w:type="dxa"/>
            </w:tcMar>
          </w:tcPr>
          <w:p w14:paraId="4608CEAD" w14:textId="77777777" w:rsidR="00E223C0" w:rsidRPr="004C349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4C3491">
              <w:rPr>
                <w:rFonts w:asciiTheme="minorHAnsi" w:hAnsiTheme="minorHAnsi" w:cs="Times New Roman"/>
                <w:sz w:val="17"/>
                <w:szCs w:val="17"/>
                <w:lang w:eastAsia="en-IE"/>
              </w:rPr>
              <w:t>+97%</w:t>
            </w:r>
          </w:p>
        </w:tc>
        <w:tc>
          <w:tcPr>
            <w:tcW w:w="992" w:type="dxa"/>
            <w:shd w:val="clear" w:color="auto" w:fill="auto"/>
          </w:tcPr>
          <w:p w14:paraId="5AEDA022" w14:textId="77777777" w:rsidR="00E223C0" w:rsidRPr="00A107A3"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6</w:t>
            </w:r>
          </w:p>
        </w:tc>
        <w:tc>
          <w:tcPr>
            <w:tcW w:w="850" w:type="dxa"/>
            <w:shd w:val="clear" w:color="auto" w:fill="auto"/>
          </w:tcPr>
          <w:p w14:paraId="69252EA9" w14:textId="77777777" w:rsidR="00E223C0" w:rsidRPr="002D0E5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Pr>
                <w:rFonts w:asciiTheme="minorHAnsi" w:hAnsiTheme="minorHAnsi" w:cs="Times New Roman"/>
                <w:sz w:val="17"/>
                <w:szCs w:val="17"/>
                <w:lang w:eastAsia="en-IE"/>
              </w:rPr>
              <w:t>198</w:t>
            </w:r>
          </w:p>
        </w:tc>
        <w:tc>
          <w:tcPr>
            <w:tcW w:w="709" w:type="dxa"/>
            <w:shd w:val="clear" w:color="auto" w:fill="auto"/>
            <w:tcMar>
              <w:left w:w="45" w:type="dxa"/>
              <w:right w:w="45" w:type="dxa"/>
            </w:tcMar>
          </w:tcPr>
          <w:p w14:paraId="527C0254" w14:textId="77777777" w:rsidR="00E223C0" w:rsidRPr="00DE660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DE660E">
              <w:rPr>
                <w:rFonts w:asciiTheme="minorHAnsi" w:hAnsiTheme="minorHAnsi" w:cs="Times New Roman"/>
                <w:sz w:val="17"/>
                <w:szCs w:val="17"/>
                <w:lang w:eastAsia="en-IE"/>
              </w:rPr>
              <w:t>+90%</w:t>
            </w:r>
          </w:p>
        </w:tc>
      </w:tr>
      <w:tr w:rsidR="00E223C0" w:rsidRPr="00185E5E" w14:paraId="316C6245" w14:textId="77777777" w:rsidTr="00DE428D">
        <w:tc>
          <w:tcPr>
            <w:tcW w:w="2599" w:type="dxa"/>
            <w:tcMar>
              <w:left w:w="45" w:type="dxa"/>
              <w:right w:w="45" w:type="dxa"/>
            </w:tcMar>
          </w:tcPr>
          <w:p w14:paraId="09C6EB9D"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p>
        </w:tc>
        <w:tc>
          <w:tcPr>
            <w:tcW w:w="657" w:type="dxa"/>
            <w:shd w:val="clear" w:color="auto" w:fill="F2F2F2" w:themeFill="background1" w:themeFillShade="F2"/>
            <w:tcMar>
              <w:left w:w="45" w:type="dxa"/>
              <w:right w:w="45" w:type="dxa"/>
            </w:tcMar>
          </w:tcPr>
          <w:p w14:paraId="2F498FEC"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c>
          <w:tcPr>
            <w:tcW w:w="567" w:type="dxa"/>
            <w:shd w:val="clear" w:color="auto" w:fill="auto"/>
            <w:tcMar>
              <w:left w:w="45" w:type="dxa"/>
              <w:right w:w="45" w:type="dxa"/>
            </w:tcMar>
          </w:tcPr>
          <w:p w14:paraId="342318D1"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p>
        </w:tc>
        <w:tc>
          <w:tcPr>
            <w:tcW w:w="619" w:type="dxa"/>
            <w:shd w:val="clear" w:color="auto" w:fill="auto"/>
            <w:tcMar>
              <w:left w:w="45" w:type="dxa"/>
              <w:right w:w="45" w:type="dxa"/>
            </w:tcMar>
          </w:tcPr>
          <w:p w14:paraId="417BD9BA" w14:textId="77777777" w:rsidR="00E223C0" w:rsidRPr="004C349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p>
        </w:tc>
        <w:tc>
          <w:tcPr>
            <w:tcW w:w="992" w:type="dxa"/>
            <w:shd w:val="clear" w:color="auto" w:fill="auto"/>
          </w:tcPr>
          <w:p w14:paraId="475C7934"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c>
          <w:tcPr>
            <w:tcW w:w="850" w:type="dxa"/>
            <w:shd w:val="clear" w:color="auto" w:fill="auto"/>
          </w:tcPr>
          <w:p w14:paraId="41A2A86A"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c>
          <w:tcPr>
            <w:tcW w:w="709" w:type="dxa"/>
            <w:shd w:val="clear" w:color="auto" w:fill="auto"/>
            <w:tcMar>
              <w:left w:w="45" w:type="dxa"/>
              <w:right w:w="45" w:type="dxa"/>
            </w:tcMar>
          </w:tcPr>
          <w:p w14:paraId="1823D343" w14:textId="77777777" w:rsidR="00E223C0" w:rsidRPr="00DE660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highlight w:val="yellow"/>
                <w:lang w:eastAsia="en-IE"/>
              </w:rPr>
            </w:pPr>
          </w:p>
        </w:tc>
      </w:tr>
      <w:tr w:rsidR="00E223C0" w:rsidRPr="00185E5E" w14:paraId="1AE54EF2" w14:textId="77777777" w:rsidTr="00DE428D">
        <w:tc>
          <w:tcPr>
            <w:tcW w:w="2599" w:type="dxa"/>
            <w:tcMar>
              <w:left w:w="45" w:type="dxa"/>
              <w:right w:w="45" w:type="dxa"/>
            </w:tcMar>
          </w:tcPr>
          <w:p w14:paraId="2602BBFF"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r w:rsidRPr="00791F17">
              <w:rPr>
                <w:rFonts w:asciiTheme="minorHAnsi" w:hAnsiTheme="minorHAnsi" w:cs="Times New Roman"/>
                <w:b/>
                <w:sz w:val="17"/>
                <w:szCs w:val="17"/>
                <w:lang w:eastAsia="en-IE"/>
              </w:rPr>
              <w:t>Underlying EBITDA by division</w:t>
            </w:r>
          </w:p>
        </w:tc>
        <w:tc>
          <w:tcPr>
            <w:tcW w:w="657" w:type="dxa"/>
            <w:shd w:val="clear" w:color="auto" w:fill="F2F2F2" w:themeFill="background1" w:themeFillShade="F2"/>
            <w:tcMar>
              <w:left w:w="45" w:type="dxa"/>
              <w:right w:w="45" w:type="dxa"/>
            </w:tcMar>
          </w:tcPr>
          <w:p w14:paraId="51F2F1B0"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c>
          <w:tcPr>
            <w:tcW w:w="567" w:type="dxa"/>
            <w:shd w:val="clear" w:color="auto" w:fill="auto"/>
            <w:tcMar>
              <w:left w:w="45" w:type="dxa"/>
              <w:right w:w="45" w:type="dxa"/>
            </w:tcMar>
          </w:tcPr>
          <w:p w14:paraId="702ED4C9"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p>
        </w:tc>
        <w:tc>
          <w:tcPr>
            <w:tcW w:w="619" w:type="dxa"/>
            <w:shd w:val="clear" w:color="auto" w:fill="auto"/>
            <w:tcMar>
              <w:left w:w="45" w:type="dxa"/>
              <w:right w:w="45" w:type="dxa"/>
            </w:tcMar>
          </w:tcPr>
          <w:p w14:paraId="4FA619C8" w14:textId="77777777" w:rsidR="00E223C0" w:rsidRPr="004C349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p>
        </w:tc>
        <w:tc>
          <w:tcPr>
            <w:tcW w:w="992" w:type="dxa"/>
            <w:shd w:val="clear" w:color="auto" w:fill="auto"/>
          </w:tcPr>
          <w:p w14:paraId="3237E3C0"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c>
          <w:tcPr>
            <w:tcW w:w="850" w:type="dxa"/>
            <w:shd w:val="clear" w:color="auto" w:fill="auto"/>
          </w:tcPr>
          <w:p w14:paraId="25290B47" w14:textId="77777777" w:rsidR="00E223C0" w:rsidRPr="00185E5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highlight w:val="yellow"/>
                <w:lang w:eastAsia="en-IE"/>
              </w:rPr>
            </w:pPr>
          </w:p>
        </w:tc>
        <w:tc>
          <w:tcPr>
            <w:tcW w:w="709" w:type="dxa"/>
            <w:shd w:val="clear" w:color="auto" w:fill="auto"/>
            <w:tcMar>
              <w:left w:w="45" w:type="dxa"/>
              <w:right w:w="45" w:type="dxa"/>
            </w:tcMar>
          </w:tcPr>
          <w:p w14:paraId="32A2640F" w14:textId="77777777" w:rsidR="00E223C0" w:rsidRPr="00DE660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highlight w:val="yellow"/>
                <w:lang w:eastAsia="en-IE"/>
              </w:rPr>
            </w:pPr>
          </w:p>
        </w:tc>
      </w:tr>
      <w:tr w:rsidR="00E223C0" w:rsidRPr="00185E5E" w14:paraId="5CE6043F" w14:textId="77777777" w:rsidTr="00DE428D">
        <w:tc>
          <w:tcPr>
            <w:tcW w:w="2599" w:type="dxa"/>
            <w:tcMar>
              <w:left w:w="45" w:type="dxa"/>
              <w:right w:w="45" w:type="dxa"/>
            </w:tcMar>
          </w:tcPr>
          <w:p w14:paraId="6A1255EE" w14:textId="07D0B316" w:rsidR="00E223C0" w:rsidRPr="00791F17" w:rsidRDefault="00012A96"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r>
              <w:rPr>
                <w:rFonts w:asciiTheme="minorHAnsi" w:hAnsiTheme="minorHAnsi" w:cs="Times New Roman"/>
                <w:sz w:val="17"/>
                <w:szCs w:val="17"/>
                <w:lang w:eastAsia="en-IE"/>
              </w:rPr>
              <w:t xml:space="preserve">PPB </w:t>
            </w:r>
            <w:r w:rsidR="00E223C0" w:rsidRPr="00791F17">
              <w:rPr>
                <w:rFonts w:asciiTheme="minorHAnsi" w:hAnsiTheme="minorHAnsi" w:cs="Times New Roman"/>
                <w:sz w:val="17"/>
                <w:szCs w:val="17"/>
                <w:lang w:eastAsia="en-IE"/>
              </w:rPr>
              <w:t>Online</w:t>
            </w:r>
          </w:p>
        </w:tc>
        <w:tc>
          <w:tcPr>
            <w:tcW w:w="657" w:type="dxa"/>
            <w:shd w:val="clear" w:color="auto" w:fill="F2F2F2" w:themeFill="background1" w:themeFillShade="F2"/>
            <w:tcMar>
              <w:left w:w="45" w:type="dxa"/>
              <w:right w:w="45" w:type="dxa"/>
            </w:tcMar>
          </w:tcPr>
          <w:p w14:paraId="5C777841" w14:textId="77777777" w:rsidR="00E223C0" w:rsidRPr="00FB697F"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FB697F">
              <w:rPr>
                <w:rFonts w:asciiTheme="minorHAnsi" w:hAnsiTheme="minorHAnsi" w:cs="Times New Roman"/>
                <w:sz w:val="17"/>
                <w:szCs w:val="17"/>
                <w:lang w:eastAsia="en-IE"/>
              </w:rPr>
              <w:t>30</w:t>
            </w:r>
            <w:r>
              <w:rPr>
                <w:rFonts w:asciiTheme="minorHAnsi" w:hAnsiTheme="minorHAnsi" w:cs="Times New Roman"/>
                <w:sz w:val="17"/>
                <w:szCs w:val="17"/>
                <w:lang w:eastAsia="en-IE"/>
              </w:rPr>
              <w:t>7</w:t>
            </w:r>
          </w:p>
        </w:tc>
        <w:tc>
          <w:tcPr>
            <w:tcW w:w="567" w:type="dxa"/>
            <w:shd w:val="clear" w:color="auto" w:fill="auto"/>
            <w:tcMar>
              <w:left w:w="45" w:type="dxa"/>
              <w:right w:w="45" w:type="dxa"/>
            </w:tcMar>
          </w:tcPr>
          <w:p w14:paraId="6E4D4BEC"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b/>
                <w:sz w:val="17"/>
                <w:szCs w:val="17"/>
                <w:lang w:eastAsia="en-IE"/>
              </w:rPr>
            </w:pPr>
            <w:r w:rsidRPr="005E77D0">
              <w:rPr>
                <w:rFonts w:asciiTheme="minorHAnsi" w:hAnsiTheme="minorHAnsi" w:cs="Times New Roman"/>
                <w:sz w:val="17"/>
                <w:szCs w:val="17"/>
                <w:lang w:eastAsia="en-IE"/>
              </w:rPr>
              <w:t>316</w:t>
            </w:r>
          </w:p>
        </w:tc>
        <w:tc>
          <w:tcPr>
            <w:tcW w:w="619" w:type="dxa"/>
            <w:shd w:val="clear" w:color="auto" w:fill="auto"/>
            <w:tcMar>
              <w:left w:w="45" w:type="dxa"/>
              <w:right w:w="45" w:type="dxa"/>
            </w:tcMar>
          </w:tcPr>
          <w:p w14:paraId="266695AC" w14:textId="77777777" w:rsidR="00E223C0" w:rsidRPr="004C349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4C3491">
              <w:rPr>
                <w:rFonts w:asciiTheme="minorHAnsi" w:hAnsiTheme="minorHAnsi" w:cs="Times New Roman"/>
                <w:sz w:val="17"/>
                <w:szCs w:val="17"/>
                <w:lang w:eastAsia="en-IE"/>
              </w:rPr>
              <w:t>-3%</w:t>
            </w:r>
          </w:p>
        </w:tc>
        <w:tc>
          <w:tcPr>
            <w:tcW w:w="992" w:type="dxa"/>
            <w:shd w:val="clear" w:color="auto" w:fill="auto"/>
          </w:tcPr>
          <w:p w14:paraId="4888A18E" w14:textId="77777777" w:rsidR="00E223C0" w:rsidRPr="000A2002"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0A2002">
              <w:rPr>
                <w:rFonts w:asciiTheme="minorHAnsi" w:hAnsiTheme="minorHAnsi" w:cs="Times New Roman"/>
                <w:sz w:val="17"/>
                <w:szCs w:val="17"/>
                <w:lang w:eastAsia="en-IE"/>
              </w:rPr>
              <w:t>2</w:t>
            </w:r>
          </w:p>
        </w:tc>
        <w:tc>
          <w:tcPr>
            <w:tcW w:w="850" w:type="dxa"/>
            <w:shd w:val="clear" w:color="auto" w:fill="auto"/>
          </w:tcPr>
          <w:p w14:paraId="3CAA95A9" w14:textId="77777777" w:rsidR="00E223C0" w:rsidRPr="00F615FA"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F615FA">
              <w:rPr>
                <w:rFonts w:asciiTheme="minorHAnsi" w:hAnsiTheme="minorHAnsi" w:cs="Times New Roman"/>
                <w:sz w:val="17"/>
                <w:szCs w:val="17"/>
                <w:lang w:eastAsia="en-IE"/>
              </w:rPr>
              <w:t>318</w:t>
            </w:r>
          </w:p>
        </w:tc>
        <w:tc>
          <w:tcPr>
            <w:tcW w:w="709" w:type="dxa"/>
            <w:shd w:val="clear" w:color="auto" w:fill="auto"/>
            <w:tcMar>
              <w:left w:w="45" w:type="dxa"/>
              <w:right w:w="45" w:type="dxa"/>
            </w:tcMar>
          </w:tcPr>
          <w:p w14:paraId="773C3C66" w14:textId="77777777" w:rsidR="00E223C0" w:rsidRPr="00DE660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DE660E">
              <w:rPr>
                <w:rFonts w:asciiTheme="minorHAnsi" w:hAnsiTheme="minorHAnsi" w:cs="Times New Roman"/>
                <w:sz w:val="17"/>
                <w:szCs w:val="17"/>
                <w:lang w:eastAsia="en-IE"/>
              </w:rPr>
              <w:t>-3%</w:t>
            </w:r>
          </w:p>
        </w:tc>
      </w:tr>
      <w:tr w:rsidR="00E223C0" w:rsidRPr="00185E5E" w14:paraId="4990C2E3" w14:textId="77777777" w:rsidTr="00DE428D">
        <w:tc>
          <w:tcPr>
            <w:tcW w:w="2599" w:type="dxa"/>
            <w:tcMar>
              <w:left w:w="45" w:type="dxa"/>
              <w:right w:w="45" w:type="dxa"/>
            </w:tcMar>
          </w:tcPr>
          <w:p w14:paraId="7F3DD400"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r w:rsidRPr="00791F17">
              <w:rPr>
                <w:rFonts w:asciiTheme="minorHAnsi" w:hAnsiTheme="minorHAnsi" w:cs="Times New Roman"/>
                <w:sz w:val="17"/>
                <w:szCs w:val="17"/>
                <w:lang w:eastAsia="en-IE"/>
              </w:rPr>
              <w:t>Australia</w:t>
            </w:r>
          </w:p>
        </w:tc>
        <w:tc>
          <w:tcPr>
            <w:tcW w:w="657" w:type="dxa"/>
            <w:shd w:val="clear" w:color="auto" w:fill="F2F2F2" w:themeFill="background1" w:themeFillShade="F2"/>
            <w:tcMar>
              <w:left w:w="45" w:type="dxa"/>
              <w:right w:w="45" w:type="dxa"/>
            </w:tcMar>
          </w:tcPr>
          <w:p w14:paraId="01FB1285" w14:textId="77777777" w:rsidR="00E223C0" w:rsidRPr="00FB697F"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FB697F">
              <w:rPr>
                <w:rFonts w:asciiTheme="minorHAnsi" w:hAnsiTheme="minorHAnsi" w:cs="Times New Roman"/>
                <w:sz w:val="17"/>
                <w:szCs w:val="17"/>
                <w:lang w:eastAsia="en-IE"/>
              </w:rPr>
              <w:t>125</w:t>
            </w:r>
          </w:p>
        </w:tc>
        <w:tc>
          <w:tcPr>
            <w:tcW w:w="567" w:type="dxa"/>
            <w:shd w:val="clear" w:color="auto" w:fill="auto"/>
            <w:tcMar>
              <w:left w:w="45" w:type="dxa"/>
              <w:right w:w="45" w:type="dxa"/>
            </w:tcMar>
          </w:tcPr>
          <w:p w14:paraId="18021804"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5E77D0">
              <w:rPr>
                <w:rFonts w:asciiTheme="minorHAnsi" w:hAnsiTheme="minorHAnsi" w:cs="Times New Roman"/>
                <w:sz w:val="17"/>
                <w:szCs w:val="17"/>
                <w:lang w:eastAsia="en-IE"/>
              </w:rPr>
              <w:t>137</w:t>
            </w:r>
          </w:p>
        </w:tc>
        <w:tc>
          <w:tcPr>
            <w:tcW w:w="619" w:type="dxa"/>
            <w:shd w:val="clear" w:color="auto" w:fill="auto"/>
            <w:tcMar>
              <w:left w:w="45" w:type="dxa"/>
              <w:right w:w="45" w:type="dxa"/>
            </w:tcMar>
          </w:tcPr>
          <w:p w14:paraId="235FFE90" w14:textId="77777777" w:rsidR="00E223C0" w:rsidRPr="004C349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4C3491">
              <w:rPr>
                <w:rFonts w:asciiTheme="minorHAnsi" w:hAnsiTheme="minorHAnsi" w:cs="Times New Roman"/>
                <w:sz w:val="17"/>
                <w:szCs w:val="17"/>
                <w:lang w:eastAsia="en-IE"/>
              </w:rPr>
              <w:t>-9%</w:t>
            </w:r>
          </w:p>
        </w:tc>
        <w:tc>
          <w:tcPr>
            <w:tcW w:w="992" w:type="dxa"/>
            <w:shd w:val="clear" w:color="auto" w:fill="auto"/>
          </w:tcPr>
          <w:p w14:paraId="34B5B221" w14:textId="77777777" w:rsidR="00E223C0" w:rsidRPr="000A2002"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0A2002">
              <w:rPr>
                <w:rFonts w:asciiTheme="minorHAnsi" w:hAnsiTheme="minorHAnsi" w:cs="Times New Roman"/>
                <w:sz w:val="17"/>
                <w:szCs w:val="17"/>
                <w:lang w:eastAsia="en-IE"/>
              </w:rPr>
              <w:t>(4)</w:t>
            </w:r>
          </w:p>
        </w:tc>
        <w:tc>
          <w:tcPr>
            <w:tcW w:w="850" w:type="dxa"/>
            <w:shd w:val="clear" w:color="auto" w:fill="auto"/>
          </w:tcPr>
          <w:p w14:paraId="397F7155" w14:textId="77777777" w:rsidR="00E223C0" w:rsidRPr="00F615FA"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F615FA">
              <w:rPr>
                <w:rFonts w:asciiTheme="minorHAnsi" w:hAnsiTheme="minorHAnsi" w:cs="Times New Roman"/>
                <w:sz w:val="17"/>
                <w:szCs w:val="17"/>
                <w:lang w:eastAsia="en-IE"/>
              </w:rPr>
              <w:t>133</w:t>
            </w:r>
          </w:p>
        </w:tc>
        <w:tc>
          <w:tcPr>
            <w:tcW w:w="709" w:type="dxa"/>
            <w:shd w:val="clear" w:color="auto" w:fill="auto"/>
            <w:tcMar>
              <w:left w:w="45" w:type="dxa"/>
              <w:right w:w="45" w:type="dxa"/>
            </w:tcMar>
          </w:tcPr>
          <w:p w14:paraId="692B9F72" w14:textId="77777777" w:rsidR="00E223C0" w:rsidRPr="00DE660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DE660E">
              <w:rPr>
                <w:rFonts w:asciiTheme="minorHAnsi" w:hAnsiTheme="minorHAnsi" w:cs="Times New Roman"/>
                <w:sz w:val="17"/>
                <w:szCs w:val="17"/>
                <w:lang w:eastAsia="en-IE"/>
              </w:rPr>
              <w:t>-6%</w:t>
            </w:r>
          </w:p>
        </w:tc>
      </w:tr>
      <w:tr w:rsidR="00E223C0" w:rsidRPr="00185E5E" w14:paraId="4099FE6C" w14:textId="77777777" w:rsidTr="00DE428D">
        <w:tc>
          <w:tcPr>
            <w:tcW w:w="2599" w:type="dxa"/>
            <w:tcMar>
              <w:left w:w="45" w:type="dxa"/>
              <w:right w:w="45" w:type="dxa"/>
            </w:tcMar>
          </w:tcPr>
          <w:p w14:paraId="51915C93" w14:textId="5D4FF492" w:rsidR="00E223C0" w:rsidRPr="00791F17" w:rsidRDefault="00012A96"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b/>
                <w:sz w:val="17"/>
                <w:szCs w:val="17"/>
                <w:lang w:eastAsia="en-IE"/>
              </w:rPr>
            </w:pPr>
            <w:r>
              <w:rPr>
                <w:rFonts w:asciiTheme="minorHAnsi" w:hAnsiTheme="minorHAnsi" w:cs="Times New Roman"/>
                <w:sz w:val="17"/>
                <w:szCs w:val="17"/>
                <w:lang w:eastAsia="en-IE"/>
              </w:rPr>
              <w:t xml:space="preserve">PPB </w:t>
            </w:r>
            <w:r w:rsidR="00E223C0" w:rsidRPr="00791F17">
              <w:rPr>
                <w:rFonts w:asciiTheme="minorHAnsi" w:hAnsiTheme="minorHAnsi" w:cs="Times New Roman"/>
                <w:sz w:val="17"/>
                <w:szCs w:val="17"/>
                <w:lang w:eastAsia="en-IE"/>
              </w:rPr>
              <w:t>Retail</w:t>
            </w:r>
          </w:p>
        </w:tc>
        <w:tc>
          <w:tcPr>
            <w:tcW w:w="657" w:type="dxa"/>
            <w:shd w:val="clear" w:color="auto" w:fill="F2F2F2" w:themeFill="background1" w:themeFillShade="F2"/>
            <w:tcMar>
              <w:left w:w="45" w:type="dxa"/>
              <w:right w:w="45" w:type="dxa"/>
            </w:tcMar>
          </w:tcPr>
          <w:p w14:paraId="509952A3" w14:textId="77777777" w:rsidR="00E223C0" w:rsidRPr="00FB697F"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5"/>
              </w:tabs>
              <w:jc w:val="right"/>
              <w:rPr>
                <w:rFonts w:asciiTheme="minorHAnsi" w:hAnsiTheme="minorHAnsi" w:cs="Times New Roman"/>
                <w:sz w:val="17"/>
                <w:szCs w:val="17"/>
                <w:lang w:eastAsia="en-IE"/>
              </w:rPr>
            </w:pPr>
            <w:r w:rsidRPr="00FB697F">
              <w:rPr>
                <w:rFonts w:asciiTheme="minorHAnsi" w:hAnsiTheme="minorHAnsi" w:cs="Times New Roman"/>
                <w:sz w:val="17"/>
                <w:szCs w:val="17"/>
                <w:lang w:eastAsia="en-IE"/>
              </w:rPr>
              <w:tab/>
              <w:t>53</w:t>
            </w:r>
          </w:p>
        </w:tc>
        <w:tc>
          <w:tcPr>
            <w:tcW w:w="567" w:type="dxa"/>
            <w:shd w:val="clear" w:color="auto" w:fill="auto"/>
            <w:tcMar>
              <w:left w:w="45" w:type="dxa"/>
              <w:right w:w="45" w:type="dxa"/>
            </w:tcMar>
          </w:tcPr>
          <w:p w14:paraId="25040BE3"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5E77D0">
              <w:rPr>
                <w:rFonts w:asciiTheme="minorHAnsi" w:hAnsiTheme="minorHAnsi" w:cs="Times New Roman"/>
                <w:sz w:val="17"/>
                <w:szCs w:val="17"/>
                <w:lang w:eastAsia="en-IE"/>
              </w:rPr>
              <w:t>72</w:t>
            </w:r>
          </w:p>
        </w:tc>
        <w:tc>
          <w:tcPr>
            <w:tcW w:w="619" w:type="dxa"/>
            <w:shd w:val="clear" w:color="auto" w:fill="auto"/>
            <w:tcMar>
              <w:left w:w="45" w:type="dxa"/>
              <w:right w:w="45" w:type="dxa"/>
            </w:tcMar>
          </w:tcPr>
          <w:p w14:paraId="2748C0AF" w14:textId="77777777" w:rsidR="00E223C0" w:rsidRPr="004C349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4C3491">
              <w:rPr>
                <w:rFonts w:asciiTheme="minorHAnsi" w:hAnsiTheme="minorHAnsi" w:cs="Times New Roman"/>
                <w:sz w:val="17"/>
                <w:szCs w:val="17"/>
                <w:lang w:eastAsia="en-IE"/>
              </w:rPr>
              <w:t>-26%</w:t>
            </w:r>
          </w:p>
        </w:tc>
        <w:tc>
          <w:tcPr>
            <w:tcW w:w="992" w:type="dxa"/>
            <w:shd w:val="clear" w:color="auto" w:fill="auto"/>
          </w:tcPr>
          <w:p w14:paraId="2D14BC69" w14:textId="77777777" w:rsidR="00E223C0" w:rsidRPr="000A2002"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0A2002">
              <w:rPr>
                <w:rFonts w:asciiTheme="minorHAnsi" w:hAnsiTheme="minorHAnsi" w:cs="Times New Roman"/>
                <w:sz w:val="17"/>
                <w:szCs w:val="17"/>
                <w:lang w:eastAsia="en-IE"/>
              </w:rPr>
              <w:t>-</w:t>
            </w:r>
          </w:p>
        </w:tc>
        <w:tc>
          <w:tcPr>
            <w:tcW w:w="850" w:type="dxa"/>
            <w:shd w:val="clear" w:color="auto" w:fill="auto"/>
          </w:tcPr>
          <w:p w14:paraId="0F8CE2E3" w14:textId="77777777" w:rsidR="00E223C0" w:rsidRPr="00F615FA"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F615FA">
              <w:rPr>
                <w:rFonts w:asciiTheme="minorHAnsi" w:hAnsiTheme="minorHAnsi" w:cs="Times New Roman"/>
                <w:sz w:val="17"/>
                <w:szCs w:val="17"/>
                <w:lang w:eastAsia="en-IE"/>
              </w:rPr>
              <w:t>71</w:t>
            </w:r>
          </w:p>
        </w:tc>
        <w:tc>
          <w:tcPr>
            <w:tcW w:w="709" w:type="dxa"/>
            <w:shd w:val="clear" w:color="auto" w:fill="auto"/>
            <w:tcMar>
              <w:left w:w="45" w:type="dxa"/>
              <w:right w:w="45" w:type="dxa"/>
            </w:tcMar>
          </w:tcPr>
          <w:p w14:paraId="2AE8D0AB" w14:textId="77777777" w:rsidR="00E223C0" w:rsidRPr="00DE660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DE660E">
              <w:rPr>
                <w:rFonts w:asciiTheme="minorHAnsi" w:hAnsiTheme="minorHAnsi" w:cs="Times New Roman"/>
                <w:sz w:val="17"/>
                <w:szCs w:val="17"/>
                <w:lang w:eastAsia="en-IE"/>
              </w:rPr>
              <w:t>-25%</w:t>
            </w:r>
          </w:p>
        </w:tc>
      </w:tr>
      <w:tr w:rsidR="00E223C0" w:rsidRPr="00185E5E" w14:paraId="685C9E2D" w14:textId="77777777" w:rsidTr="00DE428D">
        <w:tc>
          <w:tcPr>
            <w:tcW w:w="2599" w:type="dxa"/>
            <w:tcMar>
              <w:left w:w="45" w:type="dxa"/>
              <w:right w:w="45" w:type="dxa"/>
            </w:tcMar>
          </w:tcPr>
          <w:p w14:paraId="6EC247F4"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7"/>
                <w:szCs w:val="17"/>
                <w:lang w:eastAsia="en-IE"/>
              </w:rPr>
            </w:pPr>
            <w:r w:rsidRPr="00791F17">
              <w:rPr>
                <w:rFonts w:asciiTheme="minorHAnsi" w:hAnsiTheme="minorHAnsi" w:cs="Times New Roman"/>
                <w:sz w:val="17"/>
                <w:szCs w:val="17"/>
                <w:lang w:eastAsia="en-IE"/>
              </w:rPr>
              <w:t>US</w:t>
            </w:r>
          </w:p>
        </w:tc>
        <w:tc>
          <w:tcPr>
            <w:tcW w:w="657" w:type="dxa"/>
            <w:shd w:val="clear" w:color="auto" w:fill="F2F2F2" w:themeFill="background1" w:themeFillShade="F2"/>
            <w:tcMar>
              <w:left w:w="45" w:type="dxa"/>
              <w:right w:w="45" w:type="dxa"/>
            </w:tcMar>
          </w:tcPr>
          <w:p w14:paraId="2E4F49DD" w14:textId="77777777" w:rsidR="00E223C0" w:rsidRPr="00FB697F"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FB697F">
              <w:rPr>
                <w:rFonts w:asciiTheme="minorHAnsi" w:hAnsiTheme="minorHAnsi" w:cs="Times New Roman"/>
                <w:sz w:val="17"/>
                <w:szCs w:val="17"/>
                <w:lang w:eastAsia="en-IE"/>
              </w:rPr>
              <w:t>(40)</w:t>
            </w:r>
          </w:p>
        </w:tc>
        <w:tc>
          <w:tcPr>
            <w:tcW w:w="567" w:type="dxa"/>
            <w:shd w:val="clear" w:color="auto" w:fill="auto"/>
            <w:tcMar>
              <w:left w:w="45" w:type="dxa"/>
              <w:right w:w="45" w:type="dxa"/>
            </w:tcMar>
          </w:tcPr>
          <w:p w14:paraId="32D15E41"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5E77D0">
              <w:rPr>
                <w:rFonts w:asciiTheme="minorHAnsi" w:hAnsiTheme="minorHAnsi" w:cs="Times New Roman"/>
                <w:sz w:val="17"/>
                <w:szCs w:val="17"/>
                <w:lang w:eastAsia="en-IE"/>
              </w:rPr>
              <w:t>(14)</w:t>
            </w:r>
          </w:p>
        </w:tc>
        <w:tc>
          <w:tcPr>
            <w:tcW w:w="619" w:type="dxa"/>
            <w:shd w:val="clear" w:color="auto" w:fill="auto"/>
            <w:tcMar>
              <w:left w:w="45" w:type="dxa"/>
              <w:right w:w="45" w:type="dxa"/>
            </w:tcMar>
          </w:tcPr>
          <w:p w14:paraId="2519BB95" w14:textId="77777777" w:rsidR="00E223C0" w:rsidRPr="004C349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4C3491">
              <w:rPr>
                <w:rFonts w:asciiTheme="minorHAnsi" w:hAnsiTheme="minorHAnsi" w:cs="Times New Roman"/>
                <w:sz w:val="17"/>
                <w:szCs w:val="17"/>
                <w:lang w:eastAsia="en-IE"/>
              </w:rPr>
              <w:t>+178%</w:t>
            </w:r>
          </w:p>
        </w:tc>
        <w:tc>
          <w:tcPr>
            <w:tcW w:w="992" w:type="dxa"/>
            <w:shd w:val="clear" w:color="auto" w:fill="auto"/>
          </w:tcPr>
          <w:p w14:paraId="673E000B" w14:textId="77777777" w:rsidR="00E223C0" w:rsidRPr="000A2002"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0A2002">
              <w:rPr>
                <w:rFonts w:asciiTheme="minorHAnsi" w:hAnsiTheme="minorHAnsi" w:cs="Times New Roman"/>
                <w:sz w:val="17"/>
                <w:szCs w:val="17"/>
                <w:lang w:eastAsia="en-IE"/>
              </w:rPr>
              <w:t>(1)</w:t>
            </w:r>
          </w:p>
        </w:tc>
        <w:tc>
          <w:tcPr>
            <w:tcW w:w="850" w:type="dxa"/>
            <w:shd w:val="clear" w:color="auto" w:fill="auto"/>
          </w:tcPr>
          <w:p w14:paraId="509499AF" w14:textId="77777777" w:rsidR="00E223C0" w:rsidRPr="00F615FA"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F615FA">
              <w:rPr>
                <w:rFonts w:asciiTheme="minorHAnsi" w:hAnsiTheme="minorHAnsi" w:cs="Times New Roman"/>
                <w:sz w:val="17"/>
                <w:szCs w:val="17"/>
                <w:lang w:eastAsia="en-IE"/>
              </w:rPr>
              <w:t>(15)</w:t>
            </w:r>
          </w:p>
        </w:tc>
        <w:tc>
          <w:tcPr>
            <w:tcW w:w="709" w:type="dxa"/>
            <w:shd w:val="clear" w:color="auto" w:fill="auto"/>
            <w:tcMar>
              <w:left w:w="45" w:type="dxa"/>
              <w:right w:w="45" w:type="dxa"/>
            </w:tcMar>
          </w:tcPr>
          <w:p w14:paraId="6FD8B9CB" w14:textId="77777777" w:rsidR="00E223C0" w:rsidRPr="00DE660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DE660E">
              <w:rPr>
                <w:rFonts w:asciiTheme="minorHAnsi" w:hAnsiTheme="minorHAnsi" w:cs="Times New Roman"/>
                <w:sz w:val="17"/>
                <w:szCs w:val="17"/>
                <w:lang w:eastAsia="en-IE"/>
              </w:rPr>
              <w:t>+168%</w:t>
            </w:r>
          </w:p>
        </w:tc>
      </w:tr>
      <w:tr w:rsidR="00E223C0" w:rsidRPr="00485772" w14:paraId="2A462894" w14:textId="77777777" w:rsidTr="00DE428D">
        <w:tc>
          <w:tcPr>
            <w:tcW w:w="2599" w:type="dxa"/>
            <w:tcMar>
              <w:left w:w="45" w:type="dxa"/>
              <w:right w:w="45" w:type="dxa"/>
            </w:tcMar>
          </w:tcPr>
          <w:p w14:paraId="442D00E2" w14:textId="77777777" w:rsidR="00E223C0" w:rsidRPr="00791F17"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17"/>
                <w:szCs w:val="17"/>
                <w:lang w:eastAsia="en-IE"/>
              </w:rPr>
            </w:pPr>
            <w:r w:rsidRPr="00791F17">
              <w:rPr>
                <w:rFonts w:asciiTheme="minorHAnsi" w:hAnsiTheme="minorHAnsi" w:cs="Times New Roman"/>
                <w:sz w:val="17"/>
                <w:szCs w:val="17"/>
                <w:lang w:eastAsia="en-IE"/>
              </w:rPr>
              <w:t>Unallocated central costs</w:t>
            </w:r>
          </w:p>
        </w:tc>
        <w:tc>
          <w:tcPr>
            <w:tcW w:w="657" w:type="dxa"/>
            <w:shd w:val="clear" w:color="auto" w:fill="F2F2F2" w:themeFill="background1" w:themeFillShade="F2"/>
            <w:tcMar>
              <w:left w:w="45" w:type="dxa"/>
              <w:right w:w="45" w:type="dxa"/>
            </w:tcMar>
          </w:tcPr>
          <w:p w14:paraId="0D87C475" w14:textId="77777777" w:rsidR="00E223C0" w:rsidRPr="00FB697F"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FB697F">
              <w:rPr>
                <w:rFonts w:asciiTheme="minorHAnsi" w:hAnsiTheme="minorHAnsi" w:cs="Times New Roman"/>
                <w:sz w:val="17"/>
                <w:szCs w:val="17"/>
                <w:lang w:eastAsia="en-IE"/>
              </w:rPr>
              <w:t>(60)</w:t>
            </w:r>
          </w:p>
        </w:tc>
        <w:tc>
          <w:tcPr>
            <w:tcW w:w="567" w:type="dxa"/>
            <w:shd w:val="clear" w:color="auto" w:fill="auto"/>
            <w:tcMar>
              <w:left w:w="45" w:type="dxa"/>
              <w:right w:w="45" w:type="dxa"/>
            </w:tcMar>
          </w:tcPr>
          <w:p w14:paraId="2C8874A0" w14:textId="77777777" w:rsidR="00E223C0" w:rsidRPr="005E77D0"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5E77D0">
              <w:rPr>
                <w:rFonts w:asciiTheme="minorHAnsi" w:hAnsiTheme="minorHAnsi" w:cs="Times New Roman"/>
                <w:sz w:val="17"/>
                <w:szCs w:val="17"/>
                <w:lang w:eastAsia="en-IE"/>
              </w:rPr>
              <w:t>(59)</w:t>
            </w:r>
          </w:p>
        </w:tc>
        <w:tc>
          <w:tcPr>
            <w:tcW w:w="619" w:type="dxa"/>
            <w:shd w:val="clear" w:color="auto" w:fill="auto"/>
            <w:tcMar>
              <w:left w:w="45" w:type="dxa"/>
              <w:right w:w="45" w:type="dxa"/>
            </w:tcMar>
          </w:tcPr>
          <w:p w14:paraId="09EEF9D7" w14:textId="77777777" w:rsidR="00E223C0" w:rsidRPr="004C3491"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4C3491">
              <w:rPr>
                <w:rFonts w:asciiTheme="minorHAnsi" w:hAnsiTheme="minorHAnsi" w:cs="Times New Roman"/>
                <w:sz w:val="17"/>
                <w:szCs w:val="17"/>
                <w:lang w:eastAsia="en-IE"/>
              </w:rPr>
              <w:t>+</w:t>
            </w:r>
            <w:r>
              <w:rPr>
                <w:rFonts w:asciiTheme="minorHAnsi" w:hAnsiTheme="minorHAnsi" w:cs="Times New Roman"/>
                <w:sz w:val="17"/>
                <w:szCs w:val="17"/>
                <w:lang w:eastAsia="en-IE"/>
              </w:rPr>
              <w:t>1</w:t>
            </w:r>
            <w:r w:rsidRPr="004C3491">
              <w:rPr>
                <w:rFonts w:asciiTheme="minorHAnsi" w:hAnsiTheme="minorHAnsi" w:cs="Times New Roman"/>
                <w:sz w:val="17"/>
                <w:szCs w:val="17"/>
                <w:lang w:eastAsia="en-IE"/>
              </w:rPr>
              <w:t>%</w:t>
            </w:r>
          </w:p>
        </w:tc>
        <w:tc>
          <w:tcPr>
            <w:tcW w:w="992" w:type="dxa"/>
            <w:shd w:val="clear" w:color="auto" w:fill="auto"/>
          </w:tcPr>
          <w:p w14:paraId="2FF36D2C" w14:textId="77777777" w:rsidR="00E223C0" w:rsidRPr="000A2002"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0A2002">
              <w:rPr>
                <w:rFonts w:asciiTheme="minorHAnsi" w:hAnsiTheme="minorHAnsi" w:cs="Times New Roman"/>
                <w:sz w:val="17"/>
                <w:szCs w:val="17"/>
                <w:lang w:eastAsia="en-IE"/>
              </w:rPr>
              <w:t>-</w:t>
            </w:r>
          </w:p>
        </w:tc>
        <w:tc>
          <w:tcPr>
            <w:tcW w:w="850" w:type="dxa"/>
            <w:shd w:val="clear" w:color="auto" w:fill="auto"/>
          </w:tcPr>
          <w:p w14:paraId="28AFF013" w14:textId="77777777" w:rsidR="00E223C0" w:rsidRPr="00F615FA"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heme="minorHAnsi" w:hAnsiTheme="minorHAnsi" w:cs="Times New Roman"/>
                <w:sz w:val="17"/>
                <w:szCs w:val="17"/>
                <w:lang w:eastAsia="en-IE"/>
              </w:rPr>
            </w:pPr>
            <w:r w:rsidRPr="00F615FA">
              <w:rPr>
                <w:rFonts w:asciiTheme="minorHAnsi" w:hAnsiTheme="minorHAnsi" w:cs="Times New Roman"/>
                <w:sz w:val="17"/>
                <w:szCs w:val="17"/>
                <w:lang w:eastAsia="en-IE"/>
              </w:rPr>
              <w:t>(59)</w:t>
            </w:r>
          </w:p>
        </w:tc>
        <w:tc>
          <w:tcPr>
            <w:tcW w:w="709" w:type="dxa"/>
            <w:shd w:val="clear" w:color="auto" w:fill="auto"/>
            <w:tcMar>
              <w:left w:w="45" w:type="dxa"/>
              <w:right w:w="45" w:type="dxa"/>
            </w:tcMar>
          </w:tcPr>
          <w:p w14:paraId="0099E07F" w14:textId="77777777" w:rsidR="00E223C0" w:rsidRPr="00DE660E" w:rsidRDefault="00E223C0" w:rsidP="00DE428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35"/>
              </w:tabs>
              <w:jc w:val="right"/>
              <w:rPr>
                <w:rFonts w:asciiTheme="minorHAnsi" w:hAnsiTheme="minorHAnsi" w:cs="Times New Roman"/>
                <w:sz w:val="17"/>
                <w:szCs w:val="17"/>
                <w:lang w:eastAsia="en-IE"/>
              </w:rPr>
            </w:pPr>
            <w:r w:rsidRPr="00DE660E">
              <w:rPr>
                <w:rFonts w:asciiTheme="minorHAnsi" w:hAnsiTheme="minorHAnsi" w:cs="Times New Roman"/>
                <w:sz w:val="17"/>
                <w:szCs w:val="17"/>
                <w:lang w:eastAsia="en-IE"/>
              </w:rPr>
              <w:t>+</w:t>
            </w:r>
            <w:r>
              <w:rPr>
                <w:rFonts w:asciiTheme="minorHAnsi" w:hAnsiTheme="minorHAnsi" w:cs="Times New Roman"/>
                <w:sz w:val="17"/>
                <w:szCs w:val="17"/>
                <w:lang w:eastAsia="en-IE"/>
              </w:rPr>
              <w:t>2</w:t>
            </w:r>
            <w:r w:rsidRPr="00DE660E">
              <w:rPr>
                <w:rFonts w:asciiTheme="minorHAnsi" w:hAnsiTheme="minorHAnsi" w:cs="Times New Roman"/>
                <w:sz w:val="17"/>
                <w:szCs w:val="17"/>
                <w:lang w:eastAsia="en-IE"/>
              </w:rPr>
              <w:t>%</w:t>
            </w:r>
          </w:p>
        </w:tc>
      </w:tr>
    </w:tbl>
    <w:p w14:paraId="608F7155" w14:textId="77777777" w:rsidR="00E223C0" w:rsidRDefault="00E223C0" w:rsidP="00E223C0">
      <w:pPr>
        <w:pStyle w:val="Accountstext"/>
        <w:rPr>
          <w:rFonts w:asciiTheme="minorHAnsi" w:hAnsiTheme="minorHAnsi"/>
          <w:b/>
          <w:szCs w:val="22"/>
          <w:lang w:val="en-IE"/>
        </w:rPr>
      </w:pPr>
    </w:p>
    <w:p w14:paraId="79FBBEBA" w14:textId="77777777" w:rsidR="00E223C0" w:rsidRDefault="00E223C0" w:rsidP="00E223C0">
      <w:pPr>
        <w:pStyle w:val="Accountstext"/>
        <w:rPr>
          <w:rFonts w:asciiTheme="minorHAnsi" w:hAnsiTheme="minorHAnsi"/>
          <w:b/>
          <w:szCs w:val="22"/>
          <w:lang w:val="en-IE"/>
        </w:rPr>
      </w:pPr>
    </w:p>
    <w:p w14:paraId="49D0DCDB" w14:textId="77777777" w:rsidR="00E223C0" w:rsidRDefault="00E223C0" w:rsidP="00E223C0">
      <w:pPr>
        <w:pStyle w:val="Accountstext"/>
        <w:rPr>
          <w:rFonts w:asciiTheme="minorHAnsi" w:hAnsiTheme="minorHAnsi"/>
          <w:b/>
          <w:szCs w:val="22"/>
          <w:lang w:val="en-IE"/>
        </w:rPr>
      </w:pPr>
    </w:p>
    <w:p w14:paraId="6CB59DFD" w14:textId="77777777" w:rsidR="00E223C0" w:rsidRDefault="00E223C0" w:rsidP="00E223C0">
      <w:pPr>
        <w:pStyle w:val="Accountstext"/>
        <w:rPr>
          <w:rFonts w:asciiTheme="minorHAnsi" w:hAnsiTheme="minorHAnsi"/>
          <w:b/>
          <w:szCs w:val="22"/>
          <w:lang w:val="en-IE"/>
        </w:rPr>
      </w:pPr>
    </w:p>
    <w:p w14:paraId="0E7AEA59" w14:textId="77777777" w:rsidR="00E223C0" w:rsidRDefault="00E223C0" w:rsidP="00E223C0">
      <w:pPr>
        <w:pStyle w:val="Accountstext"/>
        <w:rPr>
          <w:rFonts w:asciiTheme="minorHAnsi" w:hAnsiTheme="minorHAnsi"/>
          <w:b/>
          <w:szCs w:val="22"/>
          <w:lang w:val="en-IE"/>
        </w:rPr>
      </w:pPr>
    </w:p>
    <w:p w14:paraId="69D61D52" w14:textId="77777777" w:rsidR="00B1438B" w:rsidRDefault="00B1438B" w:rsidP="00E223C0">
      <w:pPr>
        <w:pStyle w:val="Accountstext"/>
        <w:rPr>
          <w:rFonts w:asciiTheme="minorHAnsi" w:hAnsiTheme="minorHAnsi"/>
          <w:b/>
          <w:szCs w:val="22"/>
          <w:lang w:val="en-IE"/>
        </w:rPr>
        <w:sectPr w:rsidR="00B1438B" w:rsidSect="00F3353C">
          <w:footerReference w:type="even" r:id="rId17"/>
          <w:pgSz w:w="11907" w:h="16839" w:code="9"/>
          <w:pgMar w:top="810" w:right="1170" w:bottom="630" w:left="1260" w:header="720" w:footer="720" w:gutter="0"/>
          <w:cols w:space="720"/>
          <w:noEndnote/>
          <w:docGrid w:linePitch="326"/>
        </w:sectPr>
      </w:pPr>
    </w:p>
    <w:p w14:paraId="68C23F03" w14:textId="77777777" w:rsidR="00B1438B" w:rsidRPr="00BC74A5" w:rsidRDefault="00B1438B" w:rsidP="00B1438B">
      <w:pPr>
        <w:spacing w:after="120"/>
        <w:rPr>
          <w:rFonts w:asciiTheme="minorHAnsi" w:hAnsiTheme="minorHAnsi"/>
          <w:b/>
          <w:sz w:val="20"/>
          <w:lang w:eastAsia="en-IE"/>
        </w:rPr>
      </w:pPr>
      <w:r>
        <w:rPr>
          <w:rFonts w:asciiTheme="minorHAnsi" w:hAnsiTheme="minorHAnsi"/>
          <w:b/>
          <w:sz w:val="20"/>
          <w:lang w:eastAsia="en-IE"/>
        </w:rPr>
        <w:lastRenderedPageBreak/>
        <w:t>Ap</w:t>
      </w:r>
      <w:r w:rsidRPr="00BC74A5">
        <w:rPr>
          <w:rFonts w:asciiTheme="minorHAnsi" w:hAnsiTheme="minorHAnsi"/>
          <w:b/>
          <w:sz w:val="20"/>
          <w:lang w:eastAsia="en-IE"/>
        </w:rPr>
        <w:t>pendix 5: Reconciliation of underlying EBITDA and EBIT to reported statutory EBIT by division</w:t>
      </w:r>
    </w:p>
    <w:p w14:paraId="7EF84D86" w14:textId="77777777" w:rsidR="00B1438B" w:rsidRPr="000656E9" w:rsidRDefault="00B1438B" w:rsidP="00B1438B">
      <w:pPr>
        <w:pStyle w:val="BodyText"/>
        <w:rPr>
          <w:rFonts w:asciiTheme="minorHAnsi" w:hAnsiTheme="minorHAnsi"/>
          <w:sz w:val="20"/>
          <w:szCs w:val="20"/>
        </w:rPr>
      </w:pPr>
      <w:r w:rsidRPr="0026713E">
        <w:rPr>
          <w:rFonts w:asciiTheme="minorHAnsi" w:hAnsiTheme="minorHAnsi"/>
          <w:sz w:val="20"/>
          <w:szCs w:val="20"/>
        </w:rPr>
        <w:t xml:space="preserve">From 1 January 2019, IFRS 16 – Leases replaced IAS 17 – Leases. This means for leases previously classified as operating leases, a right of use asset and associated lease liability will be recognised going forward. </w:t>
      </w:r>
      <w:r w:rsidRPr="0026713E">
        <w:rPr>
          <w:rFonts w:asciiTheme="minorHAnsi" w:hAnsiTheme="minorHAnsi" w:cstheme="minorHAnsi"/>
          <w:sz w:val="20"/>
          <w:szCs w:val="20"/>
        </w:rPr>
        <w:t>The nature of the operating lease expense also changes as IFRS 16 replaces the previous operating lease expense with a depreciation charge on the asset and an interest expense on the liability.</w:t>
      </w:r>
      <w:r w:rsidRPr="0026713E">
        <w:rPr>
          <w:rFonts w:asciiTheme="minorHAnsi" w:hAnsiTheme="minorHAnsi"/>
          <w:sz w:val="20"/>
          <w:szCs w:val="20"/>
        </w:rPr>
        <w:t xml:space="preserve"> As a Group we have adopted the modified retrospective approach by not restating the comparative period. Therefore</w:t>
      </w:r>
      <w:r>
        <w:rPr>
          <w:rFonts w:asciiTheme="minorHAnsi" w:hAnsiTheme="minorHAnsi"/>
          <w:sz w:val="20"/>
          <w:szCs w:val="20"/>
        </w:rPr>
        <w:t>,</w:t>
      </w:r>
      <w:r w:rsidRPr="0026713E">
        <w:rPr>
          <w:rFonts w:asciiTheme="minorHAnsi" w:hAnsiTheme="minorHAnsi"/>
          <w:sz w:val="20"/>
          <w:szCs w:val="20"/>
        </w:rPr>
        <w:t xml:space="preserve"> in the Operating and Financial Review, in order to maintain comparability with the prior period, we have shown underlying EBITDA on a consistent basis with the prior period, i.e. on a pre-IFRS 16 basis with the relevant operating lease expense included within EBITDA. The impact of IFRS 16 on Group profit before tax was immaterial in the period.</w:t>
      </w:r>
      <w:r w:rsidRPr="000656E9">
        <w:rPr>
          <w:rFonts w:asciiTheme="minorHAnsi" w:hAnsiTheme="minorHAnsi"/>
          <w:sz w:val="20"/>
          <w:szCs w:val="20"/>
        </w:rPr>
        <w:t xml:space="preserve"> </w:t>
      </w:r>
    </w:p>
    <w:p w14:paraId="16C2FC0D" w14:textId="77777777" w:rsidR="00B1438B" w:rsidRDefault="00B1438B" w:rsidP="00B1438B">
      <w:pPr>
        <w:pStyle w:val="BodyText"/>
        <w:rPr>
          <w:rFonts w:asciiTheme="minorHAnsi" w:hAnsiTheme="minorHAnsi"/>
          <w:sz w:val="20"/>
        </w:rPr>
      </w:pPr>
    </w:p>
    <w:tbl>
      <w:tblPr>
        <w:tblW w:w="14849" w:type="dxa"/>
        <w:tblLayout w:type="fixed"/>
        <w:tblLook w:val="04A0" w:firstRow="1" w:lastRow="0" w:firstColumn="1" w:lastColumn="0" w:noHBand="0" w:noVBand="1"/>
      </w:tblPr>
      <w:tblGrid>
        <w:gridCol w:w="2263"/>
        <w:gridCol w:w="851"/>
        <w:gridCol w:w="850"/>
        <w:gridCol w:w="993"/>
        <w:gridCol w:w="850"/>
        <w:gridCol w:w="851"/>
        <w:gridCol w:w="877"/>
        <w:gridCol w:w="824"/>
        <w:gridCol w:w="737"/>
        <w:gridCol w:w="877"/>
        <w:gridCol w:w="824"/>
        <w:gridCol w:w="737"/>
        <w:gridCol w:w="877"/>
        <w:gridCol w:w="824"/>
        <w:gridCol w:w="737"/>
        <w:gridCol w:w="877"/>
      </w:tblGrid>
      <w:tr w:rsidR="00B1438B" w:rsidRPr="003B39E3" w14:paraId="42075B9B" w14:textId="77777777" w:rsidTr="00A05B52">
        <w:trPr>
          <w:trHeight w:val="254"/>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C47A1" w14:textId="77777777" w:rsidR="00B1438B" w:rsidRPr="003B39E3" w:rsidRDefault="00B1438B" w:rsidP="00A05B52">
            <w:pPr>
              <w:rPr>
                <w:rFonts w:ascii="Calibri" w:hAnsi="Calibri" w:cs="Calibri"/>
                <w:b/>
                <w:bCs/>
                <w:color w:val="000000"/>
                <w:sz w:val="17"/>
                <w:szCs w:val="17"/>
                <w:lang w:val="en-IE" w:eastAsia="en-IE"/>
              </w:rPr>
            </w:pPr>
            <w:r w:rsidRPr="003B39E3">
              <w:rPr>
                <w:rFonts w:ascii="Calibri" w:hAnsi="Calibri" w:cs="Calibri"/>
                <w:b/>
                <w:bCs/>
                <w:color w:val="000000"/>
                <w:sz w:val="17"/>
                <w:szCs w:val="17"/>
                <w:lang w:val="en-IE" w:eastAsia="en-IE"/>
              </w:rPr>
              <w:t>£m</w:t>
            </w:r>
          </w:p>
        </w:tc>
        <w:tc>
          <w:tcPr>
            <w:tcW w:w="2694"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7664BB36" w14:textId="37C5E59B" w:rsidR="00B1438B" w:rsidRPr="003B39E3" w:rsidRDefault="00012A96" w:rsidP="00A05B52">
            <w:pPr>
              <w:jc w:val="center"/>
              <w:rPr>
                <w:rFonts w:ascii="Calibri" w:hAnsi="Calibri" w:cs="Calibri"/>
                <w:b/>
                <w:bCs/>
                <w:color w:val="000000"/>
                <w:sz w:val="17"/>
                <w:szCs w:val="17"/>
                <w:lang w:val="en-IE" w:eastAsia="en-IE"/>
              </w:rPr>
            </w:pPr>
            <w:r>
              <w:rPr>
                <w:rFonts w:ascii="Calibri" w:hAnsi="Calibri" w:cs="Calibri"/>
                <w:b/>
                <w:bCs/>
                <w:color w:val="000000"/>
                <w:sz w:val="17"/>
                <w:szCs w:val="17"/>
                <w:lang w:val="en-IE" w:eastAsia="en-IE"/>
              </w:rPr>
              <w:t xml:space="preserve">PPB </w:t>
            </w:r>
            <w:r w:rsidR="00B1438B" w:rsidRPr="003B39E3">
              <w:rPr>
                <w:rFonts w:ascii="Calibri" w:hAnsi="Calibri" w:cs="Calibri"/>
                <w:b/>
                <w:bCs/>
                <w:color w:val="000000"/>
                <w:sz w:val="17"/>
                <w:szCs w:val="17"/>
                <w:lang w:val="en-IE" w:eastAsia="en-IE"/>
              </w:rPr>
              <w:t>Online</w:t>
            </w:r>
          </w:p>
        </w:tc>
        <w:tc>
          <w:tcPr>
            <w:tcW w:w="257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6EEAA6" w14:textId="77777777" w:rsidR="00B1438B" w:rsidRPr="003B39E3" w:rsidRDefault="00B1438B" w:rsidP="00A05B52">
            <w:pPr>
              <w:jc w:val="center"/>
              <w:rPr>
                <w:rFonts w:ascii="Calibri" w:hAnsi="Calibri" w:cs="Calibri"/>
                <w:b/>
                <w:bCs/>
                <w:color w:val="000000"/>
                <w:sz w:val="17"/>
                <w:szCs w:val="17"/>
                <w:lang w:val="en-IE" w:eastAsia="en-IE"/>
              </w:rPr>
            </w:pPr>
            <w:r w:rsidRPr="003B39E3">
              <w:rPr>
                <w:rFonts w:ascii="Calibri" w:hAnsi="Calibri" w:cs="Calibri"/>
                <w:b/>
                <w:bCs/>
                <w:color w:val="000000"/>
                <w:sz w:val="17"/>
                <w:szCs w:val="17"/>
                <w:lang w:val="en-IE" w:eastAsia="en-IE"/>
              </w:rPr>
              <w:t>Australia</w:t>
            </w:r>
          </w:p>
        </w:tc>
        <w:tc>
          <w:tcPr>
            <w:tcW w:w="2438"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672CA8A9" w14:textId="2C3E751B" w:rsidR="00B1438B" w:rsidRPr="003B39E3" w:rsidRDefault="00012A96" w:rsidP="00A05B52">
            <w:pPr>
              <w:jc w:val="center"/>
              <w:rPr>
                <w:rFonts w:ascii="Calibri" w:hAnsi="Calibri" w:cs="Calibri"/>
                <w:b/>
                <w:bCs/>
                <w:color w:val="000000"/>
                <w:sz w:val="17"/>
                <w:szCs w:val="17"/>
                <w:lang w:val="en-IE" w:eastAsia="en-IE"/>
              </w:rPr>
            </w:pPr>
            <w:r>
              <w:rPr>
                <w:rFonts w:ascii="Calibri" w:hAnsi="Calibri" w:cs="Calibri"/>
                <w:b/>
                <w:bCs/>
                <w:color w:val="000000"/>
                <w:sz w:val="17"/>
                <w:szCs w:val="17"/>
                <w:lang w:val="en-IE" w:eastAsia="en-IE"/>
              </w:rPr>
              <w:t xml:space="preserve">PPB </w:t>
            </w:r>
            <w:r w:rsidR="00B1438B" w:rsidRPr="003B39E3">
              <w:rPr>
                <w:rFonts w:ascii="Calibri" w:hAnsi="Calibri" w:cs="Calibri"/>
                <w:b/>
                <w:bCs/>
                <w:color w:val="000000"/>
                <w:sz w:val="17"/>
                <w:szCs w:val="17"/>
                <w:lang w:val="en-IE" w:eastAsia="en-IE"/>
              </w:rPr>
              <w:t>Retail</w:t>
            </w:r>
          </w:p>
        </w:tc>
        <w:tc>
          <w:tcPr>
            <w:tcW w:w="243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74F4ABD" w14:textId="77777777" w:rsidR="00B1438B" w:rsidRPr="003B39E3" w:rsidRDefault="00B1438B" w:rsidP="00A05B52">
            <w:pPr>
              <w:jc w:val="center"/>
              <w:rPr>
                <w:rFonts w:ascii="Calibri" w:hAnsi="Calibri" w:cs="Calibri"/>
                <w:b/>
                <w:bCs/>
                <w:color w:val="000000"/>
                <w:sz w:val="17"/>
                <w:szCs w:val="17"/>
                <w:lang w:val="en-IE" w:eastAsia="en-IE"/>
              </w:rPr>
            </w:pPr>
            <w:r w:rsidRPr="003B39E3">
              <w:rPr>
                <w:rFonts w:ascii="Calibri" w:hAnsi="Calibri" w:cs="Calibri"/>
                <w:b/>
                <w:bCs/>
                <w:color w:val="000000"/>
                <w:sz w:val="17"/>
                <w:szCs w:val="17"/>
                <w:lang w:val="en-IE" w:eastAsia="en-IE"/>
              </w:rPr>
              <w:t>US</w:t>
            </w:r>
          </w:p>
        </w:tc>
        <w:tc>
          <w:tcPr>
            <w:tcW w:w="2438"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77F30B59" w14:textId="77777777" w:rsidR="00B1438B" w:rsidRPr="003B39E3" w:rsidRDefault="00B1438B" w:rsidP="00A05B52">
            <w:pPr>
              <w:jc w:val="center"/>
              <w:rPr>
                <w:rFonts w:ascii="Calibri" w:hAnsi="Calibri" w:cs="Calibri"/>
                <w:b/>
                <w:bCs/>
                <w:color w:val="000000"/>
                <w:sz w:val="17"/>
                <w:szCs w:val="17"/>
                <w:lang w:val="en-IE" w:eastAsia="en-IE"/>
              </w:rPr>
            </w:pPr>
            <w:r w:rsidRPr="003B39E3">
              <w:rPr>
                <w:rFonts w:ascii="Calibri" w:hAnsi="Calibri" w:cs="Calibri"/>
                <w:b/>
                <w:bCs/>
                <w:color w:val="000000"/>
                <w:sz w:val="17"/>
                <w:szCs w:val="17"/>
                <w:lang w:val="en-IE" w:eastAsia="en-IE"/>
              </w:rPr>
              <w:t>Group</w:t>
            </w:r>
          </w:p>
        </w:tc>
      </w:tr>
      <w:tr w:rsidR="00B1438B" w:rsidRPr="003B39E3" w14:paraId="17E8CE2B" w14:textId="77777777" w:rsidTr="00A05B52">
        <w:trPr>
          <w:trHeight w:val="81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F520FF8" w14:textId="77777777" w:rsidR="00B1438B" w:rsidRPr="003B39E3" w:rsidRDefault="00B1438B" w:rsidP="00A05B52">
            <w:pPr>
              <w:rPr>
                <w:rFonts w:ascii="Calibri" w:hAnsi="Calibri" w:cs="Calibri"/>
                <w:color w:val="000000"/>
                <w:sz w:val="17"/>
                <w:szCs w:val="17"/>
                <w:lang w:val="en-IE" w:eastAsia="en-IE"/>
              </w:rPr>
            </w:pPr>
            <w:r w:rsidRPr="003B39E3">
              <w:rPr>
                <w:rFonts w:ascii="Calibri" w:hAnsi="Calibri" w:cs="Calibri"/>
                <w:color w:val="000000"/>
                <w:sz w:val="17"/>
                <w:szCs w:val="17"/>
                <w:lang w:val="en-IE" w:eastAsia="en-IE"/>
              </w:rPr>
              <w:t> </w:t>
            </w:r>
          </w:p>
        </w:tc>
        <w:tc>
          <w:tcPr>
            <w:tcW w:w="851" w:type="dxa"/>
            <w:tcBorders>
              <w:top w:val="nil"/>
              <w:left w:val="nil"/>
              <w:bottom w:val="single" w:sz="4" w:space="0" w:color="auto"/>
              <w:right w:val="single" w:sz="4" w:space="0" w:color="auto"/>
            </w:tcBorders>
            <w:shd w:val="clear" w:color="000000" w:fill="F2F2F2"/>
            <w:vAlign w:val="bottom"/>
            <w:hideMark/>
          </w:tcPr>
          <w:p w14:paraId="7A3B5B95" w14:textId="687F1010"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 xml:space="preserve">Pre </w:t>
            </w:r>
          </w:p>
          <w:p w14:paraId="52354FB3"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IFRS 16</w:t>
            </w:r>
          </w:p>
          <w:p w14:paraId="3572CC21" w14:textId="15B908D9"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br/>
              <w:t>2019</w:t>
            </w:r>
          </w:p>
        </w:tc>
        <w:tc>
          <w:tcPr>
            <w:tcW w:w="850" w:type="dxa"/>
            <w:tcBorders>
              <w:top w:val="nil"/>
              <w:left w:val="nil"/>
              <w:bottom w:val="single" w:sz="4" w:space="0" w:color="auto"/>
              <w:right w:val="single" w:sz="4" w:space="0" w:color="auto"/>
            </w:tcBorders>
            <w:shd w:val="clear" w:color="000000" w:fill="F2F2F2"/>
            <w:vAlign w:val="bottom"/>
            <w:hideMark/>
          </w:tcPr>
          <w:p w14:paraId="0E0D8F39" w14:textId="32D570B8" w:rsidR="00B1438B"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IFRS 16</w:t>
            </w:r>
            <w:r w:rsidRPr="006D7AEF">
              <w:rPr>
                <w:rFonts w:ascii="Calibri" w:hAnsi="Calibri" w:cs="Calibri"/>
                <w:b/>
                <w:bCs/>
                <w:color w:val="000000"/>
                <w:sz w:val="17"/>
                <w:szCs w:val="17"/>
                <w:lang w:val="en-IE" w:eastAsia="en-IE"/>
              </w:rPr>
              <w:br/>
              <w:t>adjust-</w:t>
            </w:r>
            <w:proofErr w:type="spellStart"/>
            <w:r w:rsidRPr="006D7AEF">
              <w:rPr>
                <w:rFonts w:ascii="Calibri" w:hAnsi="Calibri" w:cs="Calibri"/>
                <w:b/>
                <w:bCs/>
                <w:color w:val="000000"/>
                <w:sz w:val="17"/>
                <w:szCs w:val="17"/>
                <w:lang w:val="en-IE" w:eastAsia="en-IE"/>
              </w:rPr>
              <w:t>ment</w:t>
            </w:r>
            <w:proofErr w:type="spellEnd"/>
          </w:p>
          <w:p w14:paraId="41520455" w14:textId="77777777" w:rsidR="004A6360" w:rsidRDefault="004A6360" w:rsidP="00A05B52">
            <w:pPr>
              <w:jc w:val="right"/>
              <w:rPr>
                <w:rFonts w:ascii="Calibri" w:hAnsi="Calibri" w:cs="Calibri"/>
                <w:b/>
                <w:bCs/>
                <w:color w:val="000000"/>
                <w:sz w:val="17"/>
                <w:szCs w:val="17"/>
                <w:lang w:val="en-IE" w:eastAsia="en-IE"/>
              </w:rPr>
            </w:pPr>
          </w:p>
          <w:p w14:paraId="100DE908" w14:textId="78B33538" w:rsidR="004A6360" w:rsidRPr="006D7AEF" w:rsidRDefault="004A6360" w:rsidP="00A05B52">
            <w:pPr>
              <w:jc w:val="right"/>
              <w:rPr>
                <w:rFonts w:ascii="Calibri" w:hAnsi="Calibri" w:cs="Calibri"/>
                <w:b/>
                <w:bCs/>
                <w:color w:val="000000"/>
                <w:sz w:val="17"/>
                <w:szCs w:val="17"/>
                <w:lang w:val="en-IE" w:eastAsia="en-IE"/>
              </w:rPr>
            </w:pPr>
          </w:p>
        </w:tc>
        <w:tc>
          <w:tcPr>
            <w:tcW w:w="993" w:type="dxa"/>
            <w:tcBorders>
              <w:top w:val="nil"/>
              <w:left w:val="nil"/>
              <w:bottom w:val="single" w:sz="4" w:space="0" w:color="auto"/>
              <w:right w:val="single" w:sz="4" w:space="0" w:color="auto"/>
            </w:tcBorders>
            <w:shd w:val="clear" w:color="000000" w:fill="F2F2F2"/>
            <w:vAlign w:val="bottom"/>
            <w:hideMark/>
          </w:tcPr>
          <w:p w14:paraId="00B17F9F"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Reported</w:t>
            </w:r>
            <w:r w:rsidRPr="006D7AEF">
              <w:rPr>
                <w:rFonts w:ascii="Calibri" w:hAnsi="Calibri" w:cs="Calibri"/>
                <w:b/>
                <w:bCs/>
                <w:color w:val="000000"/>
                <w:sz w:val="17"/>
                <w:szCs w:val="17"/>
                <w:lang w:val="en-IE" w:eastAsia="en-IE"/>
              </w:rPr>
              <w:br/>
              <w:t xml:space="preserve"> </w:t>
            </w:r>
            <w:r w:rsidRPr="006D7AEF">
              <w:rPr>
                <w:rFonts w:ascii="Calibri" w:hAnsi="Calibri" w:cs="Calibri"/>
                <w:b/>
                <w:bCs/>
                <w:color w:val="000000"/>
                <w:sz w:val="17"/>
                <w:szCs w:val="17"/>
                <w:lang w:val="en-IE" w:eastAsia="en-IE"/>
              </w:rPr>
              <w:br/>
              <w:t xml:space="preserve"> </w:t>
            </w:r>
            <w:r w:rsidRPr="006D7AEF">
              <w:rPr>
                <w:rFonts w:ascii="Calibri" w:hAnsi="Calibri" w:cs="Calibri"/>
                <w:b/>
                <w:bCs/>
                <w:color w:val="000000"/>
                <w:sz w:val="17"/>
                <w:szCs w:val="17"/>
                <w:lang w:val="en-IE" w:eastAsia="en-IE"/>
              </w:rPr>
              <w:br/>
              <w:t>2019</w:t>
            </w:r>
          </w:p>
        </w:tc>
        <w:tc>
          <w:tcPr>
            <w:tcW w:w="850" w:type="dxa"/>
            <w:tcBorders>
              <w:top w:val="nil"/>
              <w:left w:val="nil"/>
              <w:bottom w:val="single" w:sz="4" w:space="0" w:color="auto"/>
              <w:right w:val="single" w:sz="4" w:space="0" w:color="auto"/>
            </w:tcBorders>
            <w:shd w:val="clear" w:color="000000" w:fill="FFFFFF"/>
            <w:vAlign w:val="bottom"/>
            <w:hideMark/>
          </w:tcPr>
          <w:p w14:paraId="3479B494"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Pre</w:t>
            </w:r>
          </w:p>
          <w:p w14:paraId="6916CEA5" w14:textId="4200CBAA" w:rsidR="004A6360" w:rsidRPr="006D7AEF" w:rsidRDefault="00B1438B">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 xml:space="preserve"> IFRS 16</w:t>
            </w:r>
          </w:p>
          <w:p w14:paraId="5EB0AEF5"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 xml:space="preserve"> </w:t>
            </w:r>
            <w:r w:rsidRPr="006D7AEF">
              <w:rPr>
                <w:rFonts w:ascii="Calibri" w:hAnsi="Calibri" w:cs="Calibri"/>
                <w:b/>
                <w:bCs/>
                <w:color w:val="000000"/>
                <w:sz w:val="17"/>
                <w:szCs w:val="17"/>
                <w:lang w:val="en-IE" w:eastAsia="en-IE"/>
              </w:rPr>
              <w:br/>
              <w:t>2019</w:t>
            </w:r>
          </w:p>
        </w:tc>
        <w:tc>
          <w:tcPr>
            <w:tcW w:w="851" w:type="dxa"/>
            <w:tcBorders>
              <w:top w:val="nil"/>
              <w:left w:val="nil"/>
              <w:bottom w:val="single" w:sz="4" w:space="0" w:color="auto"/>
              <w:right w:val="single" w:sz="4" w:space="0" w:color="auto"/>
            </w:tcBorders>
            <w:shd w:val="clear" w:color="000000" w:fill="FFFFFF"/>
            <w:vAlign w:val="bottom"/>
            <w:hideMark/>
          </w:tcPr>
          <w:p w14:paraId="48952F47" w14:textId="4B3D2ED3" w:rsidR="00B1438B"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IFRS 16</w:t>
            </w:r>
            <w:r w:rsidRPr="006D7AEF">
              <w:rPr>
                <w:rFonts w:ascii="Calibri" w:hAnsi="Calibri" w:cs="Calibri"/>
                <w:b/>
                <w:bCs/>
                <w:color w:val="000000"/>
                <w:sz w:val="17"/>
                <w:szCs w:val="17"/>
                <w:lang w:val="en-IE" w:eastAsia="en-IE"/>
              </w:rPr>
              <w:br/>
              <w:t>adjust-</w:t>
            </w:r>
            <w:proofErr w:type="spellStart"/>
            <w:r w:rsidRPr="006D7AEF">
              <w:rPr>
                <w:rFonts w:ascii="Calibri" w:hAnsi="Calibri" w:cs="Calibri"/>
                <w:b/>
                <w:bCs/>
                <w:color w:val="000000"/>
                <w:sz w:val="17"/>
                <w:szCs w:val="17"/>
                <w:lang w:val="en-IE" w:eastAsia="en-IE"/>
              </w:rPr>
              <w:t>ment</w:t>
            </w:r>
            <w:proofErr w:type="spellEnd"/>
          </w:p>
          <w:p w14:paraId="053A3B88" w14:textId="77777777" w:rsidR="00F91068" w:rsidRDefault="00F91068" w:rsidP="00A05B52">
            <w:pPr>
              <w:jc w:val="right"/>
              <w:rPr>
                <w:rFonts w:ascii="Calibri" w:hAnsi="Calibri" w:cs="Calibri"/>
                <w:b/>
                <w:bCs/>
                <w:color w:val="000000"/>
                <w:sz w:val="17"/>
                <w:szCs w:val="17"/>
                <w:lang w:val="en-IE" w:eastAsia="en-IE"/>
              </w:rPr>
            </w:pPr>
          </w:p>
          <w:p w14:paraId="3B34DC93" w14:textId="09818342" w:rsidR="004A6360" w:rsidRPr="006D7AEF" w:rsidRDefault="004A6360" w:rsidP="00A05B52">
            <w:pPr>
              <w:jc w:val="right"/>
              <w:rPr>
                <w:rFonts w:ascii="Calibri" w:hAnsi="Calibri" w:cs="Calibri"/>
                <w:b/>
                <w:bCs/>
                <w:color w:val="000000"/>
                <w:sz w:val="17"/>
                <w:szCs w:val="17"/>
                <w:lang w:val="en-IE" w:eastAsia="en-IE"/>
              </w:rPr>
            </w:pPr>
          </w:p>
        </w:tc>
        <w:tc>
          <w:tcPr>
            <w:tcW w:w="877" w:type="dxa"/>
            <w:tcBorders>
              <w:top w:val="nil"/>
              <w:left w:val="nil"/>
              <w:bottom w:val="single" w:sz="4" w:space="0" w:color="auto"/>
              <w:right w:val="single" w:sz="4" w:space="0" w:color="auto"/>
            </w:tcBorders>
            <w:shd w:val="clear" w:color="000000" w:fill="FFFFFF"/>
            <w:vAlign w:val="bottom"/>
            <w:hideMark/>
          </w:tcPr>
          <w:p w14:paraId="75FECFA3"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Reported</w:t>
            </w:r>
            <w:r w:rsidRPr="006D7AEF">
              <w:rPr>
                <w:rFonts w:ascii="Calibri" w:hAnsi="Calibri" w:cs="Calibri"/>
                <w:b/>
                <w:bCs/>
                <w:color w:val="000000"/>
                <w:sz w:val="17"/>
                <w:szCs w:val="17"/>
                <w:lang w:val="en-IE" w:eastAsia="en-IE"/>
              </w:rPr>
              <w:br/>
              <w:t xml:space="preserve"> </w:t>
            </w:r>
            <w:r w:rsidRPr="006D7AEF">
              <w:rPr>
                <w:rFonts w:ascii="Calibri" w:hAnsi="Calibri" w:cs="Calibri"/>
                <w:b/>
                <w:bCs/>
                <w:color w:val="000000"/>
                <w:sz w:val="17"/>
                <w:szCs w:val="17"/>
                <w:lang w:val="en-IE" w:eastAsia="en-IE"/>
              </w:rPr>
              <w:br/>
              <w:t xml:space="preserve"> </w:t>
            </w:r>
            <w:r w:rsidRPr="006D7AEF">
              <w:rPr>
                <w:rFonts w:ascii="Calibri" w:hAnsi="Calibri" w:cs="Calibri"/>
                <w:b/>
                <w:bCs/>
                <w:color w:val="000000"/>
                <w:sz w:val="17"/>
                <w:szCs w:val="17"/>
                <w:lang w:val="en-IE" w:eastAsia="en-IE"/>
              </w:rPr>
              <w:br/>
              <w:t>2019</w:t>
            </w:r>
          </w:p>
        </w:tc>
        <w:tc>
          <w:tcPr>
            <w:tcW w:w="824" w:type="dxa"/>
            <w:tcBorders>
              <w:top w:val="nil"/>
              <w:left w:val="nil"/>
              <w:bottom w:val="single" w:sz="4" w:space="0" w:color="auto"/>
              <w:right w:val="single" w:sz="4" w:space="0" w:color="auto"/>
            </w:tcBorders>
            <w:shd w:val="clear" w:color="000000" w:fill="F2F2F2"/>
            <w:vAlign w:val="bottom"/>
            <w:hideMark/>
          </w:tcPr>
          <w:p w14:paraId="4B70910E"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 xml:space="preserve">Pre </w:t>
            </w:r>
          </w:p>
          <w:p w14:paraId="3879B535"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IFRS 16</w:t>
            </w:r>
          </w:p>
          <w:p w14:paraId="3029740B" w14:textId="77777777" w:rsidR="00B1438B" w:rsidRPr="006D7AEF" w:rsidRDefault="00B1438B" w:rsidP="00A05B52">
            <w:pPr>
              <w:jc w:val="right"/>
              <w:rPr>
                <w:rFonts w:ascii="Calibri" w:hAnsi="Calibri" w:cs="Calibri"/>
                <w:b/>
                <w:bCs/>
                <w:color w:val="000000"/>
                <w:sz w:val="17"/>
                <w:szCs w:val="17"/>
                <w:lang w:val="en-IE" w:eastAsia="en-IE"/>
              </w:rPr>
            </w:pPr>
          </w:p>
          <w:p w14:paraId="41558FE8"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2019</w:t>
            </w:r>
          </w:p>
        </w:tc>
        <w:tc>
          <w:tcPr>
            <w:tcW w:w="737" w:type="dxa"/>
            <w:tcBorders>
              <w:top w:val="nil"/>
              <w:left w:val="nil"/>
              <w:bottom w:val="single" w:sz="4" w:space="0" w:color="auto"/>
              <w:right w:val="single" w:sz="4" w:space="0" w:color="auto"/>
            </w:tcBorders>
            <w:shd w:val="clear" w:color="000000" w:fill="F2F2F2"/>
            <w:vAlign w:val="bottom"/>
            <w:hideMark/>
          </w:tcPr>
          <w:p w14:paraId="1FD436C0" w14:textId="08656136" w:rsidR="00B1438B"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IFRS 16</w:t>
            </w:r>
            <w:r w:rsidRPr="006D7AEF">
              <w:rPr>
                <w:rFonts w:ascii="Calibri" w:hAnsi="Calibri" w:cs="Calibri"/>
                <w:b/>
                <w:bCs/>
                <w:color w:val="000000"/>
                <w:sz w:val="17"/>
                <w:szCs w:val="17"/>
                <w:lang w:val="en-IE" w:eastAsia="en-IE"/>
              </w:rPr>
              <w:br/>
              <w:t>adjust-</w:t>
            </w:r>
            <w:proofErr w:type="spellStart"/>
            <w:r w:rsidRPr="006D7AEF">
              <w:rPr>
                <w:rFonts w:ascii="Calibri" w:hAnsi="Calibri" w:cs="Calibri"/>
                <w:b/>
                <w:bCs/>
                <w:color w:val="000000"/>
                <w:sz w:val="17"/>
                <w:szCs w:val="17"/>
                <w:lang w:val="en-IE" w:eastAsia="en-IE"/>
              </w:rPr>
              <w:t>ment</w:t>
            </w:r>
            <w:proofErr w:type="spellEnd"/>
          </w:p>
          <w:p w14:paraId="344F08C5" w14:textId="77777777" w:rsidR="00F91068" w:rsidRDefault="00F91068" w:rsidP="00A05B52">
            <w:pPr>
              <w:jc w:val="right"/>
              <w:rPr>
                <w:rFonts w:ascii="Calibri" w:hAnsi="Calibri" w:cs="Calibri"/>
                <w:b/>
                <w:bCs/>
                <w:color w:val="000000"/>
                <w:sz w:val="17"/>
                <w:szCs w:val="17"/>
                <w:lang w:val="en-IE" w:eastAsia="en-IE"/>
              </w:rPr>
            </w:pPr>
          </w:p>
          <w:p w14:paraId="0A7E7CD1" w14:textId="1E438864" w:rsidR="004A6360" w:rsidRPr="006D7AEF" w:rsidRDefault="004A6360" w:rsidP="00A05B52">
            <w:pPr>
              <w:jc w:val="right"/>
              <w:rPr>
                <w:rFonts w:ascii="Calibri" w:hAnsi="Calibri" w:cs="Calibri"/>
                <w:b/>
                <w:bCs/>
                <w:color w:val="000000"/>
                <w:sz w:val="17"/>
                <w:szCs w:val="17"/>
                <w:lang w:val="en-IE" w:eastAsia="en-IE"/>
              </w:rPr>
            </w:pPr>
          </w:p>
        </w:tc>
        <w:tc>
          <w:tcPr>
            <w:tcW w:w="877" w:type="dxa"/>
            <w:tcBorders>
              <w:top w:val="nil"/>
              <w:left w:val="nil"/>
              <w:bottom w:val="single" w:sz="4" w:space="0" w:color="auto"/>
              <w:right w:val="single" w:sz="4" w:space="0" w:color="auto"/>
            </w:tcBorders>
            <w:shd w:val="clear" w:color="000000" w:fill="F2F2F2"/>
            <w:vAlign w:val="bottom"/>
            <w:hideMark/>
          </w:tcPr>
          <w:p w14:paraId="318726FB"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Reported</w:t>
            </w:r>
            <w:r w:rsidRPr="006D7AEF">
              <w:rPr>
                <w:rFonts w:ascii="Calibri" w:hAnsi="Calibri" w:cs="Calibri"/>
                <w:b/>
                <w:bCs/>
                <w:color w:val="000000"/>
                <w:sz w:val="17"/>
                <w:szCs w:val="17"/>
                <w:lang w:val="en-IE" w:eastAsia="en-IE"/>
              </w:rPr>
              <w:br/>
              <w:t xml:space="preserve"> </w:t>
            </w:r>
            <w:r w:rsidRPr="006D7AEF">
              <w:rPr>
                <w:rFonts w:ascii="Calibri" w:hAnsi="Calibri" w:cs="Calibri"/>
                <w:b/>
                <w:bCs/>
                <w:color w:val="000000"/>
                <w:sz w:val="17"/>
                <w:szCs w:val="17"/>
                <w:lang w:val="en-IE" w:eastAsia="en-IE"/>
              </w:rPr>
              <w:br/>
            </w:r>
            <w:r w:rsidRPr="006D7AEF">
              <w:rPr>
                <w:rFonts w:ascii="Calibri" w:hAnsi="Calibri" w:cs="Calibri"/>
                <w:b/>
                <w:bCs/>
                <w:color w:val="000000"/>
                <w:sz w:val="17"/>
                <w:szCs w:val="17"/>
                <w:lang w:val="en-IE" w:eastAsia="en-IE"/>
              </w:rPr>
              <w:br/>
              <w:t>2019</w:t>
            </w:r>
          </w:p>
        </w:tc>
        <w:tc>
          <w:tcPr>
            <w:tcW w:w="824" w:type="dxa"/>
            <w:tcBorders>
              <w:top w:val="nil"/>
              <w:left w:val="nil"/>
              <w:bottom w:val="single" w:sz="4" w:space="0" w:color="auto"/>
              <w:right w:val="single" w:sz="4" w:space="0" w:color="auto"/>
            </w:tcBorders>
            <w:shd w:val="clear" w:color="000000" w:fill="FFFFFF"/>
            <w:vAlign w:val="bottom"/>
            <w:hideMark/>
          </w:tcPr>
          <w:p w14:paraId="28EF48D8"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 xml:space="preserve">Pre </w:t>
            </w:r>
          </w:p>
          <w:p w14:paraId="7ECA6241"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IFRS 16</w:t>
            </w:r>
          </w:p>
          <w:p w14:paraId="64EC3F0E"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br/>
              <w:t>2019</w:t>
            </w:r>
          </w:p>
        </w:tc>
        <w:tc>
          <w:tcPr>
            <w:tcW w:w="737" w:type="dxa"/>
            <w:tcBorders>
              <w:top w:val="nil"/>
              <w:left w:val="nil"/>
              <w:bottom w:val="single" w:sz="4" w:space="0" w:color="auto"/>
              <w:right w:val="single" w:sz="4" w:space="0" w:color="auto"/>
            </w:tcBorders>
            <w:shd w:val="clear" w:color="000000" w:fill="FFFFFF"/>
            <w:vAlign w:val="bottom"/>
            <w:hideMark/>
          </w:tcPr>
          <w:p w14:paraId="19392876" w14:textId="5710313A" w:rsidR="00B1438B"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IFRS 16</w:t>
            </w:r>
            <w:r w:rsidRPr="006D7AEF">
              <w:rPr>
                <w:rFonts w:ascii="Calibri" w:hAnsi="Calibri" w:cs="Calibri"/>
                <w:b/>
                <w:bCs/>
                <w:color w:val="000000"/>
                <w:sz w:val="17"/>
                <w:szCs w:val="17"/>
                <w:lang w:val="en-IE" w:eastAsia="en-IE"/>
              </w:rPr>
              <w:br/>
              <w:t>adjust-</w:t>
            </w:r>
            <w:proofErr w:type="spellStart"/>
            <w:r w:rsidRPr="006D7AEF">
              <w:rPr>
                <w:rFonts w:ascii="Calibri" w:hAnsi="Calibri" w:cs="Calibri"/>
                <w:b/>
                <w:bCs/>
                <w:color w:val="000000"/>
                <w:sz w:val="17"/>
                <w:szCs w:val="17"/>
                <w:lang w:val="en-IE" w:eastAsia="en-IE"/>
              </w:rPr>
              <w:t>ment</w:t>
            </w:r>
            <w:proofErr w:type="spellEnd"/>
          </w:p>
          <w:p w14:paraId="233D58BC" w14:textId="77777777" w:rsidR="00F91068" w:rsidRDefault="00F91068" w:rsidP="00A05B52">
            <w:pPr>
              <w:jc w:val="right"/>
              <w:rPr>
                <w:rFonts w:ascii="Calibri" w:hAnsi="Calibri" w:cs="Calibri"/>
                <w:b/>
                <w:bCs/>
                <w:color w:val="000000"/>
                <w:sz w:val="17"/>
                <w:szCs w:val="17"/>
                <w:lang w:val="en-IE" w:eastAsia="en-IE"/>
              </w:rPr>
            </w:pPr>
          </w:p>
          <w:p w14:paraId="563BFA6A" w14:textId="2B453619" w:rsidR="004A6360" w:rsidRPr="006D7AEF" w:rsidRDefault="004A6360" w:rsidP="00A05B52">
            <w:pPr>
              <w:jc w:val="right"/>
              <w:rPr>
                <w:rFonts w:ascii="Calibri" w:hAnsi="Calibri" w:cs="Calibri"/>
                <w:b/>
                <w:bCs/>
                <w:color w:val="000000"/>
                <w:sz w:val="17"/>
                <w:szCs w:val="17"/>
                <w:lang w:val="en-IE" w:eastAsia="en-IE"/>
              </w:rPr>
            </w:pPr>
          </w:p>
        </w:tc>
        <w:tc>
          <w:tcPr>
            <w:tcW w:w="877" w:type="dxa"/>
            <w:tcBorders>
              <w:top w:val="nil"/>
              <w:left w:val="nil"/>
              <w:bottom w:val="single" w:sz="4" w:space="0" w:color="auto"/>
              <w:right w:val="single" w:sz="4" w:space="0" w:color="auto"/>
            </w:tcBorders>
            <w:shd w:val="clear" w:color="000000" w:fill="FFFFFF"/>
            <w:vAlign w:val="bottom"/>
            <w:hideMark/>
          </w:tcPr>
          <w:p w14:paraId="560297C9"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Reported</w:t>
            </w:r>
            <w:r w:rsidRPr="006D7AEF">
              <w:rPr>
                <w:rFonts w:ascii="Calibri" w:hAnsi="Calibri" w:cs="Calibri"/>
                <w:b/>
                <w:bCs/>
                <w:color w:val="000000"/>
                <w:sz w:val="17"/>
                <w:szCs w:val="17"/>
                <w:lang w:val="en-IE" w:eastAsia="en-IE"/>
              </w:rPr>
              <w:br/>
              <w:t xml:space="preserve"> </w:t>
            </w:r>
            <w:r w:rsidRPr="006D7AEF">
              <w:rPr>
                <w:rFonts w:ascii="Calibri" w:hAnsi="Calibri" w:cs="Calibri"/>
                <w:b/>
                <w:bCs/>
                <w:color w:val="000000"/>
                <w:sz w:val="17"/>
                <w:szCs w:val="17"/>
                <w:lang w:val="en-IE" w:eastAsia="en-IE"/>
              </w:rPr>
              <w:br/>
              <w:t xml:space="preserve"> </w:t>
            </w:r>
            <w:r w:rsidRPr="006D7AEF">
              <w:rPr>
                <w:rFonts w:ascii="Calibri" w:hAnsi="Calibri" w:cs="Calibri"/>
                <w:b/>
                <w:bCs/>
                <w:color w:val="000000"/>
                <w:sz w:val="17"/>
                <w:szCs w:val="17"/>
                <w:lang w:val="en-IE" w:eastAsia="en-IE"/>
              </w:rPr>
              <w:br/>
              <w:t>2019</w:t>
            </w:r>
          </w:p>
        </w:tc>
        <w:tc>
          <w:tcPr>
            <w:tcW w:w="824" w:type="dxa"/>
            <w:tcBorders>
              <w:top w:val="nil"/>
              <w:left w:val="nil"/>
              <w:bottom w:val="single" w:sz="4" w:space="0" w:color="auto"/>
              <w:right w:val="single" w:sz="4" w:space="0" w:color="auto"/>
            </w:tcBorders>
            <w:shd w:val="clear" w:color="000000" w:fill="F2F2F2"/>
            <w:vAlign w:val="bottom"/>
            <w:hideMark/>
          </w:tcPr>
          <w:p w14:paraId="3C85EDB6"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 xml:space="preserve">Pre </w:t>
            </w:r>
          </w:p>
          <w:p w14:paraId="78FD23F9"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IFRS 16</w:t>
            </w:r>
          </w:p>
          <w:p w14:paraId="225A04E4" w14:textId="77777777" w:rsidR="00B1438B" w:rsidRPr="006D7AEF" w:rsidRDefault="00B1438B" w:rsidP="00A05B52">
            <w:pPr>
              <w:jc w:val="right"/>
              <w:rPr>
                <w:rFonts w:ascii="Calibri" w:hAnsi="Calibri" w:cs="Calibri"/>
                <w:b/>
                <w:bCs/>
                <w:color w:val="000000"/>
                <w:sz w:val="17"/>
                <w:szCs w:val="17"/>
                <w:lang w:val="en-IE" w:eastAsia="en-IE"/>
              </w:rPr>
            </w:pPr>
          </w:p>
          <w:p w14:paraId="727A5500" w14:textId="76952B18"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2019</w:t>
            </w:r>
          </w:p>
        </w:tc>
        <w:tc>
          <w:tcPr>
            <w:tcW w:w="737" w:type="dxa"/>
            <w:tcBorders>
              <w:top w:val="nil"/>
              <w:left w:val="nil"/>
              <w:bottom w:val="single" w:sz="4" w:space="0" w:color="auto"/>
              <w:right w:val="single" w:sz="4" w:space="0" w:color="auto"/>
            </w:tcBorders>
            <w:shd w:val="clear" w:color="000000" w:fill="F2F2F2"/>
            <w:vAlign w:val="bottom"/>
            <w:hideMark/>
          </w:tcPr>
          <w:p w14:paraId="4D780F2C" w14:textId="0381F5E6" w:rsidR="00B1438B"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IFRS 16</w:t>
            </w:r>
            <w:r w:rsidRPr="006D7AEF">
              <w:rPr>
                <w:rFonts w:ascii="Calibri" w:hAnsi="Calibri" w:cs="Calibri"/>
                <w:b/>
                <w:bCs/>
                <w:color w:val="000000"/>
                <w:sz w:val="17"/>
                <w:szCs w:val="17"/>
                <w:lang w:val="en-IE" w:eastAsia="en-IE"/>
              </w:rPr>
              <w:br/>
              <w:t>adjust-</w:t>
            </w:r>
            <w:proofErr w:type="spellStart"/>
            <w:r w:rsidRPr="006D7AEF">
              <w:rPr>
                <w:rFonts w:ascii="Calibri" w:hAnsi="Calibri" w:cs="Calibri"/>
                <w:b/>
                <w:bCs/>
                <w:color w:val="000000"/>
                <w:sz w:val="17"/>
                <w:szCs w:val="17"/>
                <w:lang w:val="en-IE" w:eastAsia="en-IE"/>
              </w:rPr>
              <w:t>ment</w:t>
            </w:r>
            <w:proofErr w:type="spellEnd"/>
          </w:p>
          <w:p w14:paraId="2BC3249D" w14:textId="77777777" w:rsidR="00F91068" w:rsidRDefault="00F91068" w:rsidP="00A05B52">
            <w:pPr>
              <w:jc w:val="right"/>
              <w:rPr>
                <w:rFonts w:ascii="Calibri" w:hAnsi="Calibri" w:cs="Calibri"/>
                <w:b/>
                <w:bCs/>
                <w:color w:val="000000"/>
                <w:sz w:val="17"/>
                <w:szCs w:val="17"/>
                <w:lang w:val="en-IE" w:eastAsia="en-IE"/>
              </w:rPr>
            </w:pPr>
          </w:p>
          <w:p w14:paraId="5A1BC75A" w14:textId="52958765" w:rsidR="004A6360" w:rsidRPr="006D7AEF" w:rsidRDefault="004A6360" w:rsidP="00A05B52">
            <w:pPr>
              <w:jc w:val="right"/>
              <w:rPr>
                <w:rFonts w:ascii="Calibri" w:hAnsi="Calibri" w:cs="Calibri"/>
                <w:b/>
                <w:bCs/>
                <w:color w:val="000000"/>
                <w:sz w:val="17"/>
                <w:szCs w:val="17"/>
                <w:lang w:val="en-IE" w:eastAsia="en-IE"/>
              </w:rPr>
            </w:pPr>
          </w:p>
        </w:tc>
        <w:tc>
          <w:tcPr>
            <w:tcW w:w="877" w:type="dxa"/>
            <w:tcBorders>
              <w:top w:val="nil"/>
              <w:left w:val="nil"/>
              <w:bottom w:val="single" w:sz="4" w:space="0" w:color="auto"/>
              <w:right w:val="single" w:sz="4" w:space="0" w:color="auto"/>
            </w:tcBorders>
            <w:shd w:val="clear" w:color="000000" w:fill="F2F2F2"/>
            <w:vAlign w:val="bottom"/>
            <w:hideMark/>
          </w:tcPr>
          <w:p w14:paraId="76BBA654"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Reported</w:t>
            </w:r>
            <w:r w:rsidRPr="006D7AEF">
              <w:rPr>
                <w:rFonts w:ascii="Calibri" w:hAnsi="Calibri" w:cs="Calibri"/>
                <w:b/>
                <w:bCs/>
                <w:color w:val="000000"/>
                <w:sz w:val="17"/>
                <w:szCs w:val="17"/>
                <w:lang w:val="en-IE" w:eastAsia="en-IE"/>
              </w:rPr>
              <w:br/>
              <w:t xml:space="preserve"> </w:t>
            </w:r>
            <w:r w:rsidRPr="006D7AEF">
              <w:rPr>
                <w:rFonts w:ascii="Calibri" w:hAnsi="Calibri" w:cs="Calibri"/>
                <w:b/>
                <w:bCs/>
                <w:color w:val="000000"/>
                <w:sz w:val="17"/>
                <w:szCs w:val="17"/>
                <w:lang w:val="en-IE" w:eastAsia="en-IE"/>
              </w:rPr>
              <w:br/>
              <w:t xml:space="preserve"> </w:t>
            </w:r>
            <w:r w:rsidRPr="006D7AEF">
              <w:rPr>
                <w:rFonts w:ascii="Calibri" w:hAnsi="Calibri" w:cs="Calibri"/>
                <w:b/>
                <w:bCs/>
                <w:color w:val="000000"/>
                <w:sz w:val="17"/>
                <w:szCs w:val="17"/>
                <w:lang w:val="en-IE" w:eastAsia="en-IE"/>
              </w:rPr>
              <w:br/>
              <w:t>2019</w:t>
            </w:r>
          </w:p>
        </w:tc>
      </w:tr>
      <w:tr w:rsidR="00B1438B" w:rsidRPr="003B39E3" w14:paraId="3E6FFB7D" w14:textId="77777777" w:rsidTr="00A05B52">
        <w:trPr>
          <w:trHeight w:val="254"/>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939FF97" w14:textId="77777777" w:rsidR="00B1438B" w:rsidRPr="003B39E3" w:rsidRDefault="00B1438B" w:rsidP="00A05B52">
            <w:pPr>
              <w:rPr>
                <w:rFonts w:ascii="Calibri" w:hAnsi="Calibri" w:cs="Calibri"/>
                <w:b/>
                <w:bCs/>
                <w:color w:val="000000"/>
                <w:sz w:val="17"/>
                <w:szCs w:val="17"/>
                <w:lang w:val="en-IE" w:eastAsia="en-IE"/>
              </w:rPr>
            </w:pPr>
            <w:r w:rsidRPr="003B39E3">
              <w:rPr>
                <w:rFonts w:ascii="Calibri" w:hAnsi="Calibri" w:cs="Calibri"/>
                <w:b/>
                <w:bCs/>
                <w:color w:val="000000"/>
                <w:sz w:val="17"/>
                <w:szCs w:val="17"/>
                <w:lang w:val="en-IE" w:eastAsia="en-IE"/>
              </w:rPr>
              <w:t>Total revenue</w:t>
            </w:r>
          </w:p>
        </w:tc>
        <w:tc>
          <w:tcPr>
            <w:tcW w:w="851" w:type="dxa"/>
            <w:tcBorders>
              <w:top w:val="nil"/>
              <w:left w:val="nil"/>
              <w:bottom w:val="single" w:sz="4" w:space="0" w:color="auto"/>
              <w:right w:val="single" w:sz="4" w:space="0" w:color="auto"/>
            </w:tcBorders>
            <w:shd w:val="clear" w:color="000000" w:fill="F2F2F2"/>
            <w:noWrap/>
            <w:vAlign w:val="center"/>
            <w:hideMark/>
          </w:tcPr>
          <w:p w14:paraId="210F37FF"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1,006</w:t>
            </w:r>
          </w:p>
        </w:tc>
        <w:tc>
          <w:tcPr>
            <w:tcW w:w="850" w:type="dxa"/>
            <w:tcBorders>
              <w:top w:val="nil"/>
              <w:left w:val="nil"/>
              <w:bottom w:val="single" w:sz="4" w:space="0" w:color="auto"/>
              <w:right w:val="single" w:sz="4" w:space="0" w:color="auto"/>
            </w:tcBorders>
            <w:shd w:val="clear" w:color="000000" w:fill="F2F2F2"/>
            <w:noWrap/>
            <w:vAlign w:val="center"/>
            <w:hideMark/>
          </w:tcPr>
          <w:p w14:paraId="5FE3F9F1"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 </w:t>
            </w:r>
          </w:p>
        </w:tc>
        <w:tc>
          <w:tcPr>
            <w:tcW w:w="993" w:type="dxa"/>
            <w:tcBorders>
              <w:top w:val="nil"/>
              <w:left w:val="nil"/>
              <w:bottom w:val="single" w:sz="4" w:space="0" w:color="auto"/>
              <w:right w:val="single" w:sz="4" w:space="0" w:color="auto"/>
            </w:tcBorders>
            <w:shd w:val="clear" w:color="000000" w:fill="F2F2F2"/>
            <w:noWrap/>
            <w:vAlign w:val="center"/>
            <w:hideMark/>
          </w:tcPr>
          <w:p w14:paraId="47F87741"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6D7AEF">
              <w:rPr>
                <w:rFonts w:ascii="Calibri" w:hAnsi="Calibri" w:cs="Calibri"/>
                <w:b/>
                <w:bCs/>
                <w:color w:val="000000"/>
                <w:sz w:val="17"/>
                <w:szCs w:val="17"/>
                <w:lang w:val="en-IE" w:eastAsia="en-IE"/>
              </w:rPr>
              <w:t>1,006</w:t>
            </w:r>
          </w:p>
        </w:tc>
        <w:tc>
          <w:tcPr>
            <w:tcW w:w="850" w:type="dxa"/>
            <w:tcBorders>
              <w:top w:val="nil"/>
              <w:left w:val="nil"/>
              <w:bottom w:val="single" w:sz="4" w:space="0" w:color="auto"/>
              <w:right w:val="single" w:sz="4" w:space="0" w:color="auto"/>
            </w:tcBorders>
            <w:shd w:val="clear" w:color="auto" w:fill="auto"/>
            <w:noWrap/>
            <w:vAlign w:val="center"/>
            <w:hideMark/>
          </w:tcPr>
          <w:p w14:paraId="2203D740" w14:textId="77777777" w:rsidR="00B1438B" w:rsidRPr="002E3808" w:rsidRDefault="00B1438B" w:rsidP="00A05B52">
            <w:pPr>
              <w:jc w:val="right"/>
              <w:rPr>
                <w:rFonts w:ascii="Calibri" w:hAnsi="Calibri" w:cs="Calibri"/>
                <w:b/>
                <w:bCs/>
                <w:color w:val="000000"/>
                <w:sz w:val="17"/>
                <w:szCs w:val="17"/>
                <w:lang w:val="en-IE" w:eastAsia="en-IE"/>
              </w:rPr>
            </w:pPr>
            <w:r w:rsidRPr="002E3808">
              <w:rPr>
                <w:rFonts w:ascii="Calibri" w:hAnsi="Calibri" w:cs="Calibri"/>
                <w:b/>
                <w:bCs/>
                <w:color w:val="000000"/>
                <w:sz w:val="17"/>
                <w:szCs w:val="17"/>
                <w:lang w:val="en-IE" w:eastAsia="en-IE"/>
              </w:rPr>
              <w:t>446</w:t>
            </w:r>
          </w:p>
        </w:tc>
        <w:tc>
          <w:tcPr>
            <w:tcW w:w="851" w:type="dxa"/>
            <w:tcBorders>
              <w:top w:val="nil"/>
              <w:left w:val="nil"/>
              <w:bottom w:val="single" w:sz="4" w:space="0" w:color="auto"/>
              <w:right w:val="single" w:sz="4" w:space="0" w:color="auto"/>
            </w:tcBorders>
            <w:shd w:val="clear" w:color="auto" w:fill="auto"/>
            <w:noWrap/>
            <w:vAlign w:val="center"/>
            <w:hideMark/>
          </w:tcPr>
          <w:p w14:paraId="0865758A" w14:textId="77777777" w:rsidR="00B1438B" w:rsidRPr="000D5A98" w:rsidRDefault="00B1438B" w:rsidP="00A05B52">
            <w:pPr>
              <w:jc w:val="right"/>
              <w:rPr>
                <w:rFonts w:ascii="Calibri" w:hAnsi="Calibri" w:cs="Calibri"/>
                <w:b/>
                <w:bCs/>
                <w:color w:val="000000"/>
                <w:sz w:val="17"/>
                <w:szCs w:val="17"/>
                <w:lang w:val="en-IE" w:eastAsia="en-IE"/>
              </w:rPr>
            </w:pPr>
            <w:r w:rsidRPr="000D5A98">
              <w:rPr>
                <w:rFonts w:ascii="Calibri" w:hAnsi="Calibri" w:cs="Calibri"/>
                <w:b/>
                <w:bCs/>
                <w:color w:val="000000"/>
                <w:sz w:val="17"/>
                <w:szCs w:val="17"/>
                <w:lang w:val="en-IE" w:eastAsia="en-IE"/>
              </w:rPr>
              <w:t> </w:t>
            </w:r>
          </w:p>
        </w:tc>
        <w:tc>
          <w:tcPr>
            <w:tcW w:w="877" w:type="dxa"/>
            <w:tcBorders>
              <w:top w:val="nil"/>
              <w:left w:val="nil"/>
              <w:bottom w:val="single" w:sz="4" w:space="0" w:color="auto"/>
              <w:right w:val="single" w:sz="4" w:space="0" w:color="auto"/>
            </w:tcBorders>
            <w:shd w:val="clear" w:color="auto" w:fill="auto"/>
            <w:noWrap/>
            <w:vAlign w:val="center"/>
            <w:hideMark/>
          </w:tcPr>
          <w:p w14:paraId="375AE6F5"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2E3808">
              <w:rPr>
                <w:rFonts w:ascii="Calibri" w:hAnsi="Calibri" w:cs="Calibri"/>
                <w:b/>
                <w:bCs/>
                <w:color w:val="000000"/>
                <w:sz w:val="17"/>
                <w:szCs w:val="17"/>
                <w:lang w:val="en-IE" w:eastAsia="en-IE"/>
              </w:rPr>
              <w:t>446</w:t>
            </w:r>
          </w:p>
        </w:tc>
        <w:tc>
          <w:tcPr>
            <w:tcW w:w="824" w:type="dxa"/>
            <w:tcBorders>
              <w:top w:val="nil"/>
              <w:left w:val="nil"/>
              <w:bottom w:val="single" w:sz="4" w:space="0" w:color="auto"/>
              <w:right w:val="single" w:sz="4" w:space="0" w:color="auto"/>
            </w:tcBorders>
            <w:shd w:val="clear" w:color="000000" w:fill="F2F2F2"/>
            <w:noWrap/>
            <w:vAlign w:val="center"/>
            <w:hideMark/>
          </w:tcPr>
          <w:p w14:paraId="355B04D8" w14:textId="77777777" w:rsidR="00B1438B" w:rsidRPr="00433524" w:rsidRDefault="00B1438B" w:rsidP="00A05B52">
            <w:pPr>
              <w:jc w:val="right"/>
              <w:rPr>
                <w:rFonts w:ascii="Calibri" w:hAnsi="Calibri" w:cs="Calibri"/>
                <w:b/>
                <w:bCs/>
                <w:color w:val="000000"/>
                <w:sz w:val="17"/>
                <w:szCs w:val="17"/>
                <w:lang w:val="en-IE" w:eastAsia="en-IE"/>
              </w:rPr>
            </w:pPr>
            <w:r w:rsidRPr="00433524">
              <w:rPr>
                <w:rFonts w:ascii="Calibri" w:hAnsi="Calibri" w:cs="Calibri"/>
                <w:b/>
                <w:bCs/>
                <w:color w:val="000000"/>
                <w:sz w:val="17"/>
                <w:szCs w:val="17"/>
                <w:lang w:val="en-IE" w:eastAsia="en-IE"/>
              </w:rPr>
              <w:t>312</w:t>
            </w:r>
          </w:p>
        </w:tc>
        <w:tc>
          <w:tcPr>
            <w:tcW w:w="737" w:type="dxa"/>
            <w:tcBorders>
              <w:top w:val="nil"/>
              <w:left w:val="nil"/>
              <w:bottom w:val="single" w:sz="4" w:space="0" w:color="auto"/>
              <w:right w:val="single" w:sz="4" w:space="0" w:color="auto"/>
            </w:tcBorders>
            <w:shd w:val="clear" w:color="000000" w:fill="F2F2F2"/>
            <w:noWrap/>
            <w:vAlign w:val="center"/>
            <w:hideMark/>
          </w:tcPr>
          <w:p w14:paraId="7FD5A303" w14:textId="77777777" w:rsidR="00B1438B" w:rsidRPr="00433524" w:rsidRDefault="00B1438B" w:rsidP="00A05B52">
            <w:pPr>
              <w:jc w:val="right"/>
              <w:rPr>
                <w:rFonts w:ascii="Calibri" w:hAnsi="Calibri" w:cs="Calibri"/>
                <w:b/>
                <w:bCs/>
                <w:color w:val="000000"/>
                <w:sz w:val="17"/>
                <w:szCs w:val="17"/>
                <w:lang w:val="en-IE" w:eastAsia="en-IE"/>
              </w:rPr>
            </w:pPr>
            <w:r w:rsidRPr="00433524">
              <w:rPr>
                <w:rFonts w:ascii="Calibri" w:hAnsi="Calibri" w:cs="Calibri"/>
                <w:b/>
                <w:bCs/>
                <w:color w:val="000000"/>
                <w:sz w:val="17"/>
                <w:szCs w:val="17"/>
                <w:lang w:val="en-IE" w:eastAsia="en-IE"/>
              </w:rPr>
              <w:t> </w:t>
            </w:r>
          </w:p>
        </w:tc>
        <w:tc>
          <w:tcPr>
            <w:tcW w:w="877" w:type="dxa"/>
            <w:tcBorders>
              <w:top w:val="nil"/>
              <w:left w:val="nil"/>
              <w:bottom w:val="single" w:sz="4" w:space="0" w:color="auto"/>
              <w:right w:val="single" w:sz="4" w:space="0" w:color="auto"/>
            </w:tcBorders>
            <w:shd w:val="clear" w:color="000000" w:fill="F2F2F2"/>
            <w:noWrap/>
            <w:vAlign w:val="center"/>
            <w:hideMark/>
          </w:tcPr>
          <w:p w14:paraId="41DBB468"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433524">
              <w:rPr>
                <w:rFonts w:ascii="Calibri" w:hAnsi="Calibri" w:cs="Calibri"/>
                <w:b/>
                <w:bCs/>
                <w:color w:val="000000"/>
                <w:sz w:val="17"/>
                <w:szCs w:val="17"/>
                <w:lang w:val="en-IE" w:eastAsia="en-IE"/>
              </w:rPr>
              <w:t>312</w:t>
            </w:r>
          </w:p>
        </w:tc>
        <w:tc>
          <w:tcPr>
            <w:tcW w:w="824" w:type="dxa"/>
            <w:tcBorders>
              <w:top w:val="nil"/>
              <w:left w:val="nil"/>
              <w:bottom w:val="single" w:sz="4" w:space="0" w:color="auto"/>
              <w:right w:val="single" w:sz="4" w:space="0" w:color="auto"/>
            </w:tcBorders>
            <w:shd w:val="clear" w:color="auto" w:fill="auto"/>
            <w:noWrap/>
            <w:vAlign w:val="center"/>
            <w:hideMark/>
          </w:tcPr>
          <w:p w14:paraId="24A4DF9C" w14:textId="77777777" w:rsidR="00B1438B" w:rsidRPr="00FA4C0B" w:rsidRDefault="00B1438B" w:rsidP="00A05B52">
            <w:pPr>
              <w:jc w:val="right"/>
              <w:rPr>
                <w:rFonts w:ascii="Calibri" w:hAnsi="Calibri" w:cs="Calibri"/>
                <w:b/>
                <w:bCs/>
                <w:color w:val="000000"/>
                <w:sz w:val="17"/>
                <w:szCs w:val="17"/>
                <w:lang w:val="en-IE" w:eastAsia="en-IE"/>
              </w:rPr>
            </w:pPr>
            <w:r w:rsidRPr="00FA4C0B">
              <w:rPr>
                <w:rFonts w:ascii="Calibri" w:hAnsi="Calibri" w:cs="Calibri"/>
                <w:b/>
                <w:bCs/>
                <w:color w:val="000000"/>
                <w:sz w:val="17"/>
                <w:szCs w:val="17"/>
                <w:lang w:val="en-IE" w:eastAsia="en-IE"/>
              </w:rPr>
              <w:t>376</w:t>
            </w:r>
          </w:p>
        </w:tc>
        <w:tc>
          <w:tcPr>
            <w:tcW w:w="737" w:type="dxa"/>
            <w:tcBorders>
              <w:top w:val="nil"/>
              <w:left w:val="nil"/>
              <w:bottom w:val="single" w:sz="4" w:space="0" w:color="auto"/>
              <w:right w:val="single" w:sz="4" w:space="0" w:color="auto"/>
            </w:tcBorders>
            <w:shd w:val="clear" w:color="auto" w:fill="auto"/>
            <w:noWrap/>
            <w:vAlign w:val="center"/>
            <w:hideMark/>
          </w:tcPr>
          <w:p w14:paraId="642337BD" w14:textId="77777777" w:rsidR="00B1438B" w:rsidRPr="00FA4C0B" w:rsidRDefault="00B1438B" w:rsidP="00A05B52">
            <w:pPr>
              <w:jc w:val="right"/>
              <w:rPr>
                <w:rFonts w:ascii="Calibri" w:hAnsi="Calibri" w:cs="Calibri"/>
                <w:b/>
                <w:bCs/>
                <w:color w:val="000000"/>
                <w:sz w:val="17"/>
                <w:szCs w:val="17"/>
                <w:lang w:val="en-IE" w:eastAsia="en-IE"/>
              </w:rPr>
            </w:pPr>
            <w:r w:rsidRPr="00FA4C0B">
              <w:rPr>
                <w:rFonts w:ascii="Calibri" w:hAnsi="Calibri" w:cs="Calibri"/>
                <w:b/>
                <w:bCs/>
                <w:color w:val="000000"/>
                <w:sz w:val="17"/>
                <w:szCs w:val="17"/>
                <w:lang w:val="en-IE" w:eastAsia="en-IE"/>
              </w:rPr>
              <w:t> </w:t>
            </w:r>
          </w:p>
        </w:tc>
        <w:tc>
          <w:tcPr>
            <w:tcW w:w="877" w:type="dxa"/>
            <w:tcBorders>
              <w:top w:val="nil"/>
              <w:left w:val="nil"/>
              <w:bottom w:val="single" w:sz="4" w:space="0" w:color="auto"/>
              <w:right w:val="single" w:sz="4" w:space="0" w:color="auto"/>
            </w:tcBorders>
            <w:shd w:val="clear" w:color="auto" w:fill="auto"/>
            <w:noWrap/>
            <w:vAlign w:val="center"/>
            <w:hideMark/>
          </w:tcPr>
          <w:p w14:paraId="361E4639"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FA4C0B">
              <w:rPr>
                <w:rFonts w:ascii="Calibri" w:hAnsi="Calibri" w:cs="Calibri"/>
                <w:b/>
                <w:bCs/>
                <w:color w:val="000000"/>
                <w:sz w:val="17"/>
                <w:szCs w:val="17"/>
                <w:lang w:val="en-IE" w:eastAsia="en-IE"/>
              </w:rPr>
              <w:t>376</w:t>
            </w:r>
          </w:p>
        </w:tc>
        <w:tc>
          <w:tcPr>
            <w:tcW w:w="824" w:type="dxa"/>
            <w:tcBorders>
              <w:top w:val="nil"/>
              <w:left w:val="nil"/>
              <w:bottom w:val="single" w:sz="4" w:space="0" w:color="auto"/>
              <w:right w:val="single" w:sz="4" w:space="0" w:color="auto"/>
            </w:tcBorders>
            <w:shd w:val="clear" w:color="000000" w:fill="F2F2F2"/>
            <w:noWrap/>
            <w:vAlign w:val="center"/>
            <w:hideMark/>
          </w:tcPr>
          <w:p w14:paraId="4278B626" w14:textId="77777777" w:rsidR="00B1438B" w:rsidRPr="00FA4C0B" w:rsidRDefault="00B1438B" w:rsidP="00A05B52">
            <w:pPr>
              <w:jc w:val="right"/>
              <w:rPr>
                <w:rFonts w:ascii="Calibri" w:hAnsi="Calibri" w:cs="Calibri"/>
                <w:b/>
                <w:bCs/>
                <w:color w:val="000000"/>
                <w:sz w:val="17"/>
                <w:szCs w:val="17"/>
                <w:lang w:val="en-IE" w:eastAsia="en-IE"/>
              </w:rPr>
            </w:pPr>
            <w:r w:rsidRPr="00FA4C0B">
              <w:rPr>
                <w:rFonts w:ascii="Calibri" w:hAnsi="Calibri" w:cs="Calibri"/>
                <w:b/>
                <w:bCs/>
                <w:color w:val="000000"/>
                <w:sz w:val="17"/>
                <w:szCs w:val="17"/>
                <w:lang w:val="en-IE" w:eastAsia="en-IE"/>
              </w:rPr>
              <w:t>2,140</w:t>
            </w:r>
          </w:p>
        </w:tc>
        <w:tc>
          <w:tcPr>
            <w:tcW w:w="737" w:type="dxa"/>
            <w:tcBorders>
              <w:top w:val="nil"/>
              <w:left w:val="nil"/>
              <w:bottom w:val="single" w:sz="4" w:space="0" w:color="auto"/>
              <w:right w:val="single" w:sz="4" w:space="0" w:color="auto"/>
            </w:tcBorders>
            <w:shd w:val="clear" w:color="000000" w:fill="F2F2F2"/>
            <w:noWrap/>
            <w:vAlign w:val="center"/>
            <w:hideMark/>
          </w:tcPr>
          <w:p w14:paraId="2BF0A78C" w14:textId="77777777" w:rsidR="00B1438B" w:rsidRPr="00FA4C0B" w:rsidRDefault="00B1438B" w:rsidP="00A05B52">
            <w:pPr>
              <w:jc w:val="right"/>
              <w:rPr>
                <w:rFonts w:ascii="Calibri" w:hAnsi="Calibri" w:cs="Calibri"/>
                <w:b/>
                <w:bCs/>
                <w:color w:val="000000"/>
                <w:sz w:val="17"/>
                <w:szCs w:val="17"/>
                <w:lang w:val="en-IE" w:eastAsia="en-IE"/>
              </w:rPr>
            </w:pPr>
            <w:r w:rsidRPr="00FA4C0B">
              <w:rPr>
                <w:rFonts w:ascii="Calibri" w:hAnsi="Calibri" w:cs="Calibri"/>
                <w:b/>
                <w:bCs/>
                <w:color w:val="000000"/>
                <w:sz w:val="17"/>
                <w:szCs w:val="17"/>
                <w:lang w:val="en-IE" w:eastAsia="en-IE"/>
              </w:rPr>
              <w:t> </w:t>
            </w:r>
          </w:p>
        </w:tc>
        <w:tc>
          <w:tcPr>
            <w:tcW w:w="877" w:type="dxa"/>
            <w:tcBorders>
              <w:top w:val="nil"/>
              <w:left w:val="nil"/>
              <w:bottom w:val="single" w:sz="4" w:space="0" w:color="auto"/>
              <w:right w:val="single" w:sz="4" w:space="0" w:color="auto"/>
            </w:tcBorders>
            <w:shd w:val="clear" w:color="000000" w:fill="F2F2F2"/>
            <w:noWrap/>
            <w:vAlign w:val="center"/>
            <w:hideMark/>
          </w:tcPr>
          <w:p w14:paraId="4A58743C"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FA4C0B">
              <w:rPr>
                <w:rFonts w:ascii="Calibri" w:hAnsi="Calibri" w:cs="Calibri"/>
                <w:b/>
                <w:bCs/>
                <w:color w:val="000000"/>
                <w:sz w:val="17"/>
                <w:szCs w:val="17"/>
                <w:lang w:val="en-IE" w:eastAsia="en-IE"/>
              </w:rPr>
              <w:t>2,140</w:t>
            </w:r>
          </w:p>
        </w:tc>
      </w:tr>
      <w:tr w:rsidR="00B1438B" w:rsidRPr="003B39E3" w14:paraId="53D411FA" w14:textId="77777777" w:rsidTr="00A05B52">
        <w:trPr>
          <w:trHeight w:val="51"/>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690FAE25" w14:textId="77777777" w:rsidR="00B1438B" w:rsidRPr="003B39E3" w:rsidRDefault="00B1438B" w:rsidP="00A05B52">
            <w:pPr>
              <w:rPr>
                <w:rFonts w:ascii="Calibri" w:hAnsi="Calibri" w:cs="Calibri"/>
                <w:color w:val="000000"/>
                <w:sz w:val="10"/>
                <w:szCs w:val="10"/>
                <w:lang w:val="en-IE" w:eastAsia="en-IE"/>
              </w:rPr>
            </w:pPr>
            <w:r w:rsidRPr="003B39E3">
              <w:rPr>
                <w:rFonts w:ascii="Calibri" w:hAnsi="Calibri" w:cs="Calibri"/>
                <w:color w:val="000000"/>
                <w:sz w:val="10"/>
                <w:szCs w:val="10"/>
                <w:lang w:val="en-IE" w:eastAsia="en-I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998A313" w14:textId="77777777" w:rsidR="00B1438B" w:rsidRPr="006D7AEF" w:rsidRDefault="00B1438B" w:rsidP="00A05B52">
            <w:pPr>
              <w:jc w:val="right"/>
              <w:rPr>
                <w:rFonts w:ascii="Calibri" w:hAnsi="Calibri" w:cs="Calibri"/>
                <w:color w:val="000000"/>
                <w:sz w:val="10"/>
                <w:szCs w:val="10"/>
                <w:lang w:val="en-IE" w:eastAsia="en-IE"/>
              </w:rPr>
            </w:pPr>
            <w:r w:rsidRPr="006D7AEF">
              <w:rPr>
                <w:rFonts w:ascii="Calibri" w:hAnsi="Calibri" w:cs="Calibri"/>
                <w:color w:val="000000"/>
                <w:sz w:val="10"/>
                <w:szCs w:val="10"/>
                <w:lang w:val="en-IE" w:eastAsia="en-IE"/>
              </w:rPr>
              <w:t> </w:t>
            </w:r>
          </w:p>
        </w:tc>
        <w:tc>
          <w:tcPr>
            <w:tcW w:w="850" w:type="dxa"/>
            <w:tcBorders>
              <w:top w:val="nil"/>
              <w:left w:val="nil"/>
              <w:bottom w:val="single" w:sz="4" w:space="0" w:color="auto"/>
              <w:right w:val="single" w:sz="4" w:space="0" w:color="auto"/>
            </w:tcBorders>
            <w:shd w:val="clear" w:color="000000" w:fill="F2F2F2"/>
            <w:noWrap/>
            <w:vAlign w:val="center"/>
            <w:hideMark/>
          </w:tcPr>
          <w:p w14:paraId="0FB4DD62" w14:textId="77777777" w:rsidR="00B1438B" w:rsidRPr="006D7AEF" w:rsidRDefault="00B1438B" w:rsidP="00A05B52">
            <w:pPr>
              <w:jc w:val="right"/>
              <w:rPr>
                <w:rFonts w:ascii="Calibri" w:hAnsi="Calibri" w:cs="Calibri"/>
                <w:color w:val="000000"/>
                <w:sz w:val="10"/>
                <w:szCs w:val="10"/>
                <w:lang w:val="en-IE" w:eastAsia="en-IE"/>
              </w:rPr>
            </w:pPr>
            <w:r w:rsidRPr="006D7AEF">
              <w:rPr>
                <w:rFonts w:ascii="Calibri" w:hAnsi="Calibri" w:cs="Calibri"/>
                <w:color w:val="000000"/>
                <w:sz w:val="10"/>
                <w:szCs w:val="10"/>
                <w:lang w:val="en-IE" w:eastAsia="en-IE"/>
              </w:rPr>
              <w:t> </w:t>
            </w:r>
          </w:p>
        </w:tc>
        <w:tc>
          <w:tcPr>
            <w:tcW w:w="993" w:type="dxa"/>
            <w:tcBorders>
              <w:top w:val="nil"/>
              <w:left w:val="nil"/>
              <w:bottom w:val="single" w:sz="4" w:space="0" w:color="auto"/>
              <w:right w:val="single" w:sz="4" w:space="0" w:color="auto"/>
            </w:tcBorders>
            <w:shd w:val="clear" w:color="000000" w:fill="F2F2F2"/>
            <w:noWrap/>
            <w:vAlign w:val="center"/>
            <w:hideMark/>
          </w:tcPr>
          <w:p w14:paraId="289DA509" w14:textId="77777777" w:rsidR="00B1438B" w:rsidRPr="006945D7" w:rsidRDefault="00B1438B" w:rsidP="00A05B52">
            <w:pPr>
              <w:jc w:val="right"/>
              <w:rPr>
                <w:rFonts w:ascii="Calibri" w:hAnsi="Calibri" w:cs="Calibri"/>
                <w:color w:val="000000"/>
                <w:sz w:val="10"/>
                <w:szCs w:val="10"/>
                <w:highlight w:val="yellow"/>
                <w:lang w:val="en-IE" w:eastAsia="en-IE"/>
              </w:rPr>
            </w:pPr>
            <w:r w:rsidRPr="006D7AEF">
              <w:rPr>
                <w:rFonts w:ascii="Calibri" w:hAnsi="Calibri" w:cs="Calibri"/>
                <w:color w:val="000000"/>
                <w:sz w:val="10"/>
                <w:szCs w:val="10"/>
                <w:lang w:val="en-IE" w:eastAsia="en-IE"/>
              </w:rPr>
              <w:t> </w:t>
            </w:r>
          </w:p>
        </w:tc>
        <w:tc>
          <w:tcPr>
            <w:tcW w:w="850" w:type="dxa"/>
            <w:tcBorders>
              <w:top w:val="nil"/>
              <w:left w:val="nil"/>
              <w:bottom w:val="single" w:sz="4" w:space="0" w:color="auto"/>
              <w:right w:val="single" w:sz="4" w:space="0" w:color="auto"/>
            </w:tcBorders>
            <w:shd w:val="clear" w:color="auto" w:fill="auto"/>
            <w:noWrap/>
            <w:vAlign w:val="center"/>
            <w:hideMark/>
          </w:tcPr>
          <w:p w14:paraId="42D11918" w14:textId="77777777" w:rsidR="00B1438B" w:rsidRPr="002E3808" w:rsidRDefault="00B1438B" w:rsidP="00A05B52">
            <w:pPr>
              <w:jc w:val="right"/>
              <w:rPr>
                <w:rFonts w:ascii="Calibri" w:hAnsi="Calibri" w:cs="Calibri"/>
                <w:color w:val="000000"/>
                <w:sz w:val="10"/>
                <w:szCs w:val="10"/>
                <w:lang w:val="en-IE" w:eastAsia="en-IE"/>
              </w:rPr>
            </w:pPr>
            <w:r w:rsidRPr="002E3808">
              <w:rPr>
                <w:rFonts w:ascii="Calibri" w:hAnsi="Calibri" w:cs="Calibri"/>
                <w:color w:val="000000"/>
                <w:sz w:val="10"/>
                <w:szCs w:val="10"/>
                <w:lang w:val="en-IE" w:eastAsia="en-IE"/>
              </w:rPr>
              <w:t> </w:t>
            </w:r>
          </w:p>
        </w:tc>
        <w:tc>
          <w:tcPr>
            <w:tcW w:w="851" w:type="dxa"/>
            <w:tcBorders>
              <w:top w:val="nil"/>
              <w:left w:val="nil"/>
              <w:bottom w:val="single" w:sz="4" w:space="0" w:color="auto"/>
              <w:right w:val="single" w:sz="4" w:space="0" w:color="auto"/>
            </w:tcBorders>
            <w:shd w:val="clear" w:color="auto" w:fill="auto"/>
            <w:noWrap/>
            <w:vAlign w:val="center"/>
            <w:hideMark/>
          </w:tcPr>
          <w:p w14:paraId="6ABC8ADA" w14:textId="77777777" w:rsidR="00B1438B" w:rsidRPr="000D5A98" w:rsidRDefault="00B1438B" w:rsidP="00A05B52">
            <w:pPr>
              <w:jc w:val="right"/>
              <w:rPr>
                <w:rFonts w:ascii="Calibri" w:hAnsi="Calibri" w:cs="Calibri"/>
                <w:color w:val="000000"/>
                <w:sz w:val="10"/>
                <w:szCs w:val="10"/>
                <w:lang w:val="en-IE" w:eastAsia="en-IE"/>
              </w:rPr>
            </w:pPr>
            <w:r w:rsidRPr="000D5A98">
              <w:rPr>
                <w:rFonts w:ascii="Calibri" w:hAnsi="Calibri" w:cs="Calibri"/>
                <w:color w:val="000000"/>
                <w:sz w:val="10"/>
                <w:szCs w:val="10"/>
                <w:lang w:val="en-IE" w:eastAsia="en-IE"/>
              </w:rPr>
              <w:t> </w:t>
            </w:r>
          </w:p>
        </w:tc>
        <w:tc>
          <w:tcPr>
            <w:tcW w:w="877" w:type="dxa"/>
            <w:tcBorders>
              <w:top w:val="nil"/>
              <w:left w:val="nil"/>
              <w:bottom w:val="single" w:sz="4" w:space="0" w:color="auto"/>
              <w:right w:val="single" w:sz="4" w:space="0" w:color="auto"/>
            </w:tcBorders>
            <w:shd w:val="clear" w:color="auto" w:fill="auto"/>
            <w:noWrap/>
            <w:vAlign w:val="center"/>
            <w:hideMark/>
          </w:tcPr>
          <w:p w14:paraId="5E27C4EE" w14:textId="77777777" w:rsidR="00B1438B" w:rsidRPr="006945D7" w:rsidRDefault="00B1438B" w:rsidP="00A05B52">
            <w:pPr>
              <w:jc w:val="right"/>
              <w:rPr>
                <w:rFonts w:ascii="Calibri" w:hAnsi="Calibri" w:cs="Calibri"/>
                <w:color w:val="000000"/>
                <w:sz w:val="10"/>
                <w:szCs w:val="10"/>
                <w:highlight w:val="yellow"/>
                <w:lang w:val="en-IE" w:eastAsia="en-IE"/>
              </w:rPr>
            </w:pPr>
            <w:r w:rsidRPr="002E3808">
              <w:rPr>
                <w:rFonts w:ascii="Calibri" w:hAnsi="Calibri" w:cs="Calibri"/>
                <w:color w:val="000000"/>
                <w:sz w:val="10"/>
                <w:szCs w:val="10"/>
                <w:lang w:val="en-IE" w:eastAsia="en-IE"/>
              </w:rPr>
              <w:t> </w:t>
            </w:r>
          </w:p>
        </w:tc>
        <w:tc>
          <w:tcPr>
            <w:tcW w:w="824" w:type="dxa"/>
            <w:tcBorders>
              <w:top w:val="nil"/>
              <w:left w:val="nil"/>
              <w:bottom w:val="single" w:sz="4" w:space="0" w:color="auto"/>
              <w:right w:val="single" w:sz="4" w:space="0" w:color="auto"/>
            </w:tcBorders>
            <w:shd w:val="clear" w:color="000000" w:fill="F2F2F2"/>
            <w:noWrap/>
            <w:vAlign w:val="center"/>
            <w:hideMark/>
          </w:tcPr>
          <w:p w14:paraId="36BAC257" w14:textId="77777777" w:rsidR="00B1438B" w:rsidRPr="00433524" w:rsidRDefault="00B1438B" w:rsidP="00A05B52">
            <w:pPr>
              <w:jc w:val="right"/>
              <w:rPr>
                <w:rFonts w:ascii="Calibri" w:hAnsi="Calibri" w:cs="Calibri"/>
                <w:color w:val="000000"/>
                <w:sz w:val="10"/>
                <w:szCs w:val="10"/>
                <w:lang w:val="en-IE" w:eastAsia="en-IE"/>
              </w:rPr>
            </w:pPr>
            <w:r w:rsidRPr="00433524">
              <w:rPr>
                <w:rFonts w:ascii="Calibri" w:hAnsi="Calibri" w:cs="Calibri"/>
                <w:color w:val="000000"/>
                <w:sz w:val="10"/>
                <w:szCs w:val="10"/>
                <w:lang w:val="en-IE" w:eastAsia="en-IE"/>
              </w:rPr>
              <w:t> </w:t>
            </w:r>
          </w:p>
        </w:tc>
        <w:tc>
          <w:tcPr>
            <w:tcW w:w="737" w:type="dxa"/>
            <w:tcBorders>
              <w:top w:val="nil"/>
              <w:left w:val="nil"/>
              <w:bottom w:val="single" w:sz="4" w:space="0" w:color="auto"/>
              <w:right w:val="single" w:sz="4" w:space="0" w:color="auto"/>
            </w:tcBorders>
            <w:shd w:val="clear" w:color="000000" w:fill="F2F2F2"/>
            <w:noWrap/>
            <w:vAlign w:val="center"/>
            <w:hideMark/>
          </w:tcPr>
          <w:p w14:paraId="35BE6251" w14:textId="77777777" w:rsidR="00B1438B" w:rsidRPr="00433524" w:rsidRDefault="00B1438B" w:rsidP="00A05B52">
            <w:pPr>
              <w:jc w:val="right"/>
              <w:rPr>
                <w:rFonts w:ascii="Calibri" w:hAnsi="Calibri" w:cs="Calibri"/>
                <w:color w:val="000000"/>
                <w:sz w:val="10"/>
                <w:szCs w:val="10"/>
                <w:lang w:val="en-IE" w:eastAsia="en-IE"/>
              </w:rPr>
            </w:pPr>
            <w:r w:rsidRPr="00433524">
              <w:rPr>
                <w:rFonts w:ascii="Calibri" w:hAnsi="Calibri" w:cs="Calibri"/>
                <w:color w:val="000000"/>
                <w:sz w:val="10"/>
                <w:szCs w:val="10"/>
                <w:lang w:val="en-IE" w:eastAsia="en-IE"/>
              </w:rPr>
              <w:t> </w:t>
            </w:r>
          </w:p>
        </w:tc>
        <w:tc>
          <w:tcPr>
            <w:tcW w:w="877" w:type="dxa"/>
            <w:tcBorders>
              <w:top w:val="nil"/>
              <w:left w:val="nil"/>
              <w:bottom w:val="single" w:sz="4" w:space="0" w:color="auto"/>
              <w:right w:val="single" w:sz="4" w:space="0" w:color="auto"/>
            </w:tcBorders>
            <w:shd w:val="clear" w:color="000000" w:fill="F2F2F2"/>
            <w:noWrap/>
            <w:vAlign w:val="center"/>
            <w:hideMark/>
          </w:tcPr>
          <w:p w14:paraId="63CE87AE" w14:textId="77777777" w:rsidR="00B1438B" w:rsidRPr="006945D7" w:rsidRDefault="00B1438B" w:rsidP="00A05B52">
            <w:pPr>
              <w:jc w:val="right"/>
              <w:rPr>
                <w:rFonts w:ascii="Calibri" w:hAnsi="Calibri" w:cs="Calibri"/>
                <w:color w:val="000000"/>
                <w:sz w:val="10"/>
                <w:szCs w:val="10"/>
                <w:highlight w:val="yellow"/>
                <w:lang w:val="en-IE" w:eastAsia="en-IE"/>
              </w:rPr>
            </w:pPr>
            <w:r w:rsidRPr="00433524">
              <w:rPr>
                <w:rFonts w:ascii="Calibri" w:hAnsi="Calibri" w:cs="Calibri"/>
                <w:color w:val="000000"/>
                <w:sz w:val="10"/>
                <w:szCs w:val="10"/>
                <w:lang w:val="en-IE" w:eastAsia="en-IE"/>
              </w:rPr>
              <w:t> </w:t>
            </w:r>
          </w:p>
        </w:tc>
        <w:tc>
          <w:tcPr>
            <w:tcW w:w="824" w:type="dxa"/>
            <w:tcBorders>
              <w:top w:val="nil"/>
              <w:left w:val="nil"/>
              <w:bottom w:val="single" w:sz="4" w:space="0" w:color="auto"/>
              <w:right w:val="single" w:sz="4" w:space="0" w:color="auto"/>
            </w:tcBorders>
            <w:shd w:val="clear" w:color="auto" w:fill="auto"/>
            <w:noWrap/>
            <w:vAlign w:val="center"/>
            <w:hideMark/>
          </w:tcPr>
          <w:p w14:paraId="0537F847" w14:textId="77777777" w:rsidR="00B1438B" w:rsidRPr="00FA4C0B" w:rsidRDefault="00B1438B" w:rsidP="00A05B52">
            <w:pPr>
              <w:jc w:val="right"/>
              <w:rPr>
                <w:rFonts w:ascii="Calibri" w:hAnsi="Calibri" w:cs="Calibri"/>
                <w:color w:val="000000"/>
                <w:sz w:val="10"/>
                <w:szCs w:val="10"/>
                <w:lang w:val="en-IE" w:eastAsia="en-IE"/>
              </w:rPr>
            </w:pPr>
            <w:r w:rsidRPr="00FA4C0B">
              <w:rPr>
                <w:rFonts w:ascii="Calibri" w:hAnsi="Calibri" w:cs="Calibri"/>
                <w:color w:val="000000"/>
                <w:sz w:val="10"/>
                <w:szCs w:val="10"/>
                <w:lang w:val="en-IE" w:eastAsia="en-IE"/>
              </w:rPr>
              <w:t> </w:t>
            </w:r>
          </w:p>
        </w:tc>
        <w:tc>
          <w:tcPr>
            <w:tcW w:w="737" w:type="dxa"/>
            <w:tcBorders>
              <w:top w:val="nil"/>
              <w:left w:val="nil"/>
              <w:bottom w:val="single" w:sz="4" w:space="0" w:color="auto"/>
              <w:right w:val="single" w:sz="4" w:space="0" w:color="auto"/>
            </w:tcBorders>
            <w:shd w:val="clear" w:color="auto" w:fill="auto"/>
            <w:noWrap/>
            <w:vAlign w:val="center"/>
            <w:hideMark/>
          </w:tcPr>
          <w:p w14:paraId="4F3C7C02" w14:textId="77777777" w:rsidR="00B1438B" w:rsidRPr="00FA4C0B" w:rsidRDefault="00B1438B" w:rsidP="00A05B52">
            <w:pPr>
              <w:jc w:val="right"/>
              <w:rPr>
                <w:rFonts w:ascii="Calibri" w:hAnsi="Calibri" w:cs="Calibri"/>
                <w:color w:val="000000"/>
                <w:sz w:val="10"/>
                <w:szCs w:val="10"/>
                <w:lang w:val="en-IE" w:eastAsia="en-IE"/>
              </w:rPr>
            </w:pPr>
            <w:r w:rsidRPr="00FA4C0B">
              <w:rPr>
                <w:rFonts w:ascii="Calibri" w:hAnsi="Calibri" w:cs="Calibri"/>
                <w:color w:val="000000"/>
                <w:sz w:val="10"/>
                <w:szCs w:val="10"/>
                <w:lang w:val="en-IE" w:eastAsia="en-IE"/>
              </w:rPr>
              <w:t> </w:t>
            </w:r>
          </w:p>
        </w:tc>
        <w:tc>
          <w:tcPr>
            <w:tcW w:w="877" w:type="dxa"/>
            <w:tcBorders>
              <w:top w:val="nil"/>
              <w:left w:val="nil"/>
              <w:bottom w:val="single" w:sz="4" w:space="0" w:color="auto"/>
              <w:right w:val="single" w:sz="4" w:space="0" w:color="auto"/>
            </w:tcBorders>
            <w:shd w:val="clear" w:color="auto" w:fill="auto"/>
            <w:noWrap/>
            <w:vAlign w:val="center"/>
            <w:hideMark/>
          </w:tcPr>
          <w:p w14:paraId="5E6E25C0" w14:textId="77777777" w:rsidR="00B1438B" w:rsidRPr="006945D7" w:rsidRDefault="00B1438B" w:rsidP="00A05B52">
            <w:pPr>
              <w:jc w:val="right"/>
              <w:rPr>
                <w:rFonts w:ascii="Calibri" w:hAnsi="Calibri" w:cs="Calibri"/>
                <w:color w:val="000000"/>
                <w:sz w:val="10"/>
                <w:szCs w:val="10"/>
                <w:highlight w:val="yellow"/>
                <w:lang w:val="en-IE" w:eastAsia="en-IE"/>
              </w:rPr>
            </w:pPr>
            <w:r w:rsidRPr="00FA4C0B">
              <w:rPr>
                <w:rFonts w:ascii="Calibri" w:hAnsi="Calibri" w:cs="Calibri"/>
                <w:color w:val="000000"/>
                <w:sz w:val="10"/>
                <w:szCs w:val="10"/>
                <w:lang w:val="en-IE" w:eastAsia="en-IE"/>
              </w:rPr>
              <w:t> </w:t>
            </w:r>
          </w:p>
        </w:tc>
        <w:tc>
          <w:tcPr>
            <w:tcW w:w="824" w:type="dxa"/>
            <w:tcBorders>
              <w:top w:val="nil"/>
              <w:left w:val="nil"/>
              <w:bottom w:val="single" w:sz="4" w:space="0" w:color="auto"/>
              <w:right w:val="single" w:sz="4" w:space="0" w:color="auto"/>
            </w:tcBorders>
            <w:shd w:val="clear" w:color="000000" w:fill="F2F2F2"/>
            <w:noWrap/>
            <w:vAlign w:val="center"/>
            <w:hideMark/>
          </w:tcPr>
          <w:p w14:paraId="42AB2C76" w14:textId="77777777" w:rsidR="00B1438B" w:rsidRPr="00FA4C0B" w:rsidRDefault="00B1438B" w:rsidP="00A05B52">
            <w:pPr>
              <w:jc w:val="right"/>
              <w:rPr>
                <w:rFonts w:ascii="Calibri" w:hAnsi="Calibri" w:cs="Calibri"/>
                <w:color w:val="000000"/>
                <w:sz w:val="10"/>
                <w:szCs w:val="10"/>
                <w:lang w:val="en-IE" w:eastAsia="en-IE"/>
              </w:rPr>
            </w:pPr>
            <w:r w:rsidRPr="00FA4C0B">
              <w:rPr>
                <w:rFonts w:ascii="Calibri" w:hAnsi="Calibri" w:cs="Calibri"/>
                <w:color w:val="000000"/>
                <w:sz w:val="10"/>
                <w:szCs w:val="10"/>
                <w:lang w:val="en-IE" w:eastAsia="en-IE"/>
              </w:rPr>
              <w:t> </w:t>
            </w:r>
          </w:p>
        </w:tc>
        <w:tc>
          <w:tcPr>
            <w:tcW w:w="737" w:type="dxa"/>
            <w:tcBorders>
              <w:top w:val="nil"/>
              <w:left w:val="nil"/>
              <w:bottom w:val="single" w:sz="4" w:space="0" w:color="auto"/>
              <w:right w:val="single" w:sz="4" w:space="0" w:color="auto"/>
            </w:tcBorders>
            <w:shd w:val="clear" w:color="000000" w:fill="F2F2F2"/>
            <w:noWrap/>
            <w:vAlign w:val="center"/>
            <w:hideMark/>
          </w:tcPr>
          <w:p w14:paraId="3BD5926B" w14:textId="77777777" w:rsidR="00B1438B" w:rsidRPr="00FA4C0B" w:rsidRDefault="00B1438B" w:rsidP="00A05B52">
            <w:pPr>
              <w:jc w:val="right"/>
              <w:rPr>
                <w:rFonts w:ascii="Calibri" w:hAnsi="Calibri" w:cs="Calibri"/>
                <w:color w:val="000000"/>
                <w:sz w:val="10"/>
                <w:szCs w:val="10"/>
                <w:lang w:val="en-IE" w:eastAsia="en-IE"/>
              </w:rPr>
            </w:pPr>
            <w:r w:rsidRPr="00FA4C0B">
              <w:rPr>
                <w:rFonts w:ascii="Calibri" w:hAnsi="Calibri" w:cs="Calibri"/>
                <w:color w:val="000000"/>
                <w:sz w:val="10"/>
                <w:szCs w:val="10"/>
                <w:lang w:val="en-IE" w:eastAsia="en-IE"/>
              </w:rPr>
              <w:t> </w:t>
            </w:r>
          </w:p>
        </w:tc>
        <w:tc>
          <w:tcPr>
            <w:tcW w:w="877" w:type="dxa"/>
            <w:tcBorders>
              <w:top w:val="nil"/>
              <w:left w:val="nil"/>
              <w:bottom w:val="single" w:sz="4" w:space="0" w:color="auto"/>
              <w:right w:val="single" w:sz="4" w:space="0" w:color="auto"/>
            </w:tcBorders>
            <w:shd w:val="clear" w:color="000000" w:fill="F2F2F2"/>
            <w:noWrap/>
            <w:vAlign w:val="center"/>
            <w:hideMark/>
          </w:tcPr>
          <w:p w14:paraId="0B5EEDC3" w14:textId="77777777" w:rsidR="00B1438B" w:rsidRPr="006945D7" w:rsidRDefault="00B1438B" w:rsidP="00A05B52">
            <w:pPr>
              <w:jc w:val="right"/>
              <w:rPr>
                <w:rFonts w:ascii="Calibri" w:hAnsi="Calibri" w:cs="Calibri"/>
                <w:color w:val="000000"/>
                <w:sz w:val="10"/>
                <w:szCs w:val="10"/>
                <w:highlight w:val="yellow"/>
                <w:lang w:val="en-IE" w:eastAsia="en-IE"/>
              </w:rPr>
            </w:pPr>
            <w:r w:rsidRPr="00FA4C0B">
              <w:rPr>
                <w:rFonts w:ascii="Calibri" w:hAnsi="Calibri" w:cs="Calibri"/>
                <w:color w:val="000000"/>
                <w:sz w:val="10"/>
                <w:szCs w:val="10"/>
                <w:lang w:val="en-IE" w:eastAsia="en-IE"/>
              </w:rPr>
              <w:t> </w:t>
            </w:r>
          </w:p>
        </w:tc>
      </w:tr>
      <w:tr w:rsidR="00B1438B" w:rsidRPr="003B39E3" w14:paraId="64D47CB2" w14:textId="77777777" w:rsidTr="00A05B52">
        <w:trPr>
          <w:trHeight w:val="254"/>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9C2903F" w14:textId="77777777" w:rsidR="00B1438B" w:rsidRPr="003B39E3" w:rsidRDefault="00B1438B" w:rsidP="00A05B52">
            <w:pPr>
              <w:rPr>
                <w:rFonts w:ascii="Calibri" w:hAnsi="Calibri" w:cs="Calibri"/>
                <w:color w:val="000000"/>
                <w:sz w:val="17"/>
                <w:szCs w:val="17"/>
                <w:lang w:val="en-IE" w:eastAsia="en-IE"/>
              </w:rPr>
            </w:pPr>
            <w:r w:rsidRPr="003B39E3">
              <w:rPr>
                <w:rFonts w:ascii="Calibri" w:hAnsi="Calibri" w:cs="Calibri"/>
                <w:color w:val="000000"/>
                <w:sz w:val="17"/>
                <w:szCs w:val="17"/>
                <w:lang w:val="en-IE" w:eastAsia="en-IE"/>
              </w:rPr>
              <w:t>Cost of sales</w:t>
            </w:r>
          </w:p>
        </w:tc>
        <w:tc>
          <w:tcPr>
            <w:tcW w:w="851" w:type="dxa"/>
            <w:tcBorders>
              <w:top w:val="nil"/>
              <w:left w:val="nil"/>
              <w:bottom w:val="single" w:sz="4" w:space="0" w:color="auto"/>
              <w:right w:val="single" w:sz="4" w:space="0" w:color="auto"/>
            </w:tcBorders>
            <w:shd w:val="clear" w:color="000000" w:fill="F2F2F2"/>
            <w:noWrap/>
            <w:vAlign w:val="center"/>
            <w:hideMark/>
          </w:tcPr>
          <w:p w14:paraId="08246DFF" w14:textId="77777777" w:rsidR="00B1438B" w:rsidRPr="006D7AEF" w:rsidRDefault="00B1438B" w:rsidP="00A05B52">
            <w:pPr>
              <w:jc w:val="right"/>
              <w:rPr>
                <w:rFonts w:ascii="Calibri" w:hAnsi="Calibri" w:cs="Calibri"/>
                <w:color w:val="000000"/>
                <w:sz w:val="17"/>
                <w:szCs w:val="17"/>
                <w:lang w:val="en-IE" w:eastAsia="en-IE"/>
              </w:rPr>
            </w:pPr>
            <w:r w:rsidRPr="006D7AEF">
              <w:rPr>
                <w:rFonts w:ascii="Calibri" w:hAnsi="Calibri" w:cs="Calibri"/>
                <w:color w:val="000000"/>
                <w:sz w:val="17"/>
                <w:szCs w:val="17"/>
                <w:lang w:val="en-IE" w:eastAsia="en-IE"/>
              </w:rPr>
              <w:t>(28</w:t>
            </w:r>
            <w:r>
              <w:rPr>
                <w:rFonts w:ascii="Calibri" w:hAnsi="Calibri" w:cs="Calibri"/>
                <w:color w:val="000000"/>
                <w:sz w:val="17"/>
                <w:szCs w:val="17"/>
                <w:lang w:val="en-IE" w:eastAsia="en-IE"/>
              </w:rPr>
              <w:t>3</w:t>
            </w:r>
            <w:r w:rsidRPr="006D7AEF">
              <w:rPr>
                <w:rFonts w:ascii="Calibri" w:hAnsi="Calibri" w:cs="Calibri"/>
                <w:color w:val="000000"/>
                <w:sz w:val="17"/>
                <w:szCs w:val="17"/>
                <w:lang w:val="en-IE" w:eastAsia="en-IE"/>
              </w:rPr>
              <w:t>)</w:t>
            </w:r>
          </w:p>
        </w:tc>
        <w:tc>
          <w:tcPr>
            <w:tcW w:w="850" w:type="dxa"/>
            <w:tcBorders>
              <w:top w:val="nil"/>
              <w:left w:val="nil"/>
              <w:bottom w:val="single" w:sz="4" w:space="0" w:color="auto"/>
              <w:right w:val="single" w:sz="4" w:space="0" w:color="auto"/>
            </w:tcBorders>
            <w:shd w:val="clear" w:color="000000" w:fill="F2F2F2"/>
            <w:noWrap/>
            <w:vAlign w:val="center"/>
            <w:hideMark/>
          </w:tcPr>
          <w:p w14:paraId="789C9072" w14:textId="77777777" w:rsidR="00B1438B" w:rsidRPr="006D7AEF" w:rsidRDefault="00B1438B" w:rsidP="00A05B52">
            <w:pPr>
              <w:jc w:val="right"/>
              <w:rPr>
                <w:rFonts w:ascii="Calibri" w:hAnsi="Calibri" w:cs="Calibri"/>
                <w:color w:val="000000"/>
                <w:sz w:val="17"/>
                <w:szCs w:val="17"/>
                <w:lang w:val="en-IE" w:eastAsia="en-IE"/>
              </w:rPr>
            </w:pPr>
            <w:r w:rsidRPr="006D7AEF">
              <w:rPr>
                <w:rFonts w:ascii="Calibri" w:hAnsi="Calibri" w:cs="Calibri"/>
                <w:color w:val="000000"/>
                <w:sz w:val="17"/>
                <w:szCs w:val="17"/>
                <w:lang w:val="en-IE" w:eastAsia="en-IE"/>
              </w:rPr>
              <w:t> </w:t>
            </w:r>
          </w:p>
        </w:tc>
        <w:tc>
          <w:tcPr>
            <w:tcW w:w="993" w:type="dxa"/>
            <w:tcBorders>
              <w:top w:val="nil"/>
              <w:left w:val="nil"/>
              <w:bottom w:val="single" w:sz="4" w:space="0" w:color="auto"/>
              <w:right w:val="single" w:sz="4" w:space="0" w:color="auto"/>
            </w:tcBorders>
            <w:shd w:val="clear" w:color="000000" w:fill="F2F2F2"/>
            <w:noWrap/>
            <w:vAlign w:val="center"/>
            <w:hideMark/>
          </w:tcPr>
          <w:p w14:paraId="295E6A30" w14:textId="77777777" w:rsidR="00B1438B" w:rsidRPr="006945D7" w:rsidRDefault="00B1438B" w:rsidP="00A05B52">
            <w:pPr>
              <w:jc w:val="right"/>
              <w:rPr>
                <w:rFonts w:ascii="Calibri" w:hAnsi="Calibri" w:cs="Calibri"/>
                <w:color w:val="000000"/>
                <w:sz w:val="17"/>
                <w:szCs w:val="17"/>
                <w:highlight w:val="yellow"/>
                <w:lang w:val="en-IE" w:eastAsia="en-IE"/>
              </w:rPr>
            </w:pPr>
            <w:r w:rsidRPr="006D7AEF">
              <w:rPr>
                <w:rFonts w:ascii="Calibri" w:hAnsi="Calibri" w:cs="Calibri"/>
                <w:color w:val="000000"/>
                <w:sz w:val="17"/>
                <w:szCs w:val="17"/>
                <w:lang w:val="en-IE" w:eastAsia="en-IE"/>
              </w:rPr>
              <w:t>(28</w:t>
            </w:r>
            <w:r>
              <w:rPr>
                <w:rFonts w:ascii="Calibri" w:hAnsi="Calibri" w:cs="Calibri"/>
                <w:color w:val="000000"/>
                <w:sz w:val="17"/>
                <w:szCs w:val="17"/>
                <w:lang w:val="en-IE" w:eastAsia="en-IE"/>
              </w:rPr>
              <w:t>3</w:t>
            </w:r>
            <w:r w:rsidRPr="006D7AEF">
              <w:rPr>
                <w:rFonts w:ascii="Calibri" w:hAnsi="Calibri" w:cs="Calibri"/>
                <w:color w:val="000000"/>
                <w:sz w:val="17"/>
                <w:szCs w:val="17"/>
                <w:lang w:val="en-IE" w:eastAsia="en-IE"/>
              </w:rPr>
              <w:t>)</w:t>
            </w:r>
          </w:p>
        </w:tc>
        <w:tc>
          <w:tcPr>
            <w:tcW w:w="850" w:type="dxa"/>
            <w:tcBorders>
              <w:top w:val="nil"/>
              <w:left w:val="nil"/>
              <w:bottom w:val="single" w:sz="4" w:space="0" w:color="auto"/>
              <w:right w:val="single" w:sz="4" w:space="0" w:color="auto"/>
            </w:tcBorders>
            <w:shd w:val="clear" w:color="auto" w:fill="auto"/>
            <w:noWrap/>
            <w:vAlign w:val="center"/>
            <w:hideMark/>
          </w:tcPr>
          <w:p w14:paraId="261C882F" w14:textId="77777777" w:rsidR="00B1438B" w:rsidRPr="002E3808" w:rsidRDefault="00B1438B" w:rsidP="00A05B52">
            <w:pPr>
              <w:jc w:val="right"/>
              <w:rPr>
                <w:rFonts w:ascii="Calibri" w:hAnsi="Calibri" w:cs="Calibri"/>
                <w:color w:val="000000"/>
                <w:sz w:val="17"/>
                <w:szCs w:val="17"/>
                <w:lang w:val="en-IE" w:eastAsia="en-IE"/>
              </w:rPr>
            </w:pPr>
            <w:r w:rsidRPr="002E3808">
              <w:rPr>
                <w:rFonts w:ascii="Calibri" w:hAnsi="Calibri" w:cs="Calibri"/>
                <w:color w:val="000000"/>
                <w:sz w:val="17"/>
                <w:szCs w:val="17"/>
                <w:lang w:val="en-IE" w:eastAsia="en-IE"/>
              </w:rPr>
              <w:t>(182)</w:t>
            </w:r>
          </w:p>
        </w:tc>
        <w:tc>
          <w:tcPr>
            <w:tcW w:w="851" w:type="dxa"/>
            <w:tcBorders>
              <w:top w:val="nil"/>
              <w:left w:val="nil"/>
              <w:bottom w:val="single" w:sz="4" w:space="0" w:color="auto"/>
              <w:right w:val="single" w:sz="4" w:space="0" w:color="auto"/>
            </w:tcBorders>
            <w:shd w:val="clear" w:color="auto" w:fill="auto"/>
            <w:noWrap/>
            <w:vAlign w:val="center"/>
            <w:hideMark/>
          </w:tcPr>
          <w:p w14:paraId="2FA13743" w14:textId="77777777" w:rsidR="00B1438B" w:rsidRPr="000D5A98" w:rsidRDefault="00B1438B" w:rsidP="00A05B52">
            <w:pPr>
              <w:jc w:val="right"/>
              <w:rPr>
                <w:rFonts w:ascii="Calibri" w:hAnsi="Calibri" w:cs="Calibri"/>
                <w:color w:val="000000"/>
                <w:sz w:val="17"/>
                <w:szCs w:val="17"/>
                <w:lang w:val="en-IE" w:eastAsia="en-IE"/>
              </w:rPr>
            </w:pPr>
            <w:r w:rsidRPr="000D5A98">
              <w:rPr>
                <w:rFonts w:ascii="Calibri" w:hAnsi="Calibri" w:cs="Calibri"/>
                <w:color w:val="000000"/>
                <w:sz w:val="17"/>
                <w:szCs w:val="17"/>
                <w:lang w:val="en-IE" w:eastAsia="en-IE"/>
              </w:rPr>
              <w:t> </w:t>
            </w:r>
          </w:p>
        </w:tc>
        <w:tc>
          <w:tcPr>
            <w:tcW w:w="877" w:type="dxa"/>
            <w:tcBorders>
              <w:top w:val="nil"/>
              <w:left w:val="nil"/>
              <w:bottom w:val="single" w:sz="4" w:space="0" w:color="auto"/>
              <w:right w:val="single" w:sz="4" w:space="0" w:color="auto"/>
            </w:tcBorders>
            <w:shd w:val="clear" w:color="auto" w:fill="auto"/>
            <w:noWrap/>
            <w:vAlign w:val="center"/>
            <w:hideMark/>
          </w:tcPr>
          <w:p w14:paraId="56D1C40E" w14:textId="77777777" w:rsidR="00B1438B" w:rsidRPr="006945D7" w:rsidRDefault="00B1438B" w:rsidP="00A05B52">
            <w:pPr>
              <w:jc w:val="right"/>
              <w:rPr>
                <w:rFonts w:ascii="Calibri" w:hAnsi="Calibri" w:cs="Calibri"/>
                <w:color w:val="000000"/>
                <w:sz w:val="17"/>
                <w:szCs w:val="17"/>
                <w:highlight w:val="yellow"/>
                <w:lang w:val="en-IE" w:eastAsia="en-IE"/>
              </w:rPr>
            </w:pPr>
            <w:r w:rsidRPr="002E3808">
              <w:rPr>
                <w:rFonts w:ascii="Calibri" w:hAnsi="Calibri" w:cs="Calibri"/>
                <w:color w:val="000000"/>
                <w:sz w:val="17"/>
                <w:szCs w:val="17"/>
                <w:lang w:val="en-IE" w:eastAsia="en-IE"/>
              </w:rPr>
              <w:t>(182)</w:t>
            </w:r>
          </w:p>
        </w:tc>
        <w:tc>
          <w:tcPr>
            <w:tcW w:w="824" w:type="dxa"/>
            <w:tcBorders>
              <w:top w:val="nil"/>
              <w:left w:val="nil"/>
              <w:bottom w:val="single" w:sz="4" w:space="0" w:color="auto"/>
              <w:right w:val="single" w:sz="4" w:space="0" w:color="auto"/>
            </w:tcBorders>
            <w:shd w:val="clear" w:color="000000" w:fill="F2F2F2"/>
            <w:noWrap/>
            <w:vAlign w:val="center"/>
            <w:hideMark/>
          </w:tcPr>
          <w:p w14:paraId="485B2833" w14:textId="77777777" w:rsidR="00B1438B" w:rsidRPr="00433524" w:rsidRDefault="00B1438B" w:rsidP="00A05B52">
            <w:pPr>
              <w:jc w:val="right"/>
              <w:rPr>
                <w:rFonts w:ascii="Calibri" w:hAnsi="Calibri" w:cs="Calibri"/>
                <w:color w:val="000000"/>
                <w:sz w:val="17"/>
                <w:szCs w:val="17"/>
                <w:lang w:val="en-IE" w:eastAsia="en-IE"/>
              </w:rPr>
            </w:pPr>
            <w:r w:rsidRPr="00433524">
              <w:rPr>
                <w:rFonts w:ascii="Calibri" w:hAnsi="Calibri" w:cs="Calibri"/>
                <w:color w:val="000000"/>
                <w:sz w:val="17"/>
                <w:szCs w:val="17"/>
                <w:lang w:val="en-IE" w:eastAsia="en-IE"/>
              </w:rPr>
              <w:t>(70)</w:t>
            </w:r>
          </w:p>
        </w:tc>
        <w:tc>
          <w:tcPr>
            <w:tcW w:w="737" w:type="dxa"/>
            <w:tcBorders>
              <w:top w:val="nil"/>
              <w:left w:val="nil"/>
              <w:bottom w:val="single" w:sz="4" w:space="0" w:color="auto"/>
              <w:right w:val="single" w:sz="4" w:space="0" w:color="auto"/>
            </w:tcBorders>
            <w:shd w:val="clear" w:color="000000" w:fill="F2F2F2"/>
            <w:noWrap/>
            <w:vAlign w:val="center"/>
            <w:hideMark/>
          </w:tcPr>
          <w:p w14:paraId="6C220192" w14:textId="77777777" w:rsidR="00B1438B" w:rsidRPr="00433524" w:rsidRDefault="00B1438B" w:rsidP="00A05B52">
            <w:pPr>
              <w:jc w:val="right"/>
              <w:rPr>
                <w:rFonts w:ascii="Calibri" w:hAnsi="Calibri" w:cs="Calibri"/>
                <w:color w:val="000000"/>
                <w:sz w:val="17"/>
                <w:szCs w:val="17"/>
                <w:lang w:val="en-IE" w:eastAsia="en-IE"/>
              </w:rPr>
            </w:pPr>
            <w:r w:rsidRPr="00433524">
              <w:rPr>
                <w:rFonts w:ascii="Calibri" w:hAnsi="Calibri" w:cs="Calibri"/>
                <w:color w:val="000000"/>
                <w:sz w:val="17"/>
                <w:szCs w:val="17"/>
                <w:lang w:val="en-IE" w:eastAsia="en-IE"/>
              </w:rPr>
              <w:t> </w:t>
            </w:r>
          </w:p>
        </w:tc>
        <w:tc>
          <w:tcPr>
            <w:tcW w:w="877" w:type="dxa"/>
            <w:tcBorders>
              <w:top w:val="nil"/>
              <w:left w:val="nil"/>
              <w:bottom w:val="single" w:sz="4" w:space="0" w:color="auto"/>
              <w:right w:val="single" w:sz="4" w:space="0" w:color="auto"/>
            </w:tcBorders>
            <w:shd w:val="clear" w:color="000000" w:fill="F2F2F2"/>
            <w:noWrap/>
            <w:vAlign w:val="center"/>
            <w:hideMark/>
          </w:tcPr>
          <w:p w14:paraId="6FA31E18" w14:textId="77777777" w:rsidR="00B1438B" w:rsidRPr="006945D7" w:rsidRDefault="00B1438B" w:rsidP="00A05B52">
            <w:pPr>
              <w:jc w:val="right"/>
              <w:rPr>
                <w:rFonts w:ascii="Calibri" w:hAnsi="Calibri" w:cs="Calibri"/>
                <w:color w:val="000000"/>
                <w:sz w:val="17"/>
                <w:szCs w:val="17"/>
                <w:highlight w:val="yellow"/>
                <w:lang w:val="en-IE" w:eastAsia="en-IE"/>
              </w:rPr>
            </w:pPr>
            <w:r w:rsidRPr="00433524">
              <w:rPr>
                <w:rFonts w:ascii="Calibri" w:hAnsi="Calibri" w:cs="Calibri"/>
                <w:color w:val="000000"/>
                <w:sz w:val="17"/>
                <w:szCs w:val="17"/>
                <w:lang w:val="en-IE" w:eastAsia="en-IE"/>
              </w:rPr>
              <w:t>(70)</w:t>
            </w:r>
          </w:p>
        </w:tc>
        <w:tc>
          <w:tcPr>
            <w:tcW w:w="824" w:type="dxa"/>
            <w:tcBorders>
              <w:top w:val="nil"/>
              <w:left w:val="nil"/>
              <w:bottom w:val="single" w:sz="4" w:space="0" w:color="auto"/>
              <w:right w:val="single" w:sz="4" w:space="0" w:color="auto"/>
            </w:tcBorders>
            <w:shd w:val="clear" w:color="auto" w:fill="auto"/>
            <w:noWrap/>
            <w:vAlign w:val="center"/>
            <w:hideMark/>
          </w:tcPr>
          <w:p w14:paraId="5FC679D3" w14:textId="77777777" w:rsidR="00B1438B" w:rsidRPr="00FA4C0B" w:rsidRDefault="00B1438B" w:rsidP="00A05B52">
            <w:pPr>
              <w:jc w:val="right"/>
              <w:rPr>
                <w:rFonts w:ascii="Calibri" w:hAnsi="Calibri" w:cs="Calibri"/>
                <w:color w:val="000000"/>
                <w:sz w:val="17"/>
                <w:szCs w:val="17"/>
                <w:lang w:val="en-IE" w:eastAsia="en-IE"/>
              </w:rPr>
            </w:pPr>
            <w:r w:rsidRPr="00FA4C0B">
              <w:rPr>
                <w:rFonts w:ascii="Calibri" w:hAnsi="Calibri" w:cs="Calibri"/>
                <w:color w:val="000000"/>
                <w:sz w:val="17"/>
                <w:szCs w:val="17"/>
                <w:lang w:val="en-IE" w:eastAsia="en-IE"/>
              </w:rPr>
              <w:t>(11</w:t>
            </w:r>
            <w:r>
              <w:rPr>
                <w:rFonts w:ascii="Calibri" w:hAnsi="Calibri" w:cs="Calibri"/>
                <w:color w:val="000000"/>
                <w:sz w:val="17"/>
                <w:szCs w:val="17"/>
                <w:lang w:val="en-IE" w:eastAsia="en-IE"/>
              </w:rPr>
              <w:t>6</w:t>
            </w:r>
            <w:r w:rsidRPr="00FA4C0B">
              <w:rPr>
                <w:rFonts w:ascii="Calibri" w:hAnsi="Calibri" w:cs="Calibri"/>
                <w:color w:val="000000"/>
                <w:sz w:val="17"/>
                <w:szCs w:val="17"/>
                <w:lang w:val="en-IE" w:eastAsia="en-IE"/>
              </w:rPr>
              <w:t>)</w:t>
            </w:r>
          </w:p>
        </w:tc>
        <w:tc>
          <w:tcPr>
            <w:tcW w:w="737" w:type="dxa"/>
            <w:tcBorders>
              <w:top w:val="nil"/>
              <w:left w:val="nil"/>
              <w:bottom w:val="single" w:sz="4" w:space="0" w:color="auto"/>
              <w:right w:val="single" w:sz="4" w:space="0" w:color="auto"/>
            </w:tcBorders>
            <w:shd w:val="clear" w:color="auto" w:fill="auto"/>
            <w:noWrap/>
            <w:vAlign w:val="center"/>
            <w:hideMark/>
          </w:tcPr>
          <w:p w14:paraId="5C3C7E46" w14:textId="77777777" w:rsidR="00B1438B" w:rsidRPr="00FA4C0B" w:rsidRDefault="00B1438B" w:rsidP="00A05B52">
            <w:pPr>
              <w:jc w:val="right"/>
              <w:rPr>
                <w:rFonts w:ascii="Calibri" w:hAnsi="Calibri" w:cs="Calibri"/>
                <w:color w:val="000000"/>
                <w:sz w:val="17"/>
                <w:szCs w:val="17"/>
                <w:lang w:val="en-IE" w:eastAsia="en-IE"/>
              </w:rPr>
            </w:pPr>
            <w:r w:rsidRPr="00FA4C0B">
              <w:rPr>
                <w:rFonts w:ascii="Calibri" w:hAnsi="Calibri" w:cs="Calibri"/>
                <w:color w:val="000000"/>
                <w:sz w:val="17"/>
                <w:szCs w:val="17"/>
                <w:lang w:val="en-IE" w:eastAsia="en-IE"/>
              </w:rPr>
              <w:t> </w:t>
            </w:r>
          </w:p>
        </w:tc>
        <w:tc>
          <w:tcPr>
            <w:tcW w:w="877" w:type="dxa"/>
            <w:tcBorders>
              <w:top w:val="nil"/>
              <w:left w:val="nil"/>
              <w:bottom w:val="single" w:sz="4" w:space="0" w:color="auto"/>
              <w:right w:val="single" w:sz="4" w:space="0" w:color="auto"/>
            </w:tcBorders>
            <w:shd w:val="clear" w:color="auto" w:fill="auto"/>
            <w:noWrap/>
            <w:vAlign w:val="center"/>
            <w:hideMark/>
          </w:tcPr>
          <w:p w14:paraId="17C52F7B" w14:textId="77777777" w:rsidR="00B1438B" w:rsidRPr="006945D7" w:rsidRDefault="00B1438B" w:rsidP="00A05B52">
            <w:pPr>
              <w:jc w:val="right"/>
              <w:rPr>
                <w:rFonts w:ascii="Calibri" w:hAnsi="Calibri" w:cs="Calibri"/>
                <w:color w:val="000000"/>
                <w:sz w:val="17"/>
                <w:szCs w:val="17"/>
                <w:highlight w:val="yellow"/>
                <w:lang w:val="en-IE" w:eastAsia="en-IE"/>
              </w:rPr>
            </w:pPr>
            <w:r w:rsidRPr="00FA4C0B">
              <w:rPr>
                <w:rFonts w:ascii="Calibri" w:hAnsi="Calibri" w:cs="Calibri"/>
                <w:color w:val="000000"/>
                <w:sz w:val="17"/>
                <w:szCs w:val="17"/>
                <w:lang w:val="en-IE" w:eastAsia="en-IE"/>
              </w:rPr>
              <w:t>(11</w:t>
            </w:r>
            <w:r>
              <w:rPr>
                <w:rFonts w:ascii="Calibri" w:hAnsi="Calibri" w:cs="Calibri"/>
                <w:color w:val="000000"/>
                <w:sz w:val="17"/>
                <w:szCs w:val="17"/>
                <w:lang w:val="en-IE" w:eastAsia="en-IE"/>
              </w:rPr>
              <w:t>6</w:t>
            </w:r>
            <w:r w:rsidRPr="00FA4C0B">
              <w:rPr>
                <w:rFonts w:ascii="Calibri" w:hAnsi="Calibri" w:cs="Calibri"/>
                <w:color w:val="000000"/>
                <w:sz w:val="17"/>
                <w:szCs w:val="17"/>
                <w:lang w:val="en-IE" w:eastAsia="en-IE"/>
              </w:rPr>
              <w:t>)</w:t>
            </w:r>
          </w:p>
        </w:tc>
        <w:tc>
          <w:tcPr>
            <w:tcW w:w="824" w:type="dxa"/>
            <w:tcBorders>
              <w:top w:val="nil"/>
              <w:left w:val="nil"/>
              <w:bottom w:val="single" w:sz="4" w:space="0" w:color="auto"/>
              <w:right w:val="single" w:sz="4" w:space="0" w:color="auto"/>
            </w:tcBorders>
            <w:shd w:val="clear" w:color="000000" w:fill="F2F2F2"/>
            <w:noWrap/>
            <w:vAlign w:val="center"/>
            <w:hideMark/>
          </w:tcPr>
          <w:p w14:paraId="02BB3251" w14:textId="77777777" w:rsidR="00B1438B" w:rsidRPr="00FA4C0B" w:rsidRDefault="00B1438B" w:rsidP="00A05B52">
            <w:pPr>
              <w:jc w:val="right"/>
              <w:rPr>
                <w:rFonts w:ascii="Calibri" w:hAnsi="Calibri" w:cs="Calibri"/>
                <w:color w:val="000000"/>
                <w:sz w:val="17"/>
                <w:szCs w:val="17"/>
                <w:lang w:val="en-IE" w:eastAsia="en-IE"/>
              </w:rPr>
            </w:pPr>
            <w:r w:rsidRPr="00FA4C0B">
              <w:rPr>
                <w:rFonts w:ascii="Calibri" w:hAnsi="Calibri" w:cs="Calibri"/>
                <w:color w:val="000000"/>
                <w:sz w:val="17"/>
                <w:szCs w:val="17"/>
                <w:lang w:val="en-IE" w:eastAsia="en-IE"/>
              </w:rPr>
              <w:t>(65</w:t>
            </w:r>
            <w:r>
              <w:rPr>
                <w:rFonts w:ascii="Calibri" w:hAnsi="Calibri" w:cs="Calibri"/>
                <w:color w:val="000000"/>
                <w:sz w:val="17"/>
                <w:szCs w:val="17"/>
                <w:lang w:val="en-IE" w:eastAsia="en-IE"/>
              </w:rPr>
              <w:t>0</w:t>
            </w:r>
            <w:r w:rsidRPr="00FA4C0B">
              <w:rPr>
                <w:rFonts w:ascii="Calibri" w:hAnsi="Calibri" w:cs="Calibri"/>
                <w:color w:val="000000"/>
                <w:sz w:val="17"/>
                <w:szCs w:val="17"/>
                <w:lang w:val="en-IE" w:eastAsia="en-IE"/>
              </w:rPr>
              <w:t>)</w:t>
            </w:r>
          </w:p>
        </w:tc>
        <w:tc>
          <w:tcPr>
            <w:tcW w:w="737" w:type="dxa"/>
            <w:tcBorders>
              <w:top w:val="nil"/>
              <w:left w:val="nil"/>
              <w:bottom w:val="single" w:sz="4" w:space="0" w:color="auto"/>
              <w:right w:val="single" w:sz="4" w:space="0" w:color="auto"/>
            </w:tcBorders>
            <w:shd w:val="clear" w:color="000000" w:fill="F2F2F2"/>
            <w:noWrap/>
            <w:vAlign w:val="center"/>
            <w:hideMark/>
          </w:tcPr>
          <w:p w14:paraId="6285FC7B" w14:textId="77777777" w:rsidR="00B1438B" w:rsidRPr="00FA4C0B" w:rsidRDefault="00B1438B" w:rsidP="00A05B52">
            <w:pPr>
              <w:jc w:val="right"/>
              <w:rPr>
                <w:rFonts w:ascii="Calibri" w:hAnsi="Calibri" w:cs="Calibri"/>
                <w:color w:val="000000"/>
                <w:sz w:val="17"/>
                <w:szCs w:val="17"/>
                <w:lang w:val="en-IE" w:eastAsia="en-IE"/>
              </w:rPr>
            </w:pPr>
            <w:r w:rsidRPr="00FA4C0B">
              <w:rPr>
                <w:rFonts w:ascii="Calibri" w:hAnsi="Calibri" w:cs="Calibri"/>
                <w:color w:val="000000"/>
                <w:sz w:val="17"/>
                <w:szCs w:val="17"/>
                <w:lang w:val="en-IE" w:eastAsia="en-IE"/>
              </w:rPr>
              <w:t> </w:t>
            </w:r>
          </w:p>
        </w:tc>
        <w:tc>
          <w:tcPr>
            <w:tcW w:w="877" w:type="dxa"/>
            <w:tcBorders>
              <w:top w:val="nil"/>
              <w:left w:val="nil"/>
              <w:bottom w:val="single" w:sz="4" w:space="0" w:color="auto"/>
              <w:right w:val="single" w:sz="4" w:space="0" w:color="auto"/>
            </w:tcBorders>
            <w:shd w:val="clear" w:color="000000" w:fill="F2F2F2"/>
            <w:noWrap/>
            <w:vAlign w:val="center"/>
            <w:hideMark/>
          </w:tcPr>
          <w:p w14:paraId="4933D739" w14:textId="77777777" w:rsidR="00B1438B" w:rsidRPr="006945D7" w:rsidRDefault="00B1438B" w:rsidP="00A05B52">
            <w:pPr>
              <w:jc w:val="right"/>
              <w:rPr>
                <w:rFonts w:ascii="Calibri" w:hAnsi="Calibri" w:cs="Calibri"/>
                <w:color w:val="000000"/>
                <w:sz w:val="17"/>
                <w:szCs w:val="17"/>
                <w:highlight w:val="yellow"/>
                <w:lang w:val="en-IE" w:eastAsia="en-IE"/>
              </w:rPr>
            </w:pPr>
            <w:r w:rsidRPr="00FA4C0B">
              <w:rPr>
                <w:rFonts w:ascii="Calibri" w:hAnsi="Calibri" w:cs="Calibri"/>
                <w:color w:val="000000"/>
                <w:sz w:val="17"/>
                <w:szCs w:val="17"/>
                <w:lang w:val="en-IE" w:eastAsia="en-IE"/>
              </w:rPr>
              <w:t>(65</w:t>
            </w:r>
            <w:r>
              <w:rPr>
                <w:rFonts w:ascii="Calibri" w:hAnsi="Calibri" w:cs="Calibri"/>
                <w:color w:val="000000"/>
                <w:sz w:val="17"/>
                <w:szCs w:val="17"/>
                <w:lang w:val="en-IE" w:eastAsia="en-IE"/>
              </w:rPr>
              <w:t>0</w:t>
            </w:r>
            <w:r w:rsidRPr="00FA4C0B">
              <w:rPr>
                <w:rFonts w:ascii="Calibri" w:hAnsi="Calibri" w:cs="Calibri"/>
                <w:color w:val="000000"/>
                <w:sz w:val="17"/>
                <w:szCs w:val="17"/>
                <w:lang w:val="en-IE" w:eastAsia="en-IE"/>
              </w:rPr>
              <w:t>)</w:t>
            </w:r>
          </w:p>
        </w:tc>
      </w:tr>
      <w:tr w:rsidR="00B1438B" w:rsidRPr="003B39E3" w14:paraId="12D235C9" w14:textId="77777777" w:rsidTr="00A05B52">
        <w:trPr>
          <w:trHeight w:val="51"/>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6C0B472" w14:textId="77777777" w:rsidR="00B1438B" w:rsidRPr="003B39E3" w:rsidRDefault="00B1438B" w:rsidP="00A05B52">
            <w:pPr>
              <w:rPr>
                <w:rFonts w:ascii="Calibri" w:hAnsi="Calibri" w:cs="Calibri"/>
                <w:color w:val="000000"/>
                <w:sz w:val="10"/>
                <w:szCs w:val="10"/>
                <w:lang w:val="en-IE" w:eastAsia="en-IE"/>
              </w:rPr>
            </w:pPr>
            <w:r w:rsidRPr="003B39E3">
              <w:rPr>
                <w:rFonts w:ascii="Calibri" w:hAnsi="Calibri" w:cs="Calibri"/>
                <w:color w:val="000000"/>
                <w:sz w:val="10"/>
                <w:szCs w:val="10"/>
                <w:lang w:val="en-IE" w:eastAsia="en-I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69D755F3" w14:textId="77777777" w:rsidR="00B1438B" w:rsidRPr="006D7AEF" w:rsidRDefault="00B1438B" w:rsidP="00A05B52">
            <w:pPr>
              <w:jc w:val="right"/>
              <w:rPr>
                <w:rFonts w:ascii="Calibri" w:hAnsi="Calibri" w:cs="Calibri"/>
                <w:color w:val="000000"/>
                <w:sz w:val="10"/>
                <w:szCs w:val="10"/>
                <w:lang w:val="en-IE" w:eastAsia="en-IE"/>
              </w:rPr>
            </w:pPr>
            <w:r w:rsidRPr="006D7AEF">
              <w:rPr>
                <w:rFonts w:ascii="Calibri" w:hAnsi="Calibri" w:cs="Calibri"/>
                <w:color w:val="000000"/>
                <w:sz w:val="10"/>
                <w:szCs w:val="10"/>
                <w:lang w:val="en-IE" w:eastAsia="en-IE"/>
              </w:rPr>
              <w:t> </w:t>
            </w:r>
          </w:p>
        </w:tc>
        <w:tc>
          <w:tcPr>
            <w:tcW w:w="850" w:type="dxa"/>
            <w:tcBorders>
              <w:top w:val="nil"/>
              <w:left w:val="nil"/>
              <w:bottom w:val="single" w:sz="4" w:space="0" w:color="auto"/>
              <w:right w:val="single" w:sz="4" w:space="0" w:color="auto"/>
            </w:tcBorders>
            <w:shd w:val="clear" w:color="000000" w:fill="F2F2F2"/>
            <w:noWrap/>
            <w:vAlign w:val="center"/>
            <w:hideMark/>
          </w:tcPr>
          <w:p w14:paraId="050931A2" w14:textId="77777777" w:rsidR="00B1438B" w:rsidRPr="006D7AEF" w:rsidRDefault="00B1438B" w:rsidP="00A05B52">
            <w:pPr>
              <w:jc w:val="right"/>
              <w:rPr>
                <w:rFonts w:ascii="Calibri" w:hAnsi="Calibri" w:cs="Calibri"/>
                <w:color w:val="000000"/>
                <w:sz w:val="10"/>
                <w:szCs w:val="10"/>
                <w:lang w:val="en-IE" w:eastAsia="en-IE"/>
              </w:rPr>
            </w:pPr>
            <w:r w:rsidRPr="006D7AEF">
              <w:rPr>
                <w:rFonts w:ascii="Calibri" w:hAnsi="Calibri" w:cs="Calibri"/>
                <w:color w:val="000000"/>
                <w:sz w:val="10"/>
                <w:szCs w:val="10"/>
                <w:lang w:val="en-IE" w:eastAsia="en-IE"/>
              </w:rPr>
              <w:t> </w:t>
            </w:r>
          </w:p>
        </w:tc>
        <w:tc>
          <w:tcPr>
            <w:tcW w:w="993" w:type="dxa"/>
            <w:tcBorders>
              <w:top w:val="nil"/>
              <w:left w:val="nil"/>
              <w:bottom w:val="single" w:sz="4" w:space="0" w:color="auto"/>
              <w:right w:val="single" w:sz="4" w:space="0" w:color="auto"/>
            </w:tcBorders>
            <w:shd w:val="clear" w:color="000000" w:fill="F2F2F2"/>
            <w:noWrap/>
            <w:vAlign w:val="center"/>
            <w:hideMark/>
          </w:tcPr>
          <w:p w14:paraId="4CC1CBF9" w14:textId="77777777" w:rsidR="00B1438B" w:rsidRPr="006945D7" w:rsidRDefault="00B1438B" w:rsidP="00A05B52">
            <w:pPr>
              <w:jc w:val="right"/>
              <w:rPr>
                <w:rFonts w:ascii="Calibri" w:hAnsi="Calibri" w:cs="Calibri"/>
                <w:color w:val="000000"/>
                <w:sz w:val="10"/>
                <w:szCs w:val="10"/>
                <w:highlight w:val="yellow"/>
                <w:lang w:val="en-IE" w:eastAsia="en-IE"/>
              </w:rPr>
            </w:pPr>
            <w:r w:rsidRPr="006D7AEF">
              <w:rPr>
                <w:rFonts w:ascii="Calibri" w:hAnsi="Calibri" w:cs="Calibri"/>
                <w:color w:val="000000"/>
                <w:sz w:val="10"/>
                <w:szCs w:val="10"/>
                <w:lang w:val="en-IE" w:eastAsia="en-IE"/>
              </w:rPr>
              <w:t> </w:t>
            </w:r>
          </w:p>
        </w:tc>
        <w:tc>
          <w:tcPr>
            <w:tcW w:w="850" w:type="dxa"/>
            <w:tcBorders>
              <w:top w:val="nil"/>
              <w:left w:val="nil"/>
              <w:bottom w:val="single" w:sz="4" w:space="0" w:color="auto"/>
              <w:right w:val="single" w:sz="4" w:space="0" w:color="auto"/>
            </w:tcBorders>
            <w:shd w:val="clear" w:color="auto" w:fill="auto"/>
            <w:noWrap/>
            <w:vAlign w:val="center"/>
            <w:hideMark/>
          </w:tcPr>
          <w:p w14:paraId="41BAEB2B" w14:textId="77777777" w:rsidR="00B1438B" w:rsidRPr="002E3808" w:rsidRDefault="00B1438B" w:rsidP="00A05B52">
            <w:pPr>
              <w:jc w:val="right"/>
              <w:rPr>
                <w:rFonts w:ascii="Calibri" w:hAnsi="Calibri" w:cs="Calibri"/>
                <w:color w:val="000000"/>
                <w:sz w:val="10"/>
                <w:szCs w:val="10"/>
                <w:lang w:val="en-IE" w:eastAsia="en-IE"/>
              </w:rPr>
            </w:pPr>
            <w:r w:rsidRPr="002E3808">
              <w:rPr>
                <w:rFonts w:ascii="Calibri" w:hAnsi="Calibri" w:cs="Calibri"/>
                <w:color w:val="000000"/>
                <w:sz w:val="10"/>
                <w:szCs w:val="10"/>
                <w:lang w:val="en-IE" w:eastAsia="en-IE"/>
              </w:rPr>
              <w:t> </w:t>
            </w:r>
          </w:p>
        </w:tc>
        <w:tc>
          <w:tcPr>
            <w:tcW w:w="851" w:type="dxa"/>
            <w:tcBorders>
              <w:top w:val="nil"/>
              <w:left w:val="nil"/>
              <w:bottom w:val="single" w:sz="4" w:space="0" w:color="auto"/>
              <w:right w:val="single" w:sz="4" w:space="0" w:color="auto"/>
            </w:tcBorders>
            <w:shd w:val="clear" w:color="auto" w:fill="auto"/>
            <w:noWrap/>
            <w:vAlign w:val="center"/>
            <w:hideMark/>
          </w:tcPr>
          <w:p w14:paraId="3ADCB70C" w14:textId="77777777" w:rsidR="00B1438B" w:rsidRPr="000D5A98" w:rsidRDefault="00B1438B" w:rsidP="00A05B52">
            <w:pPr>
              <w:jc w:val="right"/>
              <w:rPr>
                <w:rFonts w:ascii="Calibri" w:hAnsi="Calibri" w:cs="Calibri"/>
                <w:color w:val="000000"/>
                <w:sz w:val="10"/>
                <w:szCs w:val="10"/>
                <w:lang w:val="en-IE" w:eastAsia="en-IE"/>
              </w:rPr>
            </w:pPr>
            <w:r w:rsidRPr="000D5A98">
              <w:rPr>
                <w:rFonts w:ascii="Calibri" w:hAnsi="Calibri" w:cs="Calibri"/>
                <w:color w:val="000000"/>
                <w:sz w:val="10"/>
                <w:szCs w:val="10"/>
                <w:lang w:val="en-IE" w:eastAsia="en-IE"/>
              </w:rPr>
              <w:t> </w:t>
            </w:r>
          </w:p>
        </w:tc>
        <w:tc>
          <w:tcPr>
            <w:tcW w:w="877" w:type="dxa"/>
            <w:tcBorders>
              <w:top w:val="nil"/>
              <w:left w:val="nil"/>
              <w:bottom w:val="single" w:sz="4" w:space="0" w:color="auto"/>
              <w:right w:val="single" w:sz="4" w:space="0" w:color="auto"/>
            </w:tcBorders>
            <w:shd w:val="clear" w:color="auto" w:fill="auto"/>
            <w:noWrap/>
            <w:vAlign w:val="center"/>
            <w:hideMark/>
          </w:tcPr>
          <w:p w14:paraId="40672CD0" w14:textId="77777777" w:rsidR="00B1438B" w:rsidRPr="006945D7" w:rsidRDefault="00B1438B" w:rsidP="00A05B52">
            <w:pPr>
              <w:jc w:val="right"/>
              <w:rPr>
                <w:rFonts w:ascii="Calibri" w:hAnsi="Calibri" w:cs="Calibri"/>
                <w:color w:val="000000"/>
                <w:sz w:val="10"/>
                <w:szCs w:val="10"/>
                <w:highlight w:val="yellow"/>
                <w:lang w:val="en-IE" w:eastAsia="en-IE"/>
              </w:rPr>
            </w:pPr>
            <w:r w:rsidRPr="002E3808">
              <w:rPr>
                <w:rFonts w:ascii="Calibri" w:hAnsi="Calibri" w:cs="Calibri"/>
                <w:color w:val="000000"/>
                <w:sz w:val="10"/>
                <w:szCs w:val="10"/>
                <w:lang w:val="en-IE" w:eastAsia="en-IE"/>
              </w:rPr>
              <w:t> </w:t>
            </w:r>
          </w:p>
        </w:tc>
        <w:tc>
          <w:tcPr>
            <w:tcW w:w="824" w:type="dxa"/>
            <w:tcBorders>
              <w:top w:val="nil"/>
              <w:left w:val="nil"/>
              <w:bottom w:val="single" w:sz="4" w:space="0" w:color="auto"/>
              <w:right w:val="single" w:sz="4" w:space="0" w:color="auto"/>
            </w:tcBorders>
            <w:shd w:val="clear" w:color="000000" w:fill="F2F2F2"/>
            <w:noWrap/>
            <w:vAlign w:val="center"/>
            <w:hideMark/>
          </w:tcPr>
          <w:p w14:paraId="512EFF27" w14:textId="77777777" w:rsidR="00B1438B" w:rsidRPr="00433524" w:rsidRDefault="00B1438B" w:rsidP="00A05B52">
            <w:pPr>
              <w:jc w:val="right"/>
              <w:rPr>
                <w:rFonts w:ascii="Calibri" w:hAnsi="Calibri" w:cs="Calibri"/>
                <w:color w:val="000000"/>
                <w:sz w:val="10"/>
                <w:szCs w:val="10"/>
                <w:lang w:val="en-IE" w:eastAsia="en-IE"/>
              </w:rPr>
            </w:pPr>
            <w:r w:rsidRPr="00433524">
              <w:rPr>
                <w:rFonts w:ascii="Calibri" w:hAnsi="Calibri" w:cs="Calibri"/>
                <w:color w:val="000000"/>
                <w:sz w:val="10"/>
                <w:szCs w:val="10"/>
                <w:lang w:val="en-IE" w:eastAsia="en-IE"/>
              </w:rPr>
              <w:t> </w:t>
            </w:r>
          </w:p>
        </w:tc>
        <w:tc>
          <w:tcPr>
            <w:tcW w:w="737" w:type="dxa"/>
            <w:tcBorders>
              <w:top w:val="nil"/>
              <w:left w:val="nil"/>
              <w:bottom w:val="single" w:sz="4" w:space="0" w:color="auto"/>
              <w:right w:val="single" w:sz="4" w:space="0" w:color="auto"/>
            </w:tcBorders>
            <w:shd w:val="clear" w:color="000000" w:fill="F2F2F2"/>
            <w:noWrap/>
            <w:vAlign w:val="center"/>
            <w:hideMark/>
          </w:tcPr>
          <w:p w14:paraId="12FF61F9" w14:textId="77777777" w:rsidR="00B1438B" w:rsidRPr="00433524" w:rsidRDefault="00B1438B" w:rsidP="00A05B52">
            <w:pPr>
              <w:jc w:val="right"/>
              <w:rPr>
                <w:rFonts w:ascii="Calibri" w:hAnsi="Calibri" w:cs="Calibri"/>
                <w:color w:val="000000"/>
                <w:sz w:val="10"/>
                <w:szCs w:val="10"/>
                <w:lang w:val="en-IE" w:eastAsia="en-IE"/>
              </w:rPr>
            </w:pPr>
            <w:r w:rsidRPr="00433524">
              <w:rPr>
                <w:rFonts w:ascii="Calibri" w:hAnsi="Calibri" w:cs="Calibri"/>
                <w:color w:val="000000"/>
                <w:sz w:val="10"/>
                <w:szCs w:val="10"/>
                <w:lang w:val="en-IE" w:eastAsia="en-IE"/>
              </w:rPr>
              <w:t> </w:t>
            </w:r>
          </w:p>
        </w:tc>
        <w:tc>
          <w:tcPr>
            <w:tcW w:w="877" w:type="dxa"/>
            <w:tcBorders>
              <w:top w:val="nil"/>
              <w:left w:val="nil"/>
              <w:bottom w:val="single" w:sz="4" w:space="0" w:color="auto"/>
              <w:right w:val="single" w:sz="4" w:space="0" w:color="auto"/>
            </w:tcBorders>
            <w:shd w:val="clear" w:color="000000" w:fill="F2F2F2"/>
            <w:noWrap/>
            <w:vAlign w:val="center"/>
            <w:hideMark/>
          </w:tcPr>
          <w:p w14:paraId="6A5E4906" w14:textId="77777777" w:rsidR="00B1438B" w:rsidRPr="006945D7" w:rsidRDefault="00B1438B" w:rsidP="00A05B52">
            <w:pPr>
              <w:jc w:val="right"/>
              <w:rPr>
                <w:rFonts w:ascii="Calibri" w:hAnsi="Calibri" w:cs="Calibri"/>
                <w:color w:val="000000"/>
                <w:sz w:val="10"/>
                <w:szCs w:val="10"/>
                <w:highlight w:val="yellow"/>
                <w:lang w:val="en-IE" w:eastAsia="en-IE"/>
              </w:rPr>
            </w:pPr>
            <w:r w:rsidRPr="00433524">
              <w:rPr>
                <w:rFonts w:ascii="Calibri" w:hAnsi="Calibri" w:cs="Calibri"/>
                <w:color w:val="000000"/>
                <w:sz w:val="10"/>
                <w:szCs w:val="10"/>
                <w:lang w:val="en-IE" w:eastAsia="en-IE"/>
              </w:rPr>
              <w:t> </w:t>
            </w:r>
          </w:p>
        </w:tc>
        <w:tc>
          <w:tcPr>
            <w:tcW w:w="824" w:type="dxa"/>
            <w:tcBorders>
              <w:top w:val="nil"/>
              <w:left w:val="nil"/>
              <w:bottom w:val="single" w:sz="4" w:space="0" w:color="auto"/>
              <w:right w:val="single" w:sz="4" w:space="0" w:color="auto"/>
            </w:tcBorders>
            <w:shd w:val="clear" w:color="auto" w:fill="auto"/>
            <w:noWrap/>
            <w:vAlign w:val="center"/>
            <w:hideMark/>
          </w:tcPr>
          <w:p w14:paraId="3E245488" w14:textId="77777777" w:rsidR="00B1438B" w:rsidRPr="00FA4C0B" w:rsidRDefault="00B1438B" w:rsidP="00A05B52">
            <w:pPr>
              <w:jc w:val="right"/>
              <w:rPr>
                <w:rFonts w:ascii="Calibri" w:hAnsi="Calibri" w:cs="Calibri"/>
                <w:color w:val="000000"/>
                <w:sz w:val="10"/>
                <w:szCs w:val="10"/>
                <w:lang w:val="en-IE" w:eastAsia="en-IE"/>
              </w:rPr>
            </w:pPr>
            <w:r w:rsidRPr="00FA4C0B">
              <w:rPr>
                <w:rFonts w:ascii="Calibri" w:hAnsi="Calibri" w:cs="Calibri"/>
                <w:color w:val="000000"/>
                <w:sz w:val="10"/>
                <w:szCs w:val="10"/>
                <w:lang w:val="en-IE" w:eastAsia="en-IE"/>
              </w:rPr>
              <w:t> </w:t>
            </w:r>
          </w:p>
        </w:tc>
        <w:tc>
          <w:tcPr>
            <w:tcW w:w="737" w:type="dxa"/>
            <w:tcBorders>
              <w:top w:val="nil"/>
              <w:left w:val="nil"/>
              <w:bottom w:val="single" w:sz="4" w:space="0" w:color="auto"/>
              <w:right w:val="single" w:sz="4" w:space="0" w:color="auto"/>
            </w:tcBorders>
            <w:shd w:val="clear" w:color="auto" w:fill="auto"/>
            <w:noWrap/>
            <w:vAlign w:val="center"/>
            <w:hideMark/>
          </w:tcPr>
          <w:p w14:paraId="12CBA7B9" w14:textId="77777777" w:rsidR="00B1438B" w:rsidRPr="00FA4C0B" w:rsidRDefault="00B1438B" w:rsidP="00A05B52">
            <w:pPr>
              <w:jc w:val="right"/>
              <w:rPr>
                <w:rFonts w:ascii="Calibri" w:hAnsi="Calibri" w:cs="Calibri"/>
                <w:color w:val="000000"/>
                <w:sz w:val="10"/>
                <w:szCs w:val="10"/>
                <w:lang w:val="en-IE" w:eastAsia="en-IE"/>
              </w:rPr>
            </w:pPr>
            <w:r w:rsidRPr="00FA4C0B">
              <w:rPr>
                <w:rFonts w:ascii="Calibri" w:hAnsi="Calibri" w:cs="Calibri"/>
                <w:color w:val="000000"/>
                <w:sz w:val="10"/>
                <w:szCs w:val="10"/>
                <w:lang w:val="en-IE" w:eastAsia="en-IE"/>
              </w:rPr>
              <w:t> </w:t>
            </w:r>
          </w:p>
        </w:tc>
        <w:tc>
          <w:tcPr>
            <w:tcW w:w="877" w:type="dxa"/>
            <w:tcBorders>
              <w:top w:val="nil"/>
              <w:left w:val="nil"/>
              <w:bottom w:val="single" w:sz="4" w:space="0" w:color="auto"/>
              <w:right w:val="single" w:sz="4" w:space="0" w:color="auto"/>
            </w:tcBorders>
            <w:shd w:val="clear" w:color="auto" w:fill="auto"/>
            <w:noWrap/>
            <w:vAlign w:val="center"/>
            <w:hideMark/>
          </w:tcPr>
          <w:p w14:paraId="29EE0E2B" w14:textId="77777777" w:rsidR="00B1438B" w:rsidRPr="006945D7" w:rsidRDefault="00B1438B" w:rsidP="00A05B52">
            <w:pPr>
              <w:jc w:val="right"/>
              <w:rPr>
                <w:rFonts w:ascii="Calibri" w:hAnsi="Calibri" w:cs="Calibri"/>
                <w:color w:val="000000"/>
                <w:sz w:val="10"/>
                <w:szCs w:val="10"/>
                <w:highlight w:val="yellow"/>
                <w:lang w:val="en-IE" w:eastAsia="en-IE"/>
              </w:rPr>
            </w:pPr>
            <w:r w:rsidRPr="00FA4C0B">
              <w:rPr>
                <w:rFonts w:ascii="Calibri" w:hAnsi="Calibri" w:cs="Calibri"/>
                <w:color w:val="000000"/>
                <w:sz w:val="10"/>
                <w:szCs w:val="10"/>
                <w:lang w:val="en-IE" w:eastAsia="en-IE"/>
              </w:rPr>
              <w:t> </w:t>
            </w:r>
          </w:p>
        </w:tc>
        <w:tc>
          <w:tcPr>
            <w:tcW w:w="824" w:type="dxa"/>
            <w:tcBorders>
              <w:top w:val="nil"/>
              <w:left w:val="nil"/>
              <w:bottom w:val="single" w:sz="4" w:space="0" w:color="auto"/>
              <w:right w:val="single" w:sz="4" w:space="0" w:color="auto"/>
            </w:tcBorders>
            <w:shd w:val="clear" w:color="000000" w:fill="F2F2F2"/>
            <w:noWrap/>
            <w:vAlign w:val="center"/>
            <w:hideMark/>
          </w:tcPr>
          <w:p w14:paraId="2CA256AC" w14:textId="77777777" w:rsidR="00B1438B" w:rsidRPr="00FA4C0B" w:rsidRDefault="00B1438B" w:rsidP="00A05B52">
            <w:pPr>
              <w:jc w:val="right"/>
              <w:rPr>
                <w:rFonts w:ascii="Calibri" w:hAnsi="Calibri" w:cs="Calibri"/>
                <w:color w:val="000000"/>
                <w:sz w:val="10"/>
                <w:szCs w:val="10"/>
                <w:lang w:val="en-IE" w:eastAsia="en-IE"/>
              </w:rPr>
            </w:pPr>
            <w:r w:rsidRPr="00FA4C0B">
              <w:rPr>
                <w:rFonts w:ascii="Calibri" w:hAnsi="Calibri" w:cs="Calibri"/>
                <w:color w:val="000000"/>
                <w:sz w:val="10"/>
                <w:szCs w:val="10"/>
                <w:lang w:val="en-IE" w:eastAsia="en-IE"/>
              </w:rPr>
              <w:t> </w:t>
            </w:r>
          </w:p>
        </w:tc>
        <w:tc>
          <w:tcPr>
            <w:tcW w:w="737" w:type="dxa"/>
            <w:tcBorders>
              <w:top w:val="nil"/>
              <w:left w:val="nil"/>
              <w:bottom w:val="single" w:sz="4" w:space="0" w:color="auto"/>
              <w:right w:val="single" w:sz="4" w:space="0" w:color="auto"/>
            </w:tcBorders>
            <w:shd w:val="clear" w:color="000000" w:fill="F2F2F2"/>
            <w:noWrap/>
            <w:vAlign w:val="center"/>
            <w:hideMark/>
          </w:tcPr>
          <w:p w14:paraId="6AE3D029" w14:textId="77777777" w:rsidR="00B1438B" w:rsidRPr="00FA4C0B" w:rsidRDefault="00B1438B" w:rsidP="00A05B52">
            <w:pPr>
              <w:jc w:val="right"/>
              <w:rPr>
                <w:rFonts w:ascii="Calibri" w:hAnsi="Calibri" w:cs="Calibri"/>
                <w:color w:val="000000"/>
                <w:sz w:val="10"/>
                <w:szCs w:val="10"/>
                <w:lang w:val="en-IE" w:eastAsia="en-IE"/>
              </w:rPr>
            </w:pPr>
            <w:r w:rsidRPr="00FA4C0B">
              <w:rPr>
                <w:rFonts w:ascii="Calibri" w:hAnsi="Calibri" w:cs="Calibri"/>
                <w:color w:val="000000"/>
                <w:sz w:val="10"/>
                <w:szCs w:val="10"/>
                <w:lang w:val="en-IE" w:eastAsia="en-IE"/>
              </w:rPr>
              <w:t> </w:t>
            </w:r>
          </w:p>
        </w:tc>
        <w:tc>
          <w:tcPr>
            <w:tcW w:w="877" w:type="dxa"/>
            <w:tcBorders>
              <w:top w:val="nil"/>
              <w:left w:val="nil"/>
              <w:bottom w:val="single" w:sz="4" w:space="0" w:color="auto"/>
              <w:right w:val="single" w:sz="4" w:space="0" w:color="auto"/>
            </w:tcBorders>
            <w:shd w:val="clear" w:color="000000" w:fill="F2F2F2"/>
            <w:noWrap/>
            <w:vAlign w:val="center"/>
            <w:hideMark/>
          </w:tcPr>
          <w:p w14:paraId="40B5A044" w14:textId="77777777" w:rsidR="00B1438B" w:rsidRPr="006945D7" w:rsidRDefault="00B1438B" w:rsidP="00A05B52">
            <w:pPr>
              <w:jc w:val="right"/>
              <w:rPr>
                <w:rFonts w:ascii="Calibri" w:hAnsi="Calibri" w:cs="Calibri"/>
                <w:color w:val="000000"/>
                <w:sz w:val="10"/>
                <w:szCs w:val="10"/>
                <w:highlight w:val="yellow"/>
                <w:lang w:val="en-IE" w:eastAsia="en-IE"/>
              </w:rPr>
            </w:pPr>
            <w:r w:rsidRPr="00FA4C0B">
              <w:rPr>
                <w:rFonts w:ascii="Calibri" w:hAnsi="Calibri" w:cs="Calibri"/>
                <w:color w:val="000000"/>
                <w:sz w:val="10"/>
                <w:szCs w:val="10"/>
                <w:lang w:val="en-IE" w:eastAsia="en-IE"/>
              </w:rPr>
              <w:t> </w:t>
            </w:r>
          </w:p>
        </w:tc>
      </w:tr>
      <w:tr w:rsidR="00B1438B" w:rsidRPr="003B39E3" w14:paraId="197B5160" w14:textId="77777777" w:rsidTr="00A05B52">
        <w:trPr>
          <w:trHeight w:val="254"/>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56614C5" w14:textId="77777777" w:rsidR="00B1438B" w:rsidRPr="003B39E3" w:rsidRDefault="00B1438B" w:rsidP="00A05B52">
            <w:pPr>
              <w:rPr>
                <w:rFonts w:ascii="Calibri" w:hAnsi="Calibri" w:cs="Calibri"/>
                <w:b/>
                <w:bCs/>
                <w:color w:val="000000"/>
                <w:sz w:val="17"/>
                <w:szCs w:val="17"/>
                <w:lang w:val="en-IE" w:eastAsia="en-IE"/>
              </w:rPr>
            </w:pPr>
            <w:r w:rsidRPr="003B39E3">
              <w:rPr>
                <w:rFonts w:ascii="Calibri" w:hAnsi="Calibri" w:cs="Calibri"/>
                <w:b/>
                <w:bCs/>
                <w:color w:val="000000"/>
                <w:sz w:val="17"/>
                <w:szCs w:val="17"/>
                <w:lang w:val="en-IE" w:eastAsia="en-IE"/>
              </w:rPr>
              <w:t>Gross Profit</w:t>
            </w:r>
          </w:p>
        </w:tc>
        <w:tc>
          <w:tcPr>
            <w:tcW w:w="851" w:type="dxa"/>
            <w:tcBorders>
              <w:top w:val="nil"/>
              <w:left w:val="nil"/>
              <w:bottom w:val="single" w:sz="4" w:space="0" w:color="auto"/>
              <w:right w:val="single" w:sz="4" w:space="0" w:color="auto"/>
            </w:tcBorders>
            <w:shd w:val="clear" w:color="000000" w:fill="F2F2F2"/>
            <w:noWrap/>
            <w:vAlign w:val="center"/>
            <w:hideMark/>
          </w:tcPr>
          <w:p w14:paraId="58379E9C" w14:textId="77777777" w:rsidR="00B1438B" w:rsidRPr="00F91068" w:rsidRDefault="00B1438B" w:rsidP="00A05B52">
            <w:pPr>
              <w:jc w:val="right"/>
              <w:rPr>
                <w:rFonts w:ascii="Calibri" w:hAnsi="Calibri" w:cs="Calibri"/>
                <w:b/>
                <w:bCs/>
                <w:color w:val="000000"/>
                <w:sz w:val="17"/>
                <w:szCs w:val="17"/>
                <w:lang w:val="en-IE" w:eastAsia="en-IE"/>
              </w:rPr>
            </w:pPr>
            <w:r w:rsidRPr="00F91068">
              <w:rPr>
                <w:rFonts w:ascii="Calibri" w:hAnsi="Calibri" w:cs="Calibri"/>
                <w:b/>
                <w:bCs/>
                <w:color w:val="000000"/>
                <w:sz w:val="17"/>
                <w:szCs w:val="17"/>
                <w:lang w:val="en-IE" w:eastAsia="en-IE"/>
              </w:rPr>
              <w:t>723</w:t>
            </w:r>
          </w:p>
        </w:tc>
        <w:tc>
          <w:tcPr>
            <w:tcW w:w="850" w:type="dxa"/>
            <w:tcBorders>
              <w:top w:val="nil"/>
              <w:left w:val="nil"/>
              <w:bottom w:val="single" w:sz="4" w:space="0" w:color="auto"/>
              <w:right w:val="single" w:sz="4" w:space="0" w:color="auto"/>
            </w:tcBorders>
            <w:shd w:val="clear" w:color="000000" w:fill="F2F2F2"/>
            <w:noWrap/>
            <w:vAlign w:val="center"/>
            <w:hideMark/>
          </w:tcPr>
          <w:p w14:paraId="68CCA6BA" w14:textId="77777777" w:rsidR="00B1438B" w:rsidRPr="00F91068" w:rsidRDefault="00B1438B" w:rsidP="00A05B52">
            <w:pPr>
              <w:jc w:val="right"/>
              <w:rPr>
                <w:rFonts w:ascii="Calibri" w:hAnsi="Calibri" w:cs="Calibri"/>
                <w:b/>
                <w:bCs/>
                <w:color w:val="000000"/>
                <w:sz w:val="17"/>
                <w:szCs w:val="17"/>
                <w:lang w:val="en-IE" w:eastAsia="en-IE"/>
              </w:rPr>
            </w:pPr>
            <w:r w:rsidRPr="00F91068">
              <w:rPr>
                <w:rFonts w:ascii="Calibri" w:hAnsi="Calibri" w:cs="Calibri"/>
                <w:b/>
                <w:bCs/>
                <w:color w:val="000000"/>
                <w:sz w:val="17"/>
                <w:szCs w:val="17"/>
                <w:lang w:val="en-IE" w:eastAsia="en-IE"/>
              </w:rPr>
              <w:t> </w:t>
            </w:r>
          </w:p>
        </w:tc>
        <w:tc>
          <w:tcPr>
            <w:tcW w:w="993" w:type="dxa"/>
            <w:tcBorders>
              <w:top w:val="nil"/>
              <w:left w:val="nil"/>
              <w:bottom w:val="single" w:sz="4" w:space="0" w:color="auto"/>
              <w:right w:val="single" w:sz="4" w:space="0" w:color="auto"/>
            </w:tcBorders>
            <w:shd w:val="clear" w:color="000000" w:fill="F2F2F2"/>
            <w:noWrap/>
            <w:vAlign w:val="center"/>
            <w:hideMark/>
          </w:tcPr>
          <w:p w14:paraId="0E252888" w14:textId="77777777" w:rsidR="00B1438B" w:rsidRPr="00F91068" w:rsidRDefault="00B1438B" w:rsidP="00A05B52">
            <w:pPr>
              <w:jc w:val="right"/>
              <w:rPr>
                <w:rFonts w:ascii="Calibri" w:hAnsi="Calibri" w:cs="Calibri"/>
                <w:b/>
                <w:bCs/>
                <w:color w:val="000000"/>
                <w:sz w:val="17"/>
                <w:szCs w:val="17"/>
                <w:lang w:val="en-IE" w:eastAsia="en-IE"/>
              </w:rPr>
            </w:pPr>
            <w:r w:rsidRPr="00F91068">
              <w:rPr>
                <w:rFonts w:ascii="Calibri" w:hAnsi="Calibri" w:cs="Calibri"/>
                <w:b/>
                <w:bCs/>
                <w:color w:val="000000"/>
                <w:sz w:val="17"/>
                <w:szCs w:val="17"/>
                <w:lang w:val="en-IE" w:eastAsia="en-IE"/>
              </w:rPr>
              <w:t>723</w:t>
            </w:r>
          </w:p>
        </w:tc>
        <w:tc>
          <w:tcPr>
            <w:tcW w:w="850" w:type="dxa"/>
            <w:tcBorders>
              <w:top w:val="nil"/>
              <w:left w:val="nil"/>
              <w:bottom w:val="single" w:sz="4" w:space="0" w:color="auto"/>
              <w:right w:val="single" w:sz="4" w:space="0" w:color="auto"/>
            </w:tcBorders>
            <w:shd w:val="clear" w:color="auto" w:fill="auto"/>
            <w:noWrap/>
            <w:vAlign w:val="center"/>
            <w:hideMark/>
          </w:tcPr>
          <w:p w14:paraId="42909FA8" w14:textId="77777777" w:rsidR="00B1438B" w:rsidRPr="00F91068" w:rsidRDefault="00B1438B" w:rsidP="00A05B52">
            <w:pPr>
              <w:jc w:val="right"/>
              <w:rPr>
                <w:rFonts w:ascii="Calibri" w:hAnsi="Calibri" w:cs="Calibri"/>
                <w:b/>
                <w:bCs/>
                <w:color w:val="000000"/>
                <w:sz w:val="17"/>
                <w:szCs w:val="17"/>
                <w:lang w:val="en-IE" w:eastAsia="en-IE"/>
              </w:rPr>
            </w:pPr>
            <w:r w:rsidRPr="00F91068">
              <w:rPr>
                <w:rFonts w:ascii="Calibri" w:hAnsi="Calibri" w:cs="Calibri"/>
                <w:b/>
                <w:bCs/>
                <w:color w:val="000000"/>
                <w:sz w:val="17"/>
                <w:szCs w:val="17"/>
                <w:lang w:val="en-IE" w:eastAsia="en-IE"/>
              </w:rPr>
              <w:t>264</w:t>
            </w:r>
          </w:p>
        </w:tc>
        <w:tc>
          <w:tcPr>
            <w:tcW w:w="851" w:type="dxa"/>
            <w:tcBorders>
              <w:top w:val="nil"/>
              <w:left w:val="nil"/>
              <w:bottom w:val="single" w:sz="4" w:space="0" w:color="auto"/>
              <w:right w:val="single" w:sz="4" w:space="0" w:color="auto"/>
            </w:tcBorders>
            <w:shd w:val="clear" w:color="auto" w:fill="auto"/>
            <w:noWrap/>
            <w:vAlign w:val="center"/>
            <w:hideMark/>
          </w:tcPr>
          <w:p w14:paraId="4149B6FD" w14:textId="77777777" w:rsidR="00B1438B" w:rsidRPr="00F91068" w:rsidRDefault="00B1438B" w:rsidP="00A05B52">
            <w:pPr>
              <w:jc w:val="right"/>
              <w:rPr>
                <w:rFonts w:ascii="Calibri" w:hAnsi="Calibri" w:cs="Calibri"/>
                <w:b/>
                <w:bCs/>
                <w:color w:val="000000"/>
                <w:sz w:val="17"/>
                <w:szCs w:val="17"/>
                <w:lang w:val="en-IE" w:eastAsia="en-IE"/>
              </w:rPr>
            </w:pPr>
            <w:r w:rsidRPr="00F91068">
              <w:rPr>
                <w:rFonts w:ascii="Calibri" w:hAnsi="Calibri" w:cs="Calibri"/>
                <w:b/>
                <w:bCs/>
                <w:color w:val="000000"/>
                <w:sz w:val="17"/>
                <w:szCs w:val="17"/>
                <w:lang w:val="en-IE" w:eastAsia="en-IE"/>
              </w:rPr>
              <w:t> </w:t>
            </w:r>
          </w:p>
        </w:tc>
        <w:tc>
          <w:tcPr>
            <w:tcW w:w="877" w:type="dxa"/>
            <w:tcBorders>
              <w:top w:val="nil"/>
              <w:left w:val="nil"/>
              <w:bottom w:val="single" w:sz="4" w:space="0" w:color="auto"/>
              <w:right w:val="single" w:sz="4" w:space="0" w:color="auto"/>
            </w:tcBorders>
            <w:shd w:val="clear" w:color="auto" w:fill="auto"/>
            <w:noWrap/>
            <w:vAlign w:val="center"/>
            <w:hideMark/>
          </w:tcPr>
          <w:p w14:paraId="43FDE246" w14:textId="77777777" w:rsidR="00B1438B" w:rsidRPr="00A028FD" w:rsidRDefault="00B1438B" w:rsidP="00A05B52">
            <w:pPr>
              <w:jc w:val="right"/>
              <w:rPr>
                <w:rFonts w:ascii="Calibri" w:hAnsi="Calibri"/>
                <w:b/>
                <w:color w:val="000000"/>
                <w:sz w:val="17"/>
                <w:lang w:val="en-IE"/>
              </w:rPr>
            </w:pPr>
            <w:r w:rsidRPr="00F91068">
              <w:rPr>
                <w:rFonts w:ascii="Calibri" w:hAnsi="Calibri" w:cs="Calibri"/>
                <w:b/>
                <w:bCs/>
                <w:color w:val="000000"/>
                <w:sz w:val="17"/>
                <w:szCs w:val="17"/>
                <w:lang w:val="en-IE" w:eastAsia="en-IE"/>
              </w:rPr>
              <w:t>264</w:t>
            </w:r>
          </w:p>
        </w:tc>
        <w:tc>
          <w:tcPr>
            <w:tcW w:w="824" w:type="dxa"/>
            <w:tcBorders>
              <w:top w:val="nil"/>
              <w:left w:val="nil"/>
              <w:bottom w:val="single" w:sz="4" w:space="0" w:color="auto"/>
              <w:right w:val="single" w:sz="4" w:space="0" w:color="auto"/>
            </w:tcBorders>
            <w:shd w:val="clear" w:color="000000" w:fill="F2F2F2"/>
            <w:noWrap/>
            <w:vAlign w:val="center"/>
            <w:hideMark/>
          </w:tcPr>
          <w:p w14:paraId="7DDE7383" w14:textId="77777777" w:rsidR="00B1438B" w:rsidRPr="00F91068" w:rsidRDefault="00B1438B" w:rsidP="00A05B52">
            <w:pPr>
              <w:jc w:val="right"/>
              <w:rPr>
                <w:rFonts w:ascii="Calibri" w:hAnsi="Calibri" w:cs="Calibri"/>
                <w:b/>
                <w:bCs/>
                <w:color w:val="000000"/>
                <w:sz w:val="17"/>
                <w:szCs w:val="17"/>
                <w:lang w:val="en-IE" w:eastAsia="en-IE"/>
              </w:rPr>
            </w:pPr>
            <w:r w:rsidRPr="00F91068">
              <w:rPr>
                <w:rFonts w:ascii="Calibri" w:hAnsi="Calibri" w:cs="Calibri"/>
                <w:b/>
                <w:bCs/>
                <w:color w:val="000000"/>
                <w:sz w:val="17"/>
                <w:szCs w:val="17"/>
                <w:lang w:val="en-IE" w:eastAsia="en-IE"/>
              </w:rPr>
              <w:t>242</w:t>
            </w:r>
          </w:p>
        </w:tc>
        <w:tc>
          <w:tcPr>
            <w:tcW w:w="737" w:type="dxa"/>
            <w:tcBorders>
              <w:top w:val="nil"/>
              <w:left w:val="nil"/>
              <w:bottom w:val="single" w:sz="4" w:space="0" w:color="auto"/>
              <w:right w:val="single" w:sz="4" w:space="0" w:color="auto"/>
            </w:tcBorders>
            <w:shd w:val="clear" w:color="000000" w:fill="F2F2F2"/>
            <w:noWrap/>
            <w:vAlign w:val="center"/>
            <w:hideMark/>
          </w:tcPr>
          <w:p w14:paraId="5A0271DB" w14:textId="77777777" w:rsidR="00B1438B" w:rsidRPr="00F91068" w:rsidRDefault="00B1438B" w:rsidP="00A05B52">
            <w:pPr>
              <w:jc w:val="right"/>
              <w:rPr>
                <w:rFonts w:ascii="Calibri" w:hAnsi="Calibri" w:cs="Calibri"/>
                <w:b/>
                <w:bCs/>
                <w:color w:val="000000"/>
                <w:sz w:val="17"/>
                <w:szCs w:val="17"/>
                <w:lang w:val="en-IE" w:eastAsia="en-IE"/>
              </w:rPr>
            </w:pPr>
            <w:r w:rsidRPr="00F91068">
              <w:rPr>
                <w:rFonts w:ascii="Calibri" w:hAnsi="Calibri" w:cs="Calibri"/>
                <w:b/>
                <w:bCs/>
                <w:color w:val="000000"/>
                <w:sz w:val="17"/>
                <w:szCs w:val="17"/>
                <w:lang w:val="en-IE" w:eastAsia="en-IE"/>
              </w:rPr>
              <w:t> </w:t>
            </w:r>
          </w:p>
        </w:tc>
        <w:tc>
          <w:tcPr>
            <w:tcW w:w="877" w:type="dxa"/>
            <w:tcBorders>
              <w:top w:val="nil"/>
              <w:left w:val="nil"/>
              <w:bottom w:val="single" w:sz="4" w:space="0" w:color="auto"/>
              <w:right w:val="single" w:sz="4" w:space="0" w:color="auto"/>
            </w:tcBorders>
            <w:shd w:val="clear" w:color="000000" w:fill="F2F2F2"/>
            <w:noWrap/>
            <w:vAlign w:val="center"/>
            <w:hideMark/>
          </w:tcPr>
          <w:p w14:paraId="2AD6D5C5" w14:textId="77777777" w:rsidR="00B1438B" w:rsidRPr="00A028FD" w:rsidRDefault="00B1438B" w:rsidP="00A05B52">
            <w:pPr>
              <w:jc w:val="right"/>
              <w:rPr>
                <w:rFonts w:ascii="Calibri" w:hAnsi="Calibri"/>
                <w:b/>
                <w:color w:val="000000"/>
                <w:sz w:val="17"/>
                <w:lang w:val="en-IE"/>
              </w:rPr>
            </w:pPr>
            <w:r w:rsidRPr="00F91068">
              <w:rPr>
                <w:rFonts w:ascii="Calibri" w:hAnsi="Calibri" w:cs="Calibri"/>
                <w:b/>
                <w:bCs/>
                <w:color w:val="000000"/>
                <w:sz w:val="17"/>
                <w:szCs w:val="17"/>
                <w:lang w:val="en-IE" w:eastAsia="en-IE"/>
              </w:rPr>
              <w:t>242</w:t>
            </w:r>
          </w:p>
        </w:tc>
        <w:tc>
          <w:tcPr>
            <w:tcW w:w="824" w:type="dxa"/>
            <w:tcBorders>
              <w:top w:val="nil"/>
              <w:left w:val="nil"/>
              <w:bottom w:val="single" w:sz="4" w:space="0" w:color="auto"/>
              <w:right w:val="single" w:sz="4" w:space="0" w:color="auto"/>
            </w:tcBorders>
            <w:shd w:val="clear" w:color="auto" w:fill="auto"/>
            <w:noWrap/>
            <w:vAlign w:val="center"/>
            <w:hideMark/>
          </w:tcPr>
          <w:p w14:paraId="0ED3C009" w14:textId="77777777" w:rsidR="00B1438B" w:rsidRPr="00F91068" w:rsidRDefault="00B1438B" w:rsidP="00A05B52">
            <w:pPr>
              <w:jc w:val="right"/>
              <w:rPr>
                <w:rFonts w:ascii="Calibri" w:hAnsi="Calibri" w:cs="Calibri"/>
                <w:b/>
                <w:bCs/>
                <w:color w:val="000000"/>
                <w:sz w:val="17"/>
                <w:szCs w:val="17"/>
                <w:lang w:val="en-IE" w:eastAsia="en-IE"/>
              </w:rPr>
            </w:pPr>
            <w:r w:rsidRPr="00F91068">
              <w:rPr>
                <w:rFonts w:ascii="Calibri" w:hAnsi="Calibri" w:cs="Calibri"/>
                <w:b/>
                <w:bCs/>
                <w:color w:val="000000"/>
                <w:sz w:val="17"/>
                <w:szCs w:val="17"/>
                <w:lang w:val="en-IE" w:eastAsia="en-IE"/>
              </w:rPr>
              <w:t>261</w:t>
            </w:r>
          </w:p>
        </w:tc>
        <w:tc>
          <w:tcPr>
            <w:tcW w:w="737" w:type="dxa"/>
            <w:tcBorders>
              <w:top w:val="nil"/>
              <w:left w:val="nil"/>
              <w:bottom w:val="single" w:sz="4" w:space="0" w:color="auto"/>
              <w:right w:val="single" w:sz="4" w:space="0" w:color="auto"/>
            </w:tcBorders>
            <w:shd w:val="clear" w:color="auto" w:fill="auto"/>
            <w:noWrap/>
            <w:vAlign w:val="center"/>
            <w:hideMark/>
          </w:tcPr>
          <w:p w14:paraId="6C7AC819" w14:textId="77777777" w:rsidR="00B1438B" w:rsidRPr="00F91068" w:rsidRDefault="00B1438B" w:rsidP="00A05B52">
            <w:pPr>
              <w:jc w:val="right"/>
              <w:rPr>
                <w:rFonts w:ascii="Calibri" w:hAnsi="Calibri" w:cs="Calibri"/>
                <w:b/>
                <w:bCs/>
                <w:color w:val="000000"/>
                <w:sz w:val="17"/>
                <w:szCs w:val="17"/>
                <w:lang w:val="en-IE" w:eastAsia="en-IE"/>
              </w:rPr>
            </w:pPr>
            <w:r w:rsidRPr="00F91068">
              <w:rPr>
                <w:rFonts w:ascii="Calibri" w:hAnsi="Calibri" w:cs="Calibri"/>
                <w:b/>
                <w:bCs/>
                <w:color w:val="000000"/>
                <w:sz w:val="17"/>
                <w:szCs w:val="17"/>
                <w:lang w:val="en-IE" w:eastAsia="en-IE"/>
              </w:rPr>
              <w:t> </w:t>
            </w:r>
          </w:p>
        </w:tc>
        <w:tc>
          <w:tcPr>
            <w:tcW w:w="877" w:type="dxa"/>
            <w:tcBorders>
              <w:top w:val="nil"/>
              <w:left w:val="nil"/>
              <w:bottom w:val="single" w:sz="4" w:space="0" w:color="auto"/>
              <w:right w:val="single" w:sz="4" w:space="0" w:color="auto"/>
            </w:tcBorders>
            <w:shd w:val="clear" w:color="auto" w:fill="auto"/>
            <w:noWrap/>
            <w:vAlign w:val="center"/>
            <w:hideMark/>
          </w:tcPr>
          <w:p w14:paraId="3D5B5514" w14:textId="77777777" w:rsidR="00B1438B" w:rsidRPr="00A028FD" w:rsidRDefault="00B1438B" w:rsidP="00A05B52">
            <w:pPr>
              <w:jc w:val="right"/>
              <w:rPr>
                <w:rFonts w:ascii="Calibri" w:hAnsi="Calibri"/>
                <w:b/>
                <w:color w:val="000000"/>
                <w:sz w:val="17"/>
                <w:lang w:val="en-IE"/>
              </w:rPr>
            </w:pPr>
            <w:r w:rsidRPr="00F91068">
              <w:rPr>
                <w:rFonts w:ascii="Calibri" w:hAnsi="Calibri" w:cs="Calibri"/>
                <w:b/>
                <w:bCs/>
                <w:color w:val="000000"/>
                <w:sz w:val="17"/>
                <w:szCs w:val="17"/>
                <w:lang w:val="en-IE" w:eastAsia="en-IE"/>
              </w:rPr>
              <w:t>261</w:t>
            </w:r>
          </w:p>
        </w:tc>
        <w:tc>
          <w:tcPr>
            <w:tcW w:w="824" w:type="dxa"/>
            <w:tcBorders>
              <w:top w:val="nil"/>
              <w:left w:val="nil"/>
              <w:bottom w:val="single" w:sz="4" w:space="0" w:color="auto"/>
              <w:right w:val="single" w:sz="4" w:space="0" w:color="auto"/>
            </w:tcBorders>
            <w:shd w:val="clear" w:color="000000" w:fill="F2F2F2"/>
            <w:noWrap/>
            <w:vAlign w:val="center"/>
            <w:hideMark/>
          </w:tcPr>
          <w:p w14:paraId="73DBAC9D" w14:textId="77777777" w:rsidR="00B1438B" w:rsidRPr="00F91068" w:rsidRDefault="00B1438B" w:rsidP="00A05B52">
            <w:pPr>
              <w:jc w:val="right"/>
              <w:rPr>
                <w:rFonts w:ascii="Calibri" w:hAnsi="Calibri" w:cs="Calibri"/>
                <w:b/>
                <w:bCs/>
                <w:color w:val="000000"/>
                <w:sz w:val="17"/>
                <w:szCs w:val="17"/>
                <w:lang w:val="en-IE" w:eastAsia="en-IE"/>
              </w:rPr>
            </w:pPr>
            <w:r w:rsidRPr="00F91068">
              <w:rPr>
                <w:rFonts w:ascii="Calibri" w:hAnsi="Calibri" w:cs="Calibri"/>
                <w:b/>
                <w:bCs/>
                <w:color w:val="000000"/>
                <w:sz w:val="17"/>
                <w:szCs w:val="17"/>
                <w:lang w:val="en-IE" w:eastAsia="en-IE"/>
              </w:rPr>
              <w:t>1,490</w:t>
            </w:r>
          </w:p>
        </w:tc>
        <w:tc>
          <w:tcPr>
            <w:tcW w:w="737" w:type="dxa"/>
            <w:tcBorders>
              <w:top w:val="nil"/>
              <w:left w:val="nil"/>
              <w:bottom w:val="single" w:sz="4" w:space="0" w:color="auto"/>
              <w:right w:val="single" w:sz="4" w:space="0" w:color="auto"/>
            </w:tcBorders>
            <w:shd w:val="clear" w:color="000000" w:fill="F2F2F2"/>
            <w:noWrap/>
            <w:vAlign w:val="center"/>
            <w:hideMark/>
          </w:tcPr>
          <w:p w14:paraId="4D7A06C2" w14:textId="77777777" w:rsidR="00B1438B" w:rsidRPr="00F91068" w:rsidRDefault="00B1438B" w:rsidP="00A05B52">
            <w:pPr>
              <w:jc w:val="right"/>
              <w:rPr>
                <w:rFonts w:ascii="Calibri" w:hAnsi="Calibri" w:cs="Calibri"/>
                <w:b/>
                <w:bCs/>
                <w:color w:val="000000"/>
                <w:sz w:val="17"/>
                <w:szCs w:val="17"/>
                <w:lang w:val="en-IE" w:eastAsia="en-IE"/>
              </w:rPr>
            </w:pPr>
            <w:r w:rsidRPr="00F91068">
              <w:rPr>
                <w:rFonts w:ascii="Calibri" w:hAnsi="Calibri" w:cs="Calibri"/>
                <w:b/>
                <w:bCs/>
                <w:color w:val="000000"/>
                <w:sz w:val="17"/>
                <w:szCs w:val="17"/>
                <w:lang w:val="en-IE" w:eastAsia="en-IE"/>
              </w:rPr>
              <w:t> </w:t>
            </w:r>
          </w:p>
        </w:tc>
        <w:tc>
          <w:tcPr>
            <w:tcW w:w="877" w:type="dxa"/>
            <w:tcBorders>
              <w:top w:val="nil"/>
              <w:left w:val="nil"/>
              <w:bottom w:val="single" w:sz="4" w:space="0" w:color="auto"/>
              <w:right w:val="single" w:sz="4" w:space="0" w:color="auto"/>
            </w:tcBorders>
            <w:shd w:val="clear" w:color="000000" w:fill="F2F2F2"/>
            <w:noWrap/>
            <w:vAlign w:val="center"/>
            <w:hideMark/>
          </w:tcPr>
          <w:p w14:paraId="5D6226E7" w14:textId="77777777" w:rsidR="00B1438B" w:rsidRPr="00A028FD" w:rsidRDefault="00B1438B" w:rsidP="00A05B52">
            <w:pPr>
              <w:jc w:val="right"/>
              <w:rPr>
                <w:rFonts w:ascii="Calibri" w:hAnsi="Calibri"/>
                <w:b/>
                <w:color w:val="000000"/>
                <w:sz w:val="17"/>
                <w:lang w:val="en-IE"/>
              </w:rPr>
            </w:pPr>
            <w:r w:rsidRPr="00F91068">
              <w:rPr>
                <w:rFonts w:ascii="Calibri" w:hAnsi="Calibri" w:cs="Calibri"/>
                <w:b/>
                <w:bCs/>
                <w:color w:val="000000"/>
                <w:sz w:val="17"/>
                <w:szCs w:val="17"/>
                <w:lang w:val="en-IE" w:eastAsia="en-IE"/>
              </w:rPr>
              <w:t>1,490</w:t>
            </w:r>
          </w:p>
        </w:tc>
      </w:tr>
      <w:tr w:rsidR="00B1438B" w:rsidRPr="003B39E3" w14:paraId="0B73B756" w14:textId="77777777" w:rsidTr="00A05B52">
        <w:trPr>
          <w:trHeight w:val="51"/>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AED811B" w14:textId="77777777" w:rsidR="00B1438B" w:rsidRPr="003B39E3" w:rsidRDefault="00B1438B" w:rsidP="00A05B52">
            <w:pPr>
              <w:rPr>
                <w:rFonts w:ascii="Calibri" w:hAnsi="Calibri" w:cs="Calibri"/>
                <w:color w:val="000000"/>
                <w:sz w:val="10"/>
                <w:szCs w:val="10"/>
                <w:lang w:val="en-IE" w:eastAsia="en-IE"/>
              </w:rPr>
            </w:pPr>
            <w:r w:rsidRPr="003B39E3">
              <w:rPr>
                <w:rFonts w:ascii="Calibri" w:hAnsi="Calibri" w:cs="Calibri"/>
                <w:color w:val="000000"/>
                <w:sz w:val="10"/>
                <w:szCs w:val="10"/>
                <w:lang w:val="en-IE" w:eastAsia="en-I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747EA93E" w14:textId="77777777" w:rsidR="00B1438B" w:rsidRPr="00F91068" w:rsidRDefault="00B1438B" w:rsidP="00A05B52">
            <w:pPr>
              <w:jc w:val="right"/>
              <w:rPr>
                <w:rFonts w:ascii="Calibri" w:hAnsi="Calibri" w:cs="Calibri"/>
                <w:color w:val="000000"/>
                <w:sz w:val="10"/>
                <w:szCs w:val="10"/>
                <w:lang w:val="en-IE" w:eastAsia="en-IE"/>
              </w:rPr>
            </w:pPr>
            <w:r w:rsidRPr="00F91068">
              <w:rPr>
                <w:rFonts w:ascii="Calibri" w:hAnsi="Calibri" w:cs="Calibri"/>
                <w:color w:val="000000"/>
                <w:sz w:val="10"/>
                <w:szCs w:val="10"/>
                <w:lang w:val="en-IE" w:eastAsia="en-IE"/>
              </w:rPr>
              <w:t> </w:t>
            </w:r>
          </w:p>
        </w:tc>
        <w:tc>
          <w:tcPr>
            <w:tcW w:w="850" w:type="dxa"/>
            <w:tcBorders>
              <w:top w:val="nil"/>
              <w:left w:val="nil"/>
              <w:bottom w:val="single" w:sz="4" w:space="0" w:color="auto"/>
              <w:right w:val="single" w:sz="4" w:space="0" w:color="auto"/>
            </w:tcBorders>
            <w:shd w:val="clear" w:color="000000" w:fill="F2F2F2"/>
            <w:noWrap/>
            <w:vAlign w:val="center"/>
            <w:hideMark/>
          </w:tcPr>
          <w:p w14:paraId="3A2FB7D2" w14:textId="77777777" w:rsidR="00B1438B" w:rsidRPr="00F91068" w:rsidRDefault="00B1438B" w:rsidP="00A05B52">
            <w:pPr>
              <w:jc w:val="right"/>
              <w:rPr>
                <w:rFonts w:ascii="Calibri" w:hAnsi="Calibri" w:cs="Calibri"/>
                <w:color w:val="000000"/>
                <w:sz w:val="10"/>
                <w:szCs w:val="10"/>
                <w:lang w:val="en-IE" w:eastAsia="en-IE"/>
              </w:rPr>
            </w:pPr>
            <w:r w:rsidRPr="00F91068">
              <w:rPr>
                <w:rFonts w:ascii="Calibri" w:hAnsi="Calibri" w:cs="Calibri"/>
                <w:color w:val="000000"/>
                <w:sz w:val="10"/>
                <w:szCs w:val="10"/>
                <w:lang w:val="en-IE" w:eastAsia="en-IE"/>
              </w:rPr>
              <w:t> </w:t>
            </w:r>
          </w:p>
        </w:tc>
        <w:tc>
          <w:tcPr>
            <w:tcW w:w="993" w:type="dxa"/>
            <w:tcBorders>
              <w:top w:val="nil"/>
              <w:left w:val="nil"/>
              <w:bottom w:val="single" w:sz="4" w:space="0" w:color="auto"/>
              <w:right w:val="single" w:sz="4" w:space="0" w:color="auto"/>
            </w:tcBorders>
            <w:shd w:val="clear" w:color="000000" w:fill="F2F2F2"/>
            <w:noWrap/>
            <w:vAlign w:val="center"/>
            <w:hideMark/>
          </w:tcPr>
          <w:p w14:paraId="53ABB659" w14:textId="77777777" w:rsidR="00B1438B" w:rsidRPr="00F91068" w:rsidRDefault="00B1438B" w:rsidP="00A05B52">
            <w:pPr>
              <w:jc w:val="right"/>
              <w:rPr>
                <w:rFonts w:ascii="Calibri" w:hAnsi="Calibri" w:cs="Calibri"/>
                <w:color w:val="000000"/>
                <w:sz w:val="10"/>
                <w:szCs w:val="10"/>
                <w:lang w:val="en-IE" w:eastAsia="en-IE"/>
              </w:rPr>
            </w:pPr>
            <w:r w:rsidRPr="00F91068">
              <w:rPr>
                <w:rFonts w:ascii="Calibri" w:hAnsi="Calibri" w:cs="Calibri"/>
                <w:color w:val="000000"/>
                <w:sz w:val="10"/>
                <w:szCs w:val="10"/>
                <w:lang w:val="en-IE" w:eastAsia="en-IE"/>
              </w:rPr>
              <w:t> </w:t>
            </w:r>
          </w:p>
        </w:tc>
        <w:tc>
          <w:tcPr>
            <w:tcW w:w="850" w:type="dxa"/>
            <w:tcBorders>
              <w:top w:val="nil"/>
              <w:left w:val="nil"/>
              <w:bottom w:val="single" w:sz="4" w:space="0" w:color="auto"/>
              <w:right w:val="single" w:sz="4" w:space="0" w:color="auto"/>
            </w:tcBorders>
            <w:shd w:val="clear" w:color="auto" w:fill="auto"/>
            <w:noWrap/>
            <w:vAlign w:val="center"/>
            <w:hideMark/>
          </w:tcPr>
          <w:p w14:paraId="7D7F63F9" w14:textId="77777777" w:rsidR="00B1438B" w:rsidRPr="00F91068" w:rsidRDefault="00B1438B" w:rsidP="00A05B52">
            <w:pPr>
              <w:jc w:val="right"/>
              <w:rPr>
                <w:rFonts w:ascii="Calibri" w:hAnsi="Calibri" w:cs="Calibri"/>
                <w:color w:val="000000"/>
                <w:sz w:val="10"/>
                <w:szCs w:val="10"/>
                <w:lang w:val="en-IE" w:eastAsia="en-IE"/>
              </w:rPr>
            </w:pPr>
            <w:r w:rsidRPr="00F91068">
              <w:rPr>
                <w:rFonts w:ascii="Calibri" w:hAnsi="Calibri" w:cs="Calibri"/>
                <w:color w:val="000000"/>
                <w:sz w:val="10"/>
                <w:szCs w:val="10"/>
                <w:lang w:val="en-IE" w:eastAsia="en-IE"/>
              </w:rPr>
              <w:t> </w:t>
            </w:r>
          </w:p>
        </w:tc>
        <w:tc>
          <w:tcPr>
            <w:tcW w:w="851" w:type="dxa"/>
            <w:tcBorders>
              <w:top w:val="nil"/>
              <w:left w:val="nil"/>
              <w:bottom w:val="single" w:sz="4" w:space="0" w:color="auto"/>
              <w:right w:val="single" w:sz="4" w:space="0" w:color="auto"/>
            </w:tcBorders>
            <w:shd w:val="clear" w:color="auto" w:fill="auto"/>
            <w:noWrap/>
            <w:vAlign w:val="center"/>
            <w:hideMark/>
          </w:tcPr>
          <w:p w14:paraId="1B2B3A06" w14:textId="77777777" w:rsidR="00B1438B" w:rsidRPr="00F91068" w:rsidRDefault="00B1438B" w:rsidP="00A05B52">
            <w:pPr>
              <w:jc w:val="right"/>
              <w:rPr>
                <w:rFonts w:ascii="Calibri" w:hAnsi="Calibri" w:cs="Calibri"/>
                <w:color w:val="000000"/>
                <w:sz w:val="10"/>
                <w:szCs w:val="10"/>
                <w:lang w:val="en-IE" w:eastAsia="en-IE"/>
              </w:rPr>
            </w:pPr>
            <w:r w:rsidRPr="00F91068">
              <w:rPr>
                <w:rFonts w:ascii="Calibri" w:hAnsi="Calibri" w:cs="Calibri"/>
                <w:color w:val="000000"/>
                <w:sz w:val="10"/>
                <w:szCs w:val="10"/>
                <w:lang w:val="en-IE" w:eastAsia="en-IE"/>
              </w:rPr>
              <w:t> </w:t>
            </w:r>
          </w:p>
        </w:tc>
        <w:tc>
          <w:tcPr>
            <w:tcW w:w="877" w:type="dxa"/>
            <w:tcBorders>
              <w:top w:val="nil"/>
              <w:left w:val="nil"/>
              <w:bottom w:val="single" w:sz="4" w:space="0" w:color="auto"/>
              <w:right w:val="single" w:sz="4" w:space="0" w:color="auto"/>
            </w:tcBorders>
            <w:shd w:val="clear" w:color="auto" w:fill="auto"/>
            <w:noWrap/>
            <w:vAlign w:val="center"/>
            <w:hideMark/>
          </w:tcPr>
          <w:p w14:paraId="645DC7AD" w14:textId="77777777" w:rsidR="00B1438B" w:rsidRPr="00A028FD" w:rsidRDefault="00B1438B" w:rsidP="00A05B52">
            <w:pPr>
              <w:jc w:val="right"/>
              <w:rPr>
                <w:rFonts w:ascii="Calibri" w:hAnsi="Calibri"/>
                <w:color w:val="000000"/>
                <w:sz w:val="10"/>
                <w:lang w:val="en-IE"/>
              </w:rPr>
            </w:pPr>
            <w:r w:rsidRPr="00A028FD">
              <w:rPr>
                <w:rFonts w:ascii="Calibri" w:hAnsi="Calibri"/>
                <w:color w:val="000000"/>
                <w:sz w:val="10"/>
                <w:lang w:val="en-IE"/>
              </w:rPr>
              <w:t> </w:t>
            </w:r>
          </w:p>
        </w:tc>
        <w:tc>
          <w:tcPr>
            <w:tcW w:w="824" w:type="dxa"/>
            <w:tcBorders>
              <w:top w:val="nil"/>
              <w:left w:val="nil"/>
              <w:bottom w:val="single" w:sz="4" w:space="0" w:color="auto"/>
              <w:right w:val="single" w:sz="4" w:space="0" w:color="auto"/>
            </w:tcBorders>
            <w:shd w:val="clear" w:color="000000" w:fill="F2F2F2"/>
            <w:noWrap/>
            <w:vAlign w:val="center"/>
            <w:hideMark/>
          </w:tcPr>
          <w:p w14:paraId="7CC22D55" w14:textId="77777777" w:rsidR="00B1438B" w:rsidRPr="00F91068" w:rsidRDefault="00B1438B" w:rsidP="00A05B52">
            <w:pPr>
              <w:jc w:val="right"/>
              <w:rPr>
                <w:rFonts w:ascii="Calibri" w:hAnsi="Calibri" w:cs="Calibri"/>
                <w:color w:val="000000"/>
                <w:sz w:val="10"/>
                <w:szCs w:val="10"/>
                <w:lang w:val="en-IE" w:eastAsia="en-IE"/>
              </w:rPr>
            </w:pPr>
            <w:r w:rsidRPr="00F91068">
              <w:rPr>
                <w:rFonts w:ascii="Calibri" w:hAnsi="Calibri" w:cs="Calibri"/>
                <w:color w:val="000000"/>
                <w:sz w:val="10"/>
                <w:szCs w:val="10"/>
                <w:lang w:val="en-IE" w:eastAsia="en-IE"/>
              </w:rPr>
              <w:t> </w:t>
            </w:r>
          </w:p>
        </w:tc>
        <w:tc>
          <w:tcPr>
            <w:tcW w:w="737" w:type="dxa"/>
            <w:tcBorders>
              <w:top w:val="nil"/>
              <w:left w:val="nil"/>
              <w:bottom w:val="single" w:sz="4" w:space="0" w:color="auto"/>
              <w:right w:val="single" w:sz="4" w:space="0" w:color="auto"/>
            </w:tcBorders>
            <w:shd w:val="clear" w:color="000000" w:fill="F2F2F2"/>
            <w:noWrap/>
            <w:vAlign w:val="center"/>
            <w:hideMark/>
          </w:tcPr>
          <w:p w14:paraId="40520EE3" w14:textId="77777777" w:rsidR="00B1438B" w:rsidRPr="00F91068" w:rsidRDefault="00B1438B" w:rsidP="00A05B52">
            <w:pPr>
              <w:jc w:val="right"/>
              <w:rPr>
                <w:rFonts w:ascii="Calibri" w:hAnsi="Calibri" w:cs="Calibri"/>
                <w:color w:val="000000"/>
                <w:sz w:val="10"/>
                <w:szCs w:val="10"/>
                <w:lang w:val="en-IE" w:eastAsia="en-IE"/>
              </w:rPr>
            </w:pPr>
            <w:r w:rsidRPr="00F91068">
              <w:rPr>
                <w:rFonts w:ascii="Calibri" w:hAnsi="Calibri" w:cs="Calibri"/>
                <w:color w:val="000000"/>
                <w:sz w:val="10"/>
                <w:szCs w:val="10"/>
                <w:lang w:val="en-IE" w:eastAsia="en-IE"/>
              </w:rPr>
              <w:t> </w:t>
            </w:r>
          </w:p>
        </w:tc>
        <w:tc>
          <w:tcPr>
            <w:tcW w:w="877" w:type="dxa"/>
            <w:tcBorders>
              <w:top w:val="nil"/>
              <w:left w:val="nil"/>
              <w:bottom w:val="single" w:sz="4" w:space="0" w:color="auto"/>
              <w:right w:val="single" w:sz="4" w:space="0" w:color="auto"/>
            </w:tcBorders>
            <w:shd w:val="clear" w:color="000000" w:fill="F2F2F2"/>
            <w:noWrap/>
            <w:vAlign w:val="center"/>
            <w:hideMark/>
          </w:tcPr>
          <w:p w14:paraId="271201CB" w14:textId="77777777" w:rsidR="00B1438B" w:rsidRPr="00A028FD" w:rsidRDefault="00B1438B" w:rsidP="00A05B52">
            <w:pPr>
              <w:jc w:val="right"/>
              <w:rPr>
                <w:rFonts w:ascii="Calibri" w:hAnsi="Calibri"/>
                <w:color w:val="000000"/>
                <w:sz w:val="10"/>
                <w:lang w:val="en-IE"/>
              </w:rPr>
            </w:pPr>
            <w:r w:rsidRPr="00A028FD">
              <w:rPr>
                <w:rFonts w:ascii="Calibri" w:hAnsi="Calibri"/>
                <w:color w:val="000000"/>
                <w:sz w:val="10"/>
                <w:lang w:val="en-IE"/>
              </w:rPr>
              <w:t> </w:t>
            </w:r>
          </w:p>
        </w:tc>
        <w:tc>
          <w:tcPr>
            <w:tcW w:w="824" w:type="dxa"/>
            <w:tcBorders>
              <w:top w:val="nil"/>
              <w:left w:val="nil"/>
              <w:bottom w:val="single" w:sz="4" w:space="0" w:color="auto"/>
              <w:right w:val="single" w:sz="4" w:space="0" w:color="auto"/>
            </w:tcBorders>
            <w:shd w:val="clear" w:color="auto" w:fill="auto"/>
            <w:noWrap/>
            <w:vAlign w:val="center"/>
            <w:hideMark/>
          </w:tcPr>
          <w:p w14:paraId="78DB8EBA" w14:textId="77777777" w:rsidR="00B1438B" w:rsidRPr="00F91068" w:rsidRDefault="00B1438B" w:rsidP="00A05B52">
            <w:pPr>
              <w:jc w:val="right"/>
              <w:rPr>
                <w:rFonts w:ascii="Calibri" w:hAnsi="Calibri" w:cs="Calibri"/>
                <w:color w:val="000000"/>
                <w:sz w:val="10"/>
                <w:szCs w:val="10"/>
                <w:lang w:val="en-IE" w:eastAsia="en-IE"/>
              </w:rPr>
            </w:pPr>
            <w:r w:rsidRPr="00F91068">
              <w:rPr>
                <w:rFonts w:ascii="Calibri" w:hAnsi="Calibri" w:cs="Calibri"/>
                <w:color w:val="000000"/>
                <w:sz w:val="10"/>
                <w:szCs w:val="10"/>
                <w:lang w:val="en-IE" w:eastAsia="en-IE"/>
              </w:rPr>
              <w:t> </w:t>
            </w:r>
          </w:p>
        </w:tc>
        <w:tc>
          <w:tcPr>
            <w:tcW w:w="737" w:type="dxa"/>
            <w:tcBorders>
              <w:top w:val="nil"/>
              <w:left w:val="nil"/>
              <w:bottom w:val="single" w:sz="4" w:space="0" w:color="auto"/>
              <w:right w:val="single" w:sz="4" w:space="0" w:color="auto"/>
            </w:tcBorders>
            <w:shd w:val="clear" w:color="auto" w:fill="auto"/>
            <w:noWrap/>
            <w:vAlign w:val="center"/>
            <w:hideMark/>
          </w:tcPr>
          <w:p w14:paraId="19FF6870" w14:textId="77777777" w:rsidR="00B1438B" w:rsidRPr="00F91068" w:rsidRDefault="00B1438B" w:rsidP="00A05B52">
            <w:pPr>
              <w:jc w:val="right"/>
              <w:rPr>
                <w:rFonts w:ascii="Calibri" w:hAnsi="Calibri" w:cs="Calibri"/>
                <w:color w:val="000000"/>
                <w:sz w:val="10"/>
                <w:szCs w:val="10"/>
                <w:lang w:val="en-IE" w:eastAsia="en-IE"/>
              </w:rPr>
            </w:pPr>
            <w:r w:rsidRPr="00F91068">
              <w:rPr>
                <w:rFonts w:ascii="Calibri" w:hAnsi="Calibri" w:cs="Calibri"/>
                <w:color w:val="000000"/>
                <w:sz w:val="10"/>
                <w:szCs w:val="10"/>
                <w:lang w:val="en-IE" w:eastAsia="en-IE"/>
              </w:rPr>
              <w:t> </w:t>
            </w:r>
          </w:p>
        </w:tc>
        <w:tc>
          <w:tcPr>
            <w:tcW w:w="877" w:type="dxa"/>
            <w:tcBorders>
              <w:top w:val="nil"/>
              <w:left w:val="nil"/>
              <w:bottom w:val="single" w:sz="4" w:space="0" w:color="auto"/>
              <w:right w:val="single" w:sz="4" w:space="0" w:color="auto"/>
            </w:tcBorders>
            <w:shd w:val="clear" w:color="auto" w:fill="auto"/>
            <w:noWrap/>
            <w:vAlign w:val="center"/>
            <w:hideMark/>
          </w:tcPr>
          <w:p w14:paraId="765655B2" w14:textId="77777777" w:rsidR="00B1438B" w:rsidRPr="00A028FD" w:rsidRDefault="00B1438B" w:rsidP="00A05B52">
            <w:pPr>
              <w:jc w:val="right"/>
              <w:rPr>
                <w:rFonts w:ascii="Calibri" w:hAnsi="Calibri"/>
                <w:color w:val="000000"/>
                <w:sz w:val="10"/>
                <w:lang w:val="en-IE"/>
              </w:rPr>
            </w:pPr>
            <w:r w:rsidRPr="00A028FD">
              <w:rPr>
                <w:rFonts w:ascii="Calibri" w:hAnsi="Calibri"/>
                <w:color w:val="000000"/>
                <w:sz w:val="10"/>
                <w:lang w:val="en-IE"/>
              </w:rPr>
              <w:t> </w:t>
            </w:r>
          </w:p>
        </w:tc>
        <w:tc>
          <w:tcPr>
            <w:tcW w:w="824" w:type="dxa"/>
            <w:tcBorders>
              <w:top w:val="nil"/>
              <w:left w:val="nil"/>
              <w:bottom w:val="single" w:sz="4" w:space="0" w:color="auto"/>
              <w:right w:val="single" w:sz="4" w:space="0" w:color="auto"/>
            </w:tcBorders>
            <w:shd w:val="clear" w:color="000000" w:fill="F2F2F2"/>
            <w:noWrap/>
            <w:vAlign w:val="center"/>
            <w:hideMark/>
          </w:tcPr>
          <w:p w14:paraId="692272AA" w14:textId="77777777" w:rsidR="00B1438B" w:rsidRPr="00F91068" w:rsidRDefault="00B1438B" w:rsidP="00A05B52">
            <w:pPr>
              <w:jc w:val="right"/>
              <w:rPr>
                <w:rFonts w:ascii="Calibri" w:hAnsi="Calibri" w:cs="Calibri"/>
                <w:color w:val="000000"/>
                <w:sz w:val="10"/>
                <w:szCs w:val="10"/>
                <w:lang w:val="en-IE" w:eastAsia="en-IE"/>
              </w:rPr>
            </w:pPr>
            <w:r w:rsidRPr="00F91068">
              <w:rPr>
                <w:rFonts w:ascii="Calibri" w:hAnsi="Calibri" w:cs="Calibri"/>
                <w:color w:val="000000"/>
                <w:sz w:val="10"/>
                <w:szCs w:val="10"/>
                <w:lang w:val="en-IE" w:eastAsia="en-IE"/>
              </w:rPr>
              <w:t> </w:t>
            </w:r>
          </w:p>
        </w:tc>
        <w:tc>
          <w:tcPr>
            <w:tcW w:w="737" w:type="dxa"/>
            <w:tcBorders>
              <w:top w:val="nil"/>
              <w:left w:val="nil"/>
              <w:bottom w:val="single" w:sz="4" w:space="0" w:color="auto"/>
              <w:right w:val="single" w:sz="4" w:space="0" w:color="auto"/>
            </w:tcBorders>
            <w:shd w:val="clear" w:color="000000" w:fill="F2F2F2"/>
            <w:noWrap/>
            <w:vAlign w:val="center"/>
            <w:hideMark/>
          </w:tcPr>
          <w:p w14:paraId="6995DE43" w14:textId="77777777" w:rsidR="00B1438B" w:rsidRPr="00F91068" w:rsidRDefault="00B1438B" w:rsidP="00A05B52">
            <w:pPr>
              <w:jc w:val="right"/>
              <w:rPr>
                <w:rFonts w:ascii="Calibri" w:hAnsi="Calibri" w:cs="Calibri"/>
                <w:color w:val="000000"/>
                <w:sz w:val="10"/>
                <w:szCs w:val="10"/>
                <w:lang w:val="en-IE" w:eastAsia="en-IE"/>
              </w:rPr>
            </w:pPr>
            <w:r w:rsidRPr="00F91068">
              <w:rPr>
                <w:rFonts w:ascii="Calibri" w:hAnsi="Calibri" w:cs="Calibri"/>
                <w:color w:val="000000"/>
                <w:sz w:val="10"/>
                <w:szCs w:val="10"/>
                <w:lang w:val="en-IE" w:eastAsia="en-IE"/>
              </w:rPr>
              <w:t> </w:t>
            </w:r>
          </w:p>
        </w:tc>
        <w:tc>
          <w:tcPr>
            <w:tcW w:w="877" w:type="dxa"/>
            <w:tcBorders>
              <w:top w:val="nil"/>
              <w:left w:val="nil"/>
              <w:bottom w:val="single" w:sz="4" w:space="0" w:color="auto"/>
              <w:right w:val="single" w:sz="4" w:space="0" w:color="auto"/>
            </w:tcBorders>
            <w:shd w:val="clear" w:color="000000" w:fill="F2F2F2"/>
            <w:noWrap/>
            <w:vAlign w:val="center"/>
            <w:hideMark/>
          </w:tcPr>
          <w:p w14:paraId="357CAFDE" w14:textId="77777777" w:rsidR="00B1438B" w:rsidRPr="00A028FD" w:rsidRDefault="00B1438B" w:rsidP="00A05B52">
            <w:pPr>
              <w:jc w:val="right"/>
              <w:rPr>
                <w:rFonts w:ascii="Calibri" w:hAnsi="Calibri"/>
                <w:color w:val="000000"/>
                <w:sz w:val="10"/>
                <w:lang w:val="en-IE"/>
              </w:rPr>
            </w:pPr>
            <w:r w:rsidRPr="00A028FD">
              <w:rPr>
                <w:rFonts w:ascii="Calibri" w:hAnsi="Calibri"/>
                <w:color w:val="000000"/>
                <w:sz w:val="10"/>
                <w:lang w:val="en-IE"/>
              </w:rPr>
              <w:t> </w:t>
            </w:r>
          </w:p>
        </w:tc>
      </w:tr>
      <w:tr w:rsidR="00B1438B" w:rsidRPr="003B39E3" w14:paraId="7EB86C15" w14:textId="77777777" w:rsidTr="00A05B52">
        <w:trPr>
          <w:trHeight w:val="254"/>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14D0FFE" w14:textId="77777777" w:rsidR="00B1438B" w:rsidRPr="003B39E3" w:rsidRDefault="00B1438B" w:rsidP="00A05B52">
            <w:pPr>
              <w:rPr>
                <w:rFonts w:ascii="Calibri" w:hAnsi="Calibri" w:cs="Calibri"/>
                <w:b/>
                <w:bCs/>
                <w:color w:val="000000"/>
                <w:sz w:val="17"/>
                <w:szCs w:val="17"/>
                <w:lang w:val="en-IE" w:eastAsia="en-IE"/>
              </w:rPr>
            </w:pPr>
            <w:r w:rsidRPr="003B39E3">
              <w:rPr>
                <w:rFonts w:ascii="Calibri" w:hAnsi="Calibri" w:cs="Calibri"/>
                <w:b/>
                <w:bCs/>
                <w:color w:val="000000"/>
                <w:sz w:val="17"/>
                <w:szCs w:val="17"/>
                <w:lang w:val="en-IE" w:eastAsia="en-IE"/>
              </w:rPr>
              <w:t>Operating costs</w:t>
            </w:r>
          </w:p>
        </w:tc>
        <w:tc>
          <w:tcPr>
            <w:tcW w:w="851" w:type="dxa"/>
            <w:tcBorders>
              <w:top w:val="nil"/>
              <w:left w:val="nil"/>
              <w:bottom w:val="single" w:sz="4" w:space="0" w:color="auto"/>
              <w:right w:val="single" w:sz="4" w:space="0" w:color="auto"/>
            </w:tcBorders>
            <w:shd w:val="clear" w:color="000000" w:fill="F2F2F2"/>
            <w:noWrap/>
            <w:vAlign w:val="center"/>
            <w:hideMark/>
          </w:tcPr>
          <w:p w14:paraId="346B747E"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(41</w:t>
            </w:r>
            <w:r>
              <w:rPr>
                <w:rFonts w:ascii="Calibri" w:hAnsi="Calibri" w:cs="Calibri"/>
                <w:b/>
                <w:bCs/>
                <w:color w:val="000000"/>
                <w:sz w:val="17"/>
                <w:szCs w:val="17"/>
                <w:lang w:val="en-IE" w:eastAsia="en-IE"/>
              </w:rPr>
              <w:t>6</w:t>
            </w:r>
            <w:r w:rsidRPr="006D7AEF">
              <w:rPr>
                <w:rFonts w:ascii="Calibri" w:hAnsi="Calibri" w:cs="Calibri"/>
                <w:b/>
                <w:bCs/>
                <w:color w:val="000000"/>
                <w:sz w:val="17"/>
                <w:szCs w:val="17"/>
                <w:lang w:val="en-IE" w:eastAsia="en-IE"/>
              </w:rPr>
              <w:t>)</w:t>
            </w:r>
          </w:p>
        </w:tc>
        <w:tc>
          <w:tcPr>
            <w:tcW w:w="850" w:type="dxa"/>
            <w:tcBorders>
              <w:top w:val="nil"/>
              <w:left w:val="nil"/>
              <w:bottom w:val="single" w:sz="4" w:space="0" w:color="auto"/>
              <w:right w:val="single" w:sz="4" w:space="0" w:color="auto"/>
            </w:tcBorders>
            <w:shd w:val="clear" w:color="000000" w:fill="F2F2F2"/>
            <w:noWrap/>
            <w:vAlign w:val="center"/>
            <w:hideMark/>
          </w:tcPr>
          <w:p w14:paraId="1960CAEF" w14:textId="77777777" w:rsidR="00B1438B" w:rsidRPr="006D7AEF" w:rsidRDefault="00B1438B" w:rsidP="00A05B52">
            <w:pPr>
              <w:jc w:val="right"/>
              <w:rPr>
                <w:rFonts w:ascii="Calibri" w:hAnsi="Calibri" w:cs="Calibri"/>
                <w:b/>
                <w:bCs/>
                <w:color w:val="000000"/>
                <w:sz w:val="17"/>
                <w:szCs w:val="17"/>
                <w:lang w:val="en-IE" w:eastAsia="en-IE"/>
              </w:rPr>
            </w:pPr>
            <w:r>
              <w:rPr>
                <w:rFonts w:ascii="Calibri" w:hAnsi="Calibri" w:cs="Calibri"/>
                <w:b/>
                <w:bCs/>
                <w:color w:val="000000"/>
                <w:sz w:val="17"/>
                <w:szCs w:val="17"/>
                <w:lang w:val="en-IE" w:eastAsia="en-IE"/>
              </w:rPr>
              <w:t>5</w:t>
            </w:r>
          </w:p>
        </w:tc>
        <w:tc>
          <w:tcPr>
            <w:tcW w:w="993" w:type="dxa"/>
            <w:tcBorders>
              <w:top w:val="nil"/>
              <w:left w:val="nil"/>
              <w:bottom w:val="single" w:sz="4" w:space="0" w:color="auto"/>
              <w:right w:val="single" w:sz="4" w:space="0" w:color="auto"/>
            </w:tcBorders>
            <w:shd w:val="clear" w:color="000000" w:fill="F2F2F2"/>
            <w:noWrap/>
            <w:vAlign w:val="center"/>
            <w:hideMark/>
          </w:tcPr>
          <w:p w14:paraId="3155FF67"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AE175C">
              <w:rPr>
                <w:rFonts w:ascii="Calibri" w:hAnsi="Calibri" w:cs="Calibri"/>
                <w:b/>
                <w:bCs/>
                <w:color w:val="000000"/>
                <w:sz w:val="17"/>
                <w:szCs w:val="17"/>
                <w:lang w:val="en-IE" w:eastAsia="en-IE"/>
              </w:rPr>
              <w:t>(410)</w:t>
            </w:r>
          </w:p>
        </w:tc>
        <w:tc>
          <w:tcPr>
            <w:tcW w:w="850" w:type="dxa"/>
            <w:tcBorders>
              <w:top w:val="nil"/>
              <w:left w:val="nil"/>
              <w:bottom w:val="single" w:sz="4" w:space="0" w:color="auto"/>
              <w:right w:val="single" w:sz="4" w:space="0" w:color="auto"/>
            </w:tcBorders>
            <w:shd w:val="clear" w:color="auto" w:fill="auto"/>
            <w:noWrap/>
            <w:vAlign w:val="center"/>
            <w:hideMark/>
          </w:tcPr>
          <w:p w14:paraId="4B33DE52" w14:textId="77777777" w:rsidR="00B1438B" w:rsidRPr="002E3808" w:rsidRDefault="00B1438B" w:rsidP="00A05B52">
            <w:pPr>
              <w:jc w:val="right"/>
              <w:rPr>
                <w:rFonts w:ascii="Calibri" w:hAnsi="Calibri" w:cs="Calibri"/>
                <w:b/>
                <w:bCs/>
                <w:color w:val="000000"/>
                <w:sz w:val="17"/>
                <w:szCs w:val="17"/>
                <w:lang w:val="en-IE" w:eastAsia="en-IE"/>
              </w:rPr>
            </w:pPr>
            <w:r w:rsidRPr="002E3808">
              <w:rPr>
                <w:rFonts w:ascii="Calibri" w:hAnsi="Calibri" w:cs="Calibri"/>
                <w:b/>
                <w:bCs/>
                <w:color w:val="000000"/>
                <w:sz w:val="17"/>
                <w:szCs w:val="17"/>
                <w:lang w:val="en-IE" w:eastAsia="en-IE"/>
              </w:rPr>
              <w:t>(140)</w:t>
            </w:r>
          </w:p>
        </w:tc>
        <w:tc>
          <w:tcPr>
            <w:tcW w:w="851" w:type="dxa"/>
            <w:tcBorders>
              <w:top w:val="nil"/>
              <w:left w:val="nil"/>
              <w:bottom w:val="single" w:sz="4" w:space="0" w:color="auto"/>
              <w:right w:val="single" w:sz="4" w:space="0" w:color="auto"/>
            </w:tcBorders>
            <w:shd w:val="clear" w:color="auto" w:fill="auto"/>
            <w:noWrap/>
            <w:vAlign w:val="center"/>
            <w:hideMark/>
          </w:tcPr>
          <w:p w14:paraId="1FE4C9B5" w14:textId="77777777" w:rsidR="00B1438B" w:rsidRPr="000D5A98" w:rsidRDefault="00B1438B" w:rsidP="00A05B52">
            <w:pPr>
              <w:jc w:val="right"/>
              <w:rPr>
                <w:rFonts w:ascii="Calibri" w:hAnsi="Calibri" w:cs="Calibri"/>
                <w:b/>
                <w:bCs/>
                <w:color w:val="000000"/>
                <w:sz w:val="17"/>
                <w:szCs w:val="17"/>
                <w:lang w:val="en-IE" w:eastAsia="en-IE"/>
              </w:rPr>
            </w:pPr>
            <w:r w:rsidRPr="00AE175C">
              <w:rPr>
                <w:rFonts w:ascii="Calibri" w:hAnsi="Calibri" w:cs="Calibri"/>
                <w:b/>
                <w:bCs/>
                <w:color w:val="000000"/>
                <w:sz w:val="17"/>
                <w:szCs w:val="17"/>
                <w:lang w:val="en-IE" w:eastAsia="en-IE"/>
              </w:rPr>
              <w:t>3</w:t>
            </w:r>
          </w:p>
        </w:tc>
        <w:tc>
          <w:tcPr>
            <w:tcW w:w="877" w:type="dxa"/>
            <w:tcBorders>
              <w:top w:val="nil"/>
              <w:left w:val="nil"/>
              <w:bottom w:val="single" w:sz="4" w:space="0" w:color="auto"/>
              <w:right w:val="single" w:sz="4" w:space="0" w:color="auto"/>
            </w:tcBorders>
            <w:shd w:val="clear" w:color="auto" w:fill="auto"/>
            <w:noWrap/>
            <w:vAlign w:val="center"/>
            <w:hideMark/>
          </w:tcPr>
          <w:p w14:paraId="271AD708"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AE175C">
              <w:rPr>
                <w:rFonts w:ascii="Calibri" w:hAnsi="Calibri" w:cs="Calibri"/>
                <w:b/>
                <w:bCs/>
                <w:color w:val="000000"/>
                <w:sz w:val="17"/>
                <w:szCs w:val="17"/>
                <w:lang w:val="en-IE" w:eastAsia="en-IE"/>
              </w:rPr>
              <w:t>(137)</w:t>
            </w:r>
          </w:p>
        </w:tc>
        <w:tc>
          <w:tcPr>
            <w:tcW w:w="824" w:type="dxa"/>
            <w:tcBorders>
              <w:top w:val="nil"/>
              <w:left w:val="nil"/>
              <w:bottom w:val="single" w:sz="4" w:space="0" w:color="auto"/>
              <w:right w:val="single" w:sz="4" w:space="0" w:color="auto"/>
            </w:tcBorders>
            <w:shd w:val="clear" w:color="000000" w:fill="F2F2F2"/>
            <w:noWrap/>
            <w:vAlign w:val="center"/>
            <w:hideMark/>
          </w:tcPr>
          <w:p w14:paraId="4BB8232D" w14:textId="77777777" w:rsidR="00B1438B" w:rsidRPr="00433524" w:rsidRDefault="00B1438B" w:rsidP="00A05B52">
            <w:pPr>
              <w:jc w:val="right"/>
              <w:rPr>
                <w:rFonts w:ascii="Calibri" w:hAnsi="Calibri" w:cs="Calibri"/>
                <w:b/>
                <w:bCs/>
                <w:color w:val="000000"/>
                <w:sz w:val="17"/>
                <w:szCs w:val="17"/>
                <w:lang w:val="en-IE" w:eastAsia="en-IE"/>
              </w:rPr>
            </w:pPr>
            <w:r w:rsidRPr="00433524">
              <w:rPr>
                <w:rFonts w:ascii="Calibri" w:hAnsi="Calibri" w:cs="Calibri"/>
                <w:b/>
                <w:bCs/>
                <w:color w:val="000000"/>
                <w:sz w:val="17"/>
                <w:szCs w:val="17"/>
                <w:lang w:val="en-IE" w:eastAsia="en-IE"/>
              </w:rPr>
              <w:t>(189)</w:t>
            </w:r>
          </w:p>
        </w:tc>
        <w:tc>
          <w:tcPr>
            <w:tcW w:w="737" w:type="dxa"/>
            <w:tcBorders>
              <w:top w:val="nil"/>
              <w:left w:val="nil"/>
              <w:bottom w:val="single" w:sz="4" w:space="0" w:color="auto"/>
              <w:right w:val="single" w:sz="4" w:space="0" w:color="auto"/>
            </w:tcBorders>
            <w:shd w:val="clear" w:color="000000" w:fill="F2F2F2"/>
            <w:noWrap/>
            <w:vAlign w:val="center"/>
            <w:hideMark/>
          </w:tcPr>
          <w:p w14:paraId="722A43F2"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AE175C">
              <w:rPr>
                <w:rFonts w:ascii="Calibri" w:hAnsi="Calibri" w:cs="Calibri"/>
                <w:b/>
                <w:bCs/>
                <w:color w:val="000000"/>
                <w:sz w:val="17"/>
                <w:szCs w:val="17"/>
                <w:lang w:val="en-IE" w:eastAsia="en-IE"/>
              </w:rPr>
              <w:t>23</w:t>
            </w:r>
          </w:p>
        </w:tc>
        <w:tc>
          <w:tcPr>
            <w:tcW w:w="877" w:type="dxa"/>
            <w:tcBorders>
              <w:top w:val="nil"/>
              <w:left w:val="nil"/>
              <w:bottom w:val="single" w:sz="4" w:space="0" w:color="auto"/>
              <w:right w:val="single" w:sz="4" w:space="0" w:color="auto"/>
            </w:tcBorders>
            <w:shd w:val="clear" w:color="000000" w:fill="F2F2F2"/>
            <w:noWrap/>
            <w:vAlign w:val="center"/>
            <w:hideMark/>
          </w:tcPr>
          <w:p w14:paraId="5A7D8982"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AE175C">
              <w:rPr>
                <w:rFonts w:ascii="Calibri" w:hAnsi="Calibri" w:cs="Calibri"/>
                <w:b/>
                <w:bCs/>
                <w:color w:val="000000"/>
                <w:sz w:val="17"/>
                <w:szCs w:val="17"/>
                <w:lang w:val="en-IE" w:eastAsia="en-IE"/>
              </w:rPr>
              <w:t>(166)</w:t>
            </w:r>
          </w:p>
        </w:tc>
        <w:tc>
          <w:tcPr>
            <w:tcW w:w="824" w:type="dxa"/>
            <w:tcBorders>
              <w:top w:val="nil"/>
              <w:left w:val="nil"/>
              <w:bottom w:val="single" w:sz="4" w:space="0" w:color="auto"/>
              <w:right w:val="single" w:sz="4" w:space="0" w:color="auto"/>
            </w:tcBorders>
            <w:shd w:val="clear" w:color="auto" w:fill="auto"/>
            <w:noWrap/>
            <w:vAlign w:val="center"/>
            <w:hideMark/>
          </w:tcPr>
          <w:p w14:paraId="1D111DF7" w14:textId="77777777" w:rsidR="00B1438B" w:rsidRPr="00FA4C0B" w:rsidRDefault="00B1438B" w:rsidP="00A05B52">
            <w:pPr>
              <w:jc w:val="right"/>
              <w:rPr>
                <w:rFonts w:ascii="Calibri" w:hAnsi="Calibri" w:cs="Calibri"/>
                <w:b/>
                <w:bCs/>
                <w:color w:val="000000"/>
                <w:sz w:val="17"/>
                <w:szCs w:val="17"/>
                <w:lang w:val="en-IE" w:eastAsia="en-IE"/>
              </w:rPr>
            </w:pPr>
            <w:r w:rsidRPr="00FA4C0B">
              <w:rPr>
                <w:rFonts w:ascii="Calibri" w:hAnsi="Calibri" w:cs="Calibri"/>
                <w:b/>
                <w:bCs/>
                <w:color w:val="000000"/>
                <w:sz w:val="17"/>
                <w:szCs w:val="17"/>
                <w:lang w:val="en-IE" w:eastAsia="en-IE"/>
              </w:rPr>
              <w:t>(</w:t>
            </w:r>
            <w:r>
              <w:rPr>
                <w:rFonts w:ascii="Calibri" w:hAnsi="Calibri" w:cs="Calibri"/>
                <w:b/>
                <w:bCs/>
                <w:color w:val="000000"/>
                <w:sz w:val="17"/>
                <w:szCs w:val="17"/>
                <w:lang w:val="en-IE" w:eastAsia="en-IE"/>
              </w:rPr>
              <w:t>301</w:t>
            </w:r>
            <w:r w:rsidRPr="00FA4C0B">
              <w:rPr>
                <w:rFonts w:ascii="Calibri" w:hAnsi="Calibri" w:cs="Calibri"/>
                <w:b/>
                <w:bCs/>
                <w:color w:val="000000"/>
                <w:sz w:val="17"/>
                <w:szCs w:val="17"/>
                <w:lang w:val="en-IE" w:eastAsia="en-IE"/>
              </w:rPr>
              <w:t>)</w:t>
            </w:r>
          </w:p>
        </w:tc>
        <w:tc>
          <w:tcPr>
            <w:tcW w:w="737" w:type="dxa"/>
            <w:tcBorders>
              <w:top w:val="nil"/>
              <w:left w:val="nil"/>
              <w:bottom w:val="single" w:sz="4" w:space="0" w:color="auto"/>
              <w:right w:val="single" w:sz="4" w:space="0" w:color="auto"/>
            </w:tcBorders>
            <w:shd w:val="clear" w:color="auto" w:fill="auto"/>
            <w:noWrap/>
            <w:vAlign w:val="center"/>
            <w:hideMark/>
          </w:tcPr>
          <w:p w14:paraId="34B74920" w14:textId="77777777" w:rsidR="00B1438B" w:rsidRPr="00FA4C0B" w:rsidRDefault="00B1438B" w:rsidP="00A05B52">
            <w:pPr>
              <w:jc w:val="right"/>
              <w:rPr>
                <w:rFonts w:ascii="Calibri" w:hAnsi="Calibri" w:cs="Calibri"/>
                <w:b/>
                <w:bCs/>
                <w:color w:val="000000"/>
                <w:sz w:val="17"/>
                <w:szCs w:val="17"/>
                <w:lang w:val="en-IE" w:eastAsia="en-IE"/>
              </w:rPr>
            </w:pPr>
            <w:r w:rsidRPr="00AE175C">
              <w:rPr>
                <w:rFonts w:ascii="Calibri" w:hAnsi="Calibri" w:cs="Calibri"/>
                <w:b/>
                <w:bCs/>
                <w:color w:val="000000"/>
                <w:sz w:val="17"/>
                <w:szCs w:val="17"/>
                <w:lang w:val="en-IE" w:eastAsia="en-IE"/>
              </w:rPr>
              <w:t>4</w:t>
            </w:r>
          </w:p>
        </w:tc>
        <w:tc>
          <w:tcPr>
            <w:tcW w:w="877" w:type="dxa"/>
            <w:tcBorders>
              <w:top w:val="nil"/>
              <w:left w:val="nil"/>
              <w:bottom w:val="single" w:sz="4" w:space="0" w:color="auto"/>
              <w:right w:val="single" w:sz="4" w:space="0" w:color="auto"/>
            </w:tcBorders>
            <w:shd w:val="clear" w:color="auto" w:fill="auto"/>
            <w:noWrap/>
            <w:vAlign w:val="center"/>
            <w:hideMark/>
          </w:tcPr>
          <w:p w14:paraId="767D1388"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AE175C">
              <w:rPr>
                <w:rFonts w:ascii="Calibri" w:hAnsi="Calibri" w:cs="Calibri"/>
                <w:b/>
                <w:bCs/>
                <w:color w:val="000000"/>
                <w:sz w:val="17"/>
                <w:szCs w:val="17"/>
                <w:lang w:val="en-IE" w:eastAsia="en-IE"/>
              </w:rPr>
              <w:t>(297)</w:t>
            </w:r>
          </w:p>
        </w:tc>
        <w:tc>
          <w:tcPr>
            <w:tcW w:w="824" w:type="dxa"/>
            <w:tcBorders>
              <w:top w:val="nil"/>
              <w:left w:val="nil"/>
              <w:bottom w:val="single" w:sz="4" w:space="0" w:color="auto"/>
              <w:right w:val="single" w:sz="4" w:space="0" w:color="auto"/>
            </w:tcBorders>
            <w:shd w:val="clear" w:color="000000" w:fill="F2F2F2"/>
            <w:noWrap/>
            <w:vAlign w:val="center"/>
            <w:hideMark/>
          </w:tcPr>
          <w:p w14:paraId="3763507A" w14:textId="77777777" w:rsidR="00B1438B" w:rsidRPr="00FA4C0B" w:rsidRDefault="00B1438B" w:rsidP="00A05B52">
            <w:pPr>
              <w:jc w:val="right"/>
              <w:rPr>
                <w:rFonts w:ascii="Calibri" w:hAnsi="Calibri" w:cs="Calibri"/>
                <w:b/>
                <w:bCs/>
                <w:color w:val="000000"/>
                <w:sz w:val="17"/>
                <w:szCs w:val="17"/>
                <w:lang w:val="en-IE" w:eastAsia="en-IE"/>
              </w:rPr>
            </w:pPr>
            <w:r w:rsidRPr="00FA4C0B">
              <w:rPr>
                <w:rFonts w:ascii="Calibri" w:hAnsi="Calibri" w:cs="Calibri"/>
                <w:b/>
                <w:bCs/>
                <w:color w:val="000000"/>
                <w:sz w:val="17"/>
                <w:szCs w:val="17"/>
                <w:lang w:val="en-IE" w:eastAsia="en-IE"/>
              </w:rPr>
              <w:t>(1,</w:t>
            </w:r>
            <w:r>
              <w:rPr>
                <w:rFonts w:ascii="Calibri" w:hAnsi="Calibri" w:cs="Calibri"/>
                <w:b/>
                <w:bCs/>
                <w:color w:val="000000"/>
                <w:sz w:val="17"/>
                <w:szCs w:val="17"/>
                <w:lang w:val="en-IE" w:eastAsia="en-IE"/>
              </w:rPr>
              <w:t>105</w:t>
            </w:r>
            <w:r w:rsidRPr="00FA4C0B">
              <w:rPr>
                <w:rFonts w:ascii="Calibri" w:hAnsi="Calibri" w:cs="Calibri"/>
                <w:b/>
                <w:bCs/>
                <w:color w:val="000000"/>
                <w:sz w:val="17"/>
                <w:szCs w:val="17"/>
                <w:lang w:val="en-IE" w:eastAsia="en-IE"/>
              </w:rPr>
              <w:t>)</w:t>
            </w:r>
          </w:p>
        </w:tc>
        <w:tc>
          <w:tcPr>
            <w:tcW w:w="737" w:type="dxa"/>
            <w:tcBorders>
              <w:top w:val="nil"/>
              <w:left w:val="nil"/>
              <w:bottom w:val="single" w:sz="4" w:space="0" w:color="auto"/>
              <w:right w:val="single" w:sz="4" w:space="0" w:color="auto"/>
            </w:tcBorders>
            <w:shd w:val="clear" w:color="000000" w:fill="F2F2F2"/>
            <w:noWrap/>
            <w:vAlign w:val="center"/>
            <w:hideMark/>
          </w:tcPr>
          <w:p w14:paraId="78132CC3"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661BED">
              <w:rPr>
                <w:rFonts w:ascii="Calibri" w:hAnsi="Calibri" w:cs="Calibri"/>
                <w:b/>
                <w:bCs/>
                <w:color w:val="000000"/>
                <w:sz w:val="17"/>
                <w:szCs w:val="17"/>
                <w:lang w:val="en-IE" w:eastAsia="en-IE"/>
              </w:rPr>
              <w:t>40</w:t>
            </w:r>
          </w:p>
        </w:tc>
        <w:tc>
          <w:tcPr>
            <w:tcW w:w="877" w:type="dxa"/>
            <w:tcBorders>
              <w:top w:val="nil"/>
              <w:left w:val="nil"/>
              <w:bottom w:val="single" w:sz="4" w:space="0" w:color="auto"/>
              <w:right w:val="single" w:sz="4" w:space="0" w:color="auto"/>
            </w:tcBorders>
            <w:shd w:val="clear" w:color="000000" w:fill="F2F2F2"/>
            <w:noWrap/>
            <w:vAlign w:val="center"/>
            <w:hideMark/>
          </w:tcPr>
          <w:p w14:paraId="12A929E2"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661BED">
              <w:rPr>
                <w:rFonts w:ascii="Calibri" w:hAnsi="Calibri" w:cs="Calibri"/>
                <w:b/>
                <w:bCs/>
                <w:color w:val="000000"/>
                <w:sz w:val="17"/>
                <w:szCs w:val="17"/>
                <w:lang w:val="en-IE" w:eastAsia="en-IE"/>
              </w:rPr>
              <w:t>(1,064)</w:t>
            </w:r>
          </w:p>
        </w:tc>
      </w:tr>
      <w:tr w:rsidR="00B1438B" w:rsidRPr="003B39E3" w14:paraId="0994991E" w14:textId="77777777" w:rsidTr="00A05B52">
        <w:trPr>
          <w:trHeight w:val="51"/>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04176F8C" w14:textId="77777777" w:rsidR="00B1438B" w:rsidRPr="003B39E3" w:rsidRDefault="00B1438B" w:rsidP="00A05B52">
            <w:pPr>
              <w:rPr>
                <w:rFonts w:ascii="Calibri" w:hAnsi="Calibri" w:cs="Calibri"/>
                <w:b/>
                <w:bCs/>
                <w:color w:val="000000"/>
                <w:sz w:val="10"/>
                <w:szCs w:val="10"/>
                <w:lang w:val="en-IE" w:eastAsia="en-IE"/>
              </w:rPr>
            </w:pPr>
            <w:r w:rsidRPr="003B39E3">
              <w:rPr>
                <w:rFonts w:ascii="Calibri" w:hAnsi="Calibri" w:cs="Calibri"/>
                <w:b/>
                <w:bCs/>
                <w:color w:val="000000"/>
                <w:sz w:val="10"/>
                <w:szCs w:val="10"/>
                <w:lang w:val="en-IE" w:eastAsia="en-IE"/>
              </w:rPr>
              <w:t> </w:t>
            </w:r>
          </w:p>
        </w:tc>
        <w:tc>
          <w:tcPr>
            <w:tcW w:w="851" w:type="dxa"/>
            <w:tcBorders>
              <w:top w:val="nil"/>
              <w:left w:val="nil"/>
              <w:bottom w:val="single" w:sz="4" w:space="0" w:color="auto"/>
              <w:right w:val="single" w:sz="4" w:space="0" w:color="auto"/>
            </w:tcBorders>
            <w:shd w:val="clear" w:color="000000" w:fill="F2F2F2"/>
            <w:noWrap/>
            <w:vAlign w:val="center"/>
            <w:hideMark/>
          </w:tcPr>
          <w:p w14:paraId="121F0289" w14:textId="77777777" w:rsidR="00B1438B" w:rsidRPr="006D7AEF" w:rsidRDefault="00B1438B" w:rsidP="00A05B52">
            <w:pPr>
              <w:jc w:val="right"/>
              <w:rPr>
                <w:rFonts w:ascii="Calibri" w:hAnsi="Calibri" w:cs="Calibri"/>
                <w:b/>
                <w:bCs/>
                <w:color w:val="000000"/>
                <w:sz w:val="10"/>
                <w:szCs w:val="10"/>
                <w:lang w:val="en-IE" w:eastAsia="en-IE"/>
              </w:rPr>
            </w:pPr>
            <w:r w:rsidRPr="006D7AEF">
              <w:rPr>
                <w:rFonts w:ascii="Calibri" w:hAnsi="Calibri" w:cs="Calibri"/>
                <w:b/>
                <w:bCs/>
                <w:color w:val="000000"/>
                <w:sz w:val="10"/>
                <w:szCs w:val="10"/>
                <w:lang w:val="en-IE" w:eastAsia="en-IE"/>
              </w:rPr>
              <w:t> </w:t>
            </w:r>
          </w:p>
        </w:tc>
        <w:tc>
          <w:tcPr>
            <w:tcW w:w="850" w:type="dxa"/>
            <w:tcBorders>
              <w:top w:val="nil"/>
              <w:left w:val="nil"/>
              <w:bottom w:val="single" w:sz="4" w:space="0" w:color="auto"/>
              <w:right w:val="single" w:sz="4" w:space="0" w:color="auto"/>
            </w:tcBorders>
            <w:shd w:val="clear" w:color="000000" w:fill="F2F2F2"/>
            <w:noWrap/>
            <w:vAlign w:val="center"/>
            <w:hideMark/>
          </w:tcPr>
          <w:p w14:paraId="4AB10FD8" w14:textId="77777777" w:rsidR="00B1438B" w:rsidRPr="006D7AEF" w:rsidRDefault="00B1438B" w:rsidP="00A05B52">
            <w:pPr>
              <w:jc w:val="right"/>
              <w:rPr>
                <w:rFonts w:ascii="Calibri" w:hAnsi="Calibri" w:cs="Calibri"/>
                <w:b/>
                <w:bCs/>
                <w:color w:val="000000"/>
                <w:sz w:val="10"/>
                <w:szCs w:val="10"/>
                <w:lang w:val="en-IE" w:eastAsia="en-IE"/>
              </w:rPr>
            </w:pPr>
            <w:r w:rsidRPr="00AE175C">
              <w:rPr>
                <w:rFonts w:ascii="Calibri" w:hAnsi="Calibri" w:cs="Calibri"/>
                <w:b/>
                <w:bCs/>
                <w:color w:val="000000"/>
                <w:sz w:val="10"/>
                <w:szCs w:val="10"/>
                <w:lang w:val="en-IE" w:eastAsia="en-IE"/>
              </w:rPr>
              <w:t> </w:t>
            </w:r>
          </w:p>
        </w:tc>
        <w:tc>
          <w:tcPr>
            <w:tcW w:w="993" w:type="dxa"/>
            <w:tcBorders>
              <w:top w:val="nil"/>
              <w:left w:val="nil"/>
              <w:bottom w:val="single" w:sz="4" w:space="0" w:color="auto"/>
              <w:right w:val="single" w:sz="4" w:space="0" w:color="auto"/>
            </w:tcBorders>
            <w:shd w:val="clear" w:color="000000" w:fill="F2F2F2"/>
            <w:noWrap/>
            <w:vAlign w:val="center"/>
            <w:hideMark/>
          </w:tcPr>
          <w:p w14:paraId="05B9B5A7" w14:textId="77777777" w:rsidR="00B1438B" w:rsidRPr="006945D7" w:rsidRDefault="00B1438B" w:rsidP="00A05B52">
            <w:pPr>
              <w:jc w:val="right"/>
              <w:rPr>
                <w:rFonts w:ascii="Calibri" w:hAnsi="Calibri" w:cs="Calibri"/>
                <w:b/>
                <w:bCs/>
                <w:color w:val="000000"/>
                <w:sz w:val="10"/>
                <w:szCs w:val="10"/>
                <w:highlight w:val="yellow"/>
                <w:lang w:val="en-IE" w:eastAsia="en-IE"/>
              </w:rPr>
            </w:pPr>
            <w:r w:rsidRPr="00AE175C">
              <w:rPr>
                <w:rFonts w:ascii="Calibri" w:hAnsi="Calibri" w:cs="Calibri"/>
                <w:b/>
                <w:bCs/>
                <w:color w:val="000000"/>
                <w:sz w:val="10"/>
                <w:szCs w:val="10"/>
                <w:lang w:val="en-IE" w:eastAsia="en-IE"/>
              </w:rPr>
              <w:t> </w:t>
            </w:r>
          </w:p>
        </w:tc>
        <w:tc>
          <w:tcPr>
            <w:tcW w:w="850" w:type="dxa"/>
            <w:tcBorders>
              <w:top w:val="nil"/>
              <w:left w:val="nil"/>
              <w:bottom w:val="single" w:sz="4" w:space="0" w:color="auto"/>
              <w:right w:val="single" w:sz="4" w:space="0" w:color="auto"/>
            </w:tcBorders>
            <w:shd w:val="clear" w:color="auto" w:fill="auto"/>
            <w:noWrap/>
            <w:vAlign w:val="center"/>
            <w:hideMark/>
          </w:tcPr>
          <w:p w14:paraId="407A7586" w14:textId="77777777" w:rsidR="00B1438B" w:rsidRPr="002E3808" w:rsidRDefault="00B1438B" w:rsidP="00A05B52">
            <w:pPr>
              <w:jc w:val="right"/>
              <w:rPr>
                <w:rFonts w:ascii="Calibri" w:hAnsi="Calibri" w:cs="Calibri"/>
                <w:b/>
                <w:bCs/>
                <w:color w:val="000000"/>
                <w:sz w:val="10"/>
                <w:szCs w:val="10"/>
                <w:lang w:val="en-IE" w:eastAsia="en-IE"/>
              </w:rPr>
            </w:pPr>
            <w:r w:rsidRPr="002E3808">
              <w:rPr>
                <w:rFonts w:ascii="Calibri" w:hAnsi="Calibri" w:cs="Calibri"/>
                <w:b/>
                <w:bCs/>
                <w:color w:val="000000"/>
                <w:sz w:val="10"/>
                <w:szCs w:val="10"/>
                <w:lang w:val="en-IE" w:eastAsia="en-IE"/>
              </w:rPr>
              <w:t> </w:t>
            </w:r>
          </w:p>
        </w:tc>
        <w:tc>
          <w:tcPr>
            <w:tcW w:w="851" w:type="dxa"/>
            <w:tcBorders>
              <w:top w:val="nil"/>
              <w:left w:val="nil"/>
              <w:bottom w:val="single" w:sz="4" w:space="0" w:color="auto"/>
              <w:right w:val="single" w:sz="4" w:space="0" w:color="auto"/>
            </w:tcBorders>
            <w:shd w:val="clear" w:color="auto" w:fill="auto"/>
            <w:noWrap/>
            <w:vAlign w:val="center"/>
            <w:hideMark/>
          </w:tcPr>
          <w:p w14:paraId="34FB75D0" w14:textId="77777777" w:rsidR="00B1438B" w:rsidRPr="000D5A98" w:rsidRDefault="00B1438B" w:rsidP="00A05B52">
            <w:pPr>
              <w:jc w:val="right"/>
              <w:rPr>
                <w:rFonts w:ascii="Calibri" w:hAnsi="Calibri" w:cs="Calibri"/>
                <w:b/>
                <w:bCs/>
                <w:color w:val="000000"/>
                <w:sz w:val="10"/>
                <w:szCs w:val="10"/>
                <w:lang w:val="en-IE" w:eastAsia="en-IE"/>
              </w:rPr>
            </w:pPr>
            <w:r w:rsidRPr="00AE175C">
              <w:rPr>
                <w:rFonts w:ascii="Calibri" w:hAnsi="Calibri" w:cs="Calibri"/>
                <w:b/>
                <w:bCs/>
                <w:color w:val="000000"/>
                <w:sz w:val="10"/>
                <w:szCs w:val="10"/>
                <w:lang w:val="en-IE" w:eastAsia="en-IE"/>
              </w:rPr>
              <w:t> </w:t>
            </w:r>
          </w:p>
        </w:tc>
        <w:tc>
          <w:tcPr>
            <w:tcW w:w="877" w:type="dxa"/>
            <w:tcBorders>
              <w:top w:val="nil"/>
              <w:left w:val="nil"/>
              <w:bottom w:val="single" w:sz="4" w:space="0" w:color="auto"/>
              <w:right w:val="single" w:sz="4" w:space="0" w:color="auto"/>
            </w:tcBorders>
            <w:shd w:val="clear" w:color="auto" w:fill="auto"/>
            <w:noWrap/>
            <w:vAlign w:val="center"/>
            <w:hideMark/>
          </w:tcPr>
          <w:p w14:paraId="2DE38820" w14:textId="77777777" w:rsidR="00B1438B" w:rsidRPr="006945D7" w:rsidRDefault="00B1438B" w:rsidP="00A05B52">
            <w:pPr>
              <w:jc w:val="right"/>
              <w:rPr>
                <w:rFonts w:ascii="Calibri" w:hAnsi="Calibri" w:cs="Calibri"/>
                <w:b/>
                <w:bCs/>
                <w:color w:val="000000"/>
                <w:sz w:val="10"/>
                <w:szCs w:val="10"/>
                <w:highlight w:val="yellow"/>
                <w:lang w:val="en-IE" w:eastAsia="en-IE"/>
              </w:rPr>
            </w:pPr>
            <w:r w:rsidRPr="00AE175C">
              <w:rPr>
                <w:rFonts w:ascii="Calibri" w:hAnsi="Calibri" w:cs="Calibri"/>
                <w:b/>
                <w:bCs/>
                <w:color w:val="000000"/>
                <w:sz w:val="10"/>
                <w:szCs w:val="10"/>
                <w:lang w:val="en-IE" w:eastAsia="en-IE"/>
              </w:rPr>
              <w:t> </w:t>
            </w:r>
          </w:p>
        </w:tc>
        <w:tc>
          <w:tcPr>
            <w:tcW w:w="824" w:type="dxa"/>
            <w:tcBorders>
              <w:top w:val="nil"/>
              <w:left w:val="nil"/>
              <w:bottom w:val="single" w:sz="4" w:space="0" w:color="auto"/>
              <w:right w:val="single" w:sz="4" w:space="0" w:color="auto"/>
            </w:tcBorders>
            <w:shd w:val="clear" w:color="000000" w:fill="F2F2F2"/>
            <w:noWrap/>
            <w:vAlign w:val="center"/>
            <w:hideMark/>
          </w:tcPr>
          <w:p w14:paraId="0CEA0C1E" w14:textId="77777777" w:rsidR="00B1438B" w:rsidRPr="00433524" w:rsidRDefault="00B1438B" w:rsidP="00A05B52">
            <w:pPr>
              <w:jc w:val="right"/>
              <w:rPr>
                <w:rFonts w:ascii="Calibri" w:hAnsi="Calibri" w:cs="Calibri"/>
                <w:b/>
                <w:bCs/>
                <w:color w:val="000000"/>
                <w:sz w:val="10"/>
                <w:szCs w:val="10"/>
                <w:lang w:val="en-IE" w:eastAsia="en-IE"/>
              </w:rPr>
            </w:pPr>
            <w:r w:rsidRPr="00433524">
              <w:rPr>
                <w:rFonts w:ascii="Calibri" w:hAnsi="Calibri" w:cs="Calibri"/>
                <w:b/>
                <w:bCs/>
                <w:color w:val="000000"/>
                <w:sz w:val="10"/>
                <w:szCs w:val="10"/>
                <w:lang w:val="en-IE" w:eastAsia="en-IE"/>
              </w:rPr>
              <w:t> </w:t>
            </w:r>
          </w:p>
        </w:tc>
        <w:tc>
          <w:tcPr>
            <w:tcW w:w="737" w:type="dxa"/>
            <w:tcBorders>
              <w:top w:val="nil"/>
              <w:left w:val="nil"/>
              <w:bottom w:val="single" w:sz="4" w:space="0" w:color="auto"/>
              <w:right w:val="single" w:sz="4" w:space="0" w:color="auto"/>
            </w:tcBorders>
            <w:shd w:val="clear" w:color="000000" w:fill="F2F2F2"/>
            <w:noWrap/>
            <w:vAlign w:val="center"/>
            <w:hideMark/>
          </w:tcPr>
          <w:p w14:paraId="09DFA23C" w14:textId="77777777" w:rsidR="00B1438B" w:rsidRPr="006945D7" w:rsidRDefault="00B1438B" w:rsidP="00A05B52">
            <w:pPr>
              <w:jc w:val="right"/>
              <w:rPr>
                <w:rFonts w:ascii="Calibri" w:hAnsi="Calibri" w:cs="Calibri"/>
                <w:b/>
                <w:bCs/>
                <w:color w:val="000000"/>
                <w:sz w:val="10"/>
                <w:szCs w:val="10"/>
                <w:highlight w:val="yellow"/>
                <w:lang w:val="en-IE" w:eastAsia="en-IE"/>
              </w:rPr>
            </w:pPr>
            <w:r w:rsidRPr="00AE175C">
              <w:rPr>
                <w:rFonts w:ascii="Calibri" w:hAnsi="Calibri" w:cs="Calibri"/>
                <w:b/>
                <w:bCs/>
                <w:color w:val="000000"/>
                <w:sz w:val="10"/>
                <w:szCs w:val="10"/>
                <w:lang w:val="en-IE" w:eastAsia="en-IE"/>
              </w:rPr>
              <w:t> </w:t>
            </w:r>
          </w:p>
        </w:tc>
        <w:tc>
          <w:tcPr>
            <w:tcW w:w="877" w:type="dxa"/>
            <w:tcBorders>
              <w:top w:val="nil"/>
              <w:left w:val="nil"/>
              <w:bottom w:val="single" w:sz="4" w:space="0" w:color="auto"/>
              <w:right w:val="single" w:sz="4" w:space="0" w:color="auto"/>
            </w:tcBorders>
            <w:shd w:val="clear" w:color="000000" w:fill="F2F2F2"/>
            <w:noWrap/>
            <w:vAlign w:val="center"/>
            <w:hideMark/>
          </w:tcPr>
          <w:p w14:paraId="635F8846" w14:textId="77777777" w:rsidR="00B1438B" w:rsidRPr="006945D7" w:rsidRDefault="00B1438B" w:rsidP="00A05B52">
            <w:pPr>
              <w:jc w:val="right"/>
              <w:rPr>
                <w:rFonts w:ascii="Calibri" w:hAnsi="Calibri" w:cs="Calibri"/>
                <w:b/>
                <w:bCs/>
                <w:color w:val="000000"/>
                <w:sz w:val="10"/>
                <w:szCs w:val="10"/>
                <w:highlight w:val="yellow"/>
                <w:lang w:val="en-IE" w:eastAsia="en-IE"/>
              </w:rPr>
            </w:pPr>
            <w:r w:rsidRPr="00AE175C">
              <w:rPr>
                <w:rFonts w:ascii="Calibri" w:hAnsi="Calibri" w:cs="Calibri"/>
                <w:b/>
                <w:bCs/>
                <w:color w:val="000000"/>
                <w:sz w:val="10"/>
                <w:szCs w:val="10"/>
                <w:lang w:val="en-IE" w:eastAsia="en-IE"/>
              </w:rPr>
              <w:t> </w:t>
            </w:r>
          </w:p>
        </w:tc>
        <w:tc>
          <w:tcPr>
            <w:tcW w:w="824" w:type="dxa"/>
            <w:tcBorders>
              <w:top w:val="nil"/>
              <w:left w:val="nil"/>
              <w:bottom w:val="single" w:sz="4" w:space="0" w:color="auto"/>
              <w:right w:val="single" w:sz="4" w:space="0" w:color="auto"/>
            </w:tcBorders>
            <w:shd w:val="clear" w:color="auto" w:fill="auto"/>
            <w:noWrap/>
            <w:vAlign w:val="center"/>
            <w:hideMark/>
          </w:tcPr>
          <w:p w14:paraId="62FBD346" w14:textId="77777777" w:rsidR="00B1438B" w:rsidRPr="00FA4C0B" w:rsidRDefault="00B1438B" w:rsidP="00A05B52">
            <w:pPr>
              <w:jc w:val="right"/>
              <w:rPr>
                <w:rFonts w:ascii="Calibri" w:hAnsi="Calibri" w:cs="Calibri"/>
                <w:b/>
                <w:bCs/>
                <w:color w:val="000000"/>
                <w:sz w:val="10"/>
                <w:szCs w:val="10"/>
                <w:lang w:val="en-IE" w:eastAsia="en-IE"/>
              </w:rPr>
            </w:pPr>
            <w:r w:rsidRPr="00FA4C0B">
              <w:rPr>
                <w:rFonts w:ascii="Calibri" w:hAnsi="Calibri" w:cs="Calibri"/>
                <w:b/>
                <w:bCs/>
                <w:color w:val="000000"/>
                <w:sz w:val="10"/>
                <w:szCs w:val="10"/>
                <w:lang w:val="en-IE" w:eastAsia="en-IE"/>
              </w:rPr>
              <w:t> </w:t>
            </w:r>
          </w:p>
        </w:tc>
        <w:tc>
          <w:tcPr>
            <w:tcW w:w="737" w:type="dxa"/>
            <w:tcBorders>
              <w:top w:val="nil"/>
              <w:left w:val="nil"/>
              <w:bottom w:val="single" w:sz="4" w:space="0" w:color="auto"/>
              <w:right w:val="single" w:sz="4" w:space="0" w:color="auto"/>
            </w:tcBorders>
            <w:shd w:val="clear" w:color="auto" w:fill="auto"/>
            <w:noWrap/>
            <w:vAlign w:val="center"/>
            <w:hideMark/>
          </w:tcPr>
          <w:p w14:paraId="71E50935" w14:textId="77777777" w:rsidR="00B1438B" w:rsidRPr="00FA4C0B" w:rsidRDefault="00B1438B" w:rsidP="00A05B52">
            <w:pPr>
              <w:jc w:val="right"/>
              <w:rPr>
                <w:rFonts w:ascii="Calibri" w:hAnsi="Calibri" w:cs="Calibri"/>
                <w:b/>
                <w:bCs/>
                <w:color w:val="000000"/>
                <w:sz w:val="10"/>
                <w:szCs w:val="10"/>
                <w:lang w:val="en-IE" w:eastAsia="en-IE"/>
              </w:rPr>
            </w:pPr>
            <w:r w:rsidRPr="00AE175C">
              <w:rPr>
                <w:rFonts w:ascii="Calibri" w:hAnsi="Calibri" w:cs="Calibri"/>
                <w:b/>
                <w:bCs/>
                <w:color w:val="000000"/>
                <w:sz w:val="10"/>
                <w:szCs w:val="10"/>
                <w:lang w:val="en-IE" w:eastAsia="en-IE"/>
              </w:rPr>
              <w:t> </w:t>
            </w:r>
          </w:p>
        </w:tc>
        <w:tc>
          <w:tcPr>
            <w:tcW w:w="877" w:type="dxa"/>
            <w:tcBorders>
              <w:top w:val="nil"/>
              <w:left w:val="nil"/>
              <w:bottom w:val="single" w:sz="4" w:space="0" w:color="auto"/>
              <w:right w:val="single" w:sz="4" w:space="0" w:color="auto"/>
            </w:tcBorders>
            <w:shd w:val="clear" w:color="auto" w:fill="auto"/>
            <w:noWrap/>
            <w:vAlign w:val="center"/>
            <w:hideMark/>
          </w:tcPr>
          <w:p w14:paraId="7A9F1BDA" w14:textId="77777777" w:rsidR="00B1438B" w:rsidRPr="006945D7" w:rsidRDefault="00B1438B" w:rsidP="00A05B52">
            <w:pPr>
              <w:jc w:val="right"/>
              <w:rPr>
                <w:rFonts w:ascii="Calibri" w:hAnsi="Calibri" w:cs="Calibri"/>
                <w:b/>
                <w:bCs/>
                <w:color w:val="000000"/>
                <w:sz w:val="10"/>
                <w:szCs w:val="10"/>
                <w:highlight w:val="yellow"/>
                <w:lang w:val="en-IE" w:eastAsia="en-IE"/>
              </w:rPr>
            </w:pPr>
            <w:r w:rsidRPr="00AE175C">
              <w:rPr>
                <w:rFonts w:ascii="Calibri" w:hAnsi="Calibri" w:cs="Calibri"/>
                <w:b/>
                <w:bCs/>
                <w:color w:val="000000"/>
                <w:sz w:val="10"/>
                <w:szCs w:val="10"/>
                <w:lang w:val="en-IE" w:eastAsia="en-IE"/>
              </w:rPr>
              <w:t> </w:t>
            </w:r>
          </w:p>
        </w:tc>
        <w:tc>
          <w:tcPr>
            <w:tcW w:w="824" w:type="dxa"/>
            <w:tcBorders>
              <w:top w:val="nil"/>
              <w:left w:val="nil"/>
              <w:bottom w:val="single" w:sz="4" w:space="0" w:color="auto"/>
              <w:right w:val="single" w:sz="4" w:space="0" w:color="auto"/>
            </w:tcBorders>
            <w:shd w:val="clear" w:color="000000" w:fill="F2F2F2"/>
            <w:noWrap/>
            <w:vAlign w:val="center"/>
            <w:hideMark/>
          </w:tcPr>
          <w:p w14:paraId="44FC8616" w14:textId="77777777" w:rsidR="00B1438B" w:rsidRPr="00FA4C0B" w:rsidRDefault="00B1438B" w:rsidP="00A05B52">
            <w:pPr>
              <w:jc w:val="right"/>
              <w:rPr>
                <w:rFonts w:ascii="Calibri" w:hAnsi="Calibri" w:cs="Calibri"/>
                <w:b/>
                <w:bCs/>
                <w:color w:val="000000"/>
                <w:sz w:val="10"/>
                <w:szCs w:val="10"/>
                <w:lang w:val="en-IE" w:eastAsia="en-IE"/>
              </w:rPr>
            </w:pPr>
            <w:r w:rsidRPr="00FA4C0B">
              <w:rPr>
                <w:rFonts w:ascii="Calibri" w:hAnsi="Calibri" w:cs="Calibri"/>
                <w:b/>
                <w:bCs/>
                <w:color w:val="000000"/>
                <w:sz w:val="10"/>
                <w:szCs w:val="10"/>
                <w:lang w:val="en-IE" w:eastAsia="en-IE"/>
              </w:rPr>
              <w:t> </w:t>
            </w:r>
          </w:p>
        </w:tc>
        <w:tc>
          <w:tcPr>
            <w:tcW w:w="737" w:type="dxa"/>
            <w:tcBorders>
              <w:top w:val="nil"/>
              <w:left w:val="nil"/>
              <w:bottom w:val="single" w:sz="4" w:space="0" w:color="auto"/>
              <w:right w:val="single" w:sz="4" w:space="0" w:color="auto"/>
            </w:tcBorders>
            <w:shd w:val="clear" w:color="000000" w:fill="F2F2F2"/>
            <w:noWrap/>
            <w:vAlign w:val="center"/>
            <w:hideMark/>
          </w:tcPr>
          <w:p w14:paraId="26B0D8A1" w14:textId="77777777" w:rsidR="00B1438B" w:rsidRPr="006945D7" w:rsidRDefault="00B1438B" w:rsidP="00A05B52">
            <w:pPr>
              <w:jc w:val="right"/>
              <w:rPr>
                <w:rFonts w:ascii="Calibri" w:hAnsi="Calibri" w:cs="Calibri"/>
                <w:b/>
                <w:bCs/>
                <w:color w:val="000000"/>
                <w:sz w:val="10"/>
                <w:szCs w:val="10"/>
                <w:highlight w:val="yellow"/>
                <w:lang w:val="en-IE" w:eastAsia="en-IE"/>
              </w:rPr>
            </w:pPr>
            <w:r w:rsidRPr="00661BED">
              <w:rPr>
                <w:rFonts w:ascii="Calibri" w:hAnsi="Calibri" w:cs="Calibri"/>
                <w:b/>
                <w:bCs/>
                <w:color w:val="000000"/>
                <w:sz w:val="10"/>
                <w:szCs w:val="10"/>
                <w:lang w:val="en-IE" w:eastAsia="en-IE"/>
              </w:rPr>
              <w:t> </w:t>
            </w:r>
          </w:p>
        </w:tc>
        <w:tc>
          <w:tcPr>
            <w:tcW w:w="877" w:type="dxa"/>
            <w:tcBorders>
              <w:top w:val="nil"/>
              <w:left w:val="nil"/>
              <w:bottom w:val="single" w:sz="4" w:space="0" w:color="auto"/>
              <w:right w:val="single" w:sz="4" w:space="0" w:color="auto"/>
            </w:tcBorders>
            <w:shd w:val="clear" w:color="000000" w:fill="F2F2F2"/>
            <w:noWrap/>
            <w:vAlign w:val="center"/>
            <w:hideMark/>
          </w:tcPr>
          <w:p w14:paraId="69735BC6" w14:textId="77777777" w:rsidR="00B1438B" w:rsidRPr="006945D7" w:rsidRDefault="00B1438B" w:rsidP="00A05B52">
            <w:pPr>
              <w:jc w:val="right"/>
              <w:rPr>
                <w:rFonts w:ascii="Calibri" w:hAnsi="Calibri" w:cs="Calibri"/>
                <w:b/>
                <w:bCs/>
                <w:color w:val="000000"/>
                <w:sz w:val="10"/>
                <w:szCs w:val="10"/>
                <w:highlight w:val="yellow"/>
                <w:lang w:val="en-IE" w:eastAsia="en-IE"/>
              </w:rPr>
            </w:pPr>
            <w:r w:rsidRPr="00661BED">
              <w:rPr>
                <w:rFonts w:ascii="Calibri" w:hAnsi="Calibri" w:cs="Calibri"/>
                <w:b/>
                <w:bCs/>
                <w:color w:val="000000"/>
                <w:sz w:val="10"/>
                <w:szCs w:val="10"/>
                <w:lang w:val="en-IE" w:eastAsia="en-IE"/>
              </w:rPr>
              <w:t> </w:t>
            </w:r>
          </w:p>
        </w:tc>
      </w:tr>
      <w:tr w:rsidR="00B1438B" w:rsidRPr="003B39E3" w14:paraId="483FFACA" w14:textId="77777777" w:rsidTr="00A05B52">
        <w:trPr>
          <w:trHeight w:val="254"/>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4C2D3BD" w14:textId="77777777" w:rsidR="00B1438B" w:rsidRPr="003B39E3" w:rsidRDefault="00B1438B" w:rsidP="00A05B52">
            <w:pPr>
              <w:rPr>
                <w:rFonts w:ascii="Calibri" w:hAnsi="Calibri" w:cs="Calibri"/>
                <w:b/>
                <w:bCs/>
                <w:color w:val="000000"/>
                <w:sz w:val="17"/>
                <w:szCs w:val="17"/>
                <w:lang w:val="en-IE" w:eastAsia="en-IE"/>
              </w:rPr>
            </w:pPr>
            <w:r w:rsidRPr="003B39E3">
              <w:rPr>
                <w:rFonts w:ascii="Calibri" w:hAnsi="Calibri" w:cs="Calibri"/>
                <w:b/>
                <w:bCs/>
                <w:color w:val="000000"/>
                <w:sz w:val="17"/>
                <w:szCs w:val="17"/>
                <w:lang w:val="en-IE" w:eastAsia="en-IE"/>
              </w:rPr>
              <w:t>Underlying EBITDA</w:t>
            </w:r>
          </w:p>
        </w:tc>
        <w:tc>
          <w:tcPr>
            <w:tcW w:w="851" w:type="dxa"/>
            <w:tcBorders>
              <w:top w:val="nil"/>
              <w:left w:val="nil"/>
              <w:bottom w:val="single" w:sz="4" w:space="0" w:color="auto"/>
              <w:right w:val="single" w:sz="4" w:space="0" w:color="auto"/>
            </w:tcBorders>
            <w:shd w:val="clear" w:color="000000" w:fill="F2F2F2"/>
            <w:noWrap/>
            <w:vAlign w:val="center"/>
            <w:hideMark/>
          </w:tcPr>
          <w:p w14:paraId="6141CA35"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30</w:t>
            </w:r>
            <w:r>
              <w:rPr>
                <w:rFonts w:ascii="Calibri" w:hAnsi="Calibri" w:cs="Calibri"/>
                <w:b/>
                <w:bCs/>
                <w:color w:val="000000"/>
                <w:sz w:val="17"/>
                <w:szCs w:val="17"/>
                <w:lang w:val="en-IE" w:eastAsia="en-IE"/>
              </w:rPr>
              <w:t>7</w:t>
            </w:r>
          </w:p>
        </w:tc>
        <w:tc>
          <w:tcPr>
            <w:tcW w:w="850" w:type="dxa"/>
            <w:tcBorders>
              <w:top w:val="nil"/>
              <w:left w:val="nil"/>
              <w:bottom w:val="single" w:sz="4" w:space="0" w:color="auto"/>
              <w:right w:val="single" w:sz="4" w:space="0" w:color="auto"/>
            </w:tcBorders>
            <w:shd w:val="clear" w:color="000000" w:fill="F2F2F2"/>
            <w:noWrap/>
            <w:vAlign w:val="center"/>
            <w:hideMark/>
          </w:tcPr>
          <w:p w14:paraId="33F73736" w14:textId="77777777" w:rsidR="00B1438B" w:rsidRPr="006D7AEF" w:rsidRDefault="00B1438B" w:rsidP="00A05B52">
            <w:pPr>
              <w:jc w:val="right"/>
              <w:rPr>
                <w:rFonts w:ascii="Calibri" w:hAnsi="Calibri" w:cs="Calibri"/>
                <w:b/>
                <w:bCs/>
                <w:color w:val="000000"/>
                <w:sz w:val="17"/>
                <w:szCs w:val="17"/>
                <w:highlight w:val="yellow"/>
                <w:lang w:val="en-IE" w:eastAsia="en-IE"/>
              </w:rPr>
            </w:pPr>
            <w:r>
              <w:rPr>
                <w:rFonts w:ascii="Calibri" w:hAnsi="Calibri" w:cs="Calibri"/>
                <w:b/>
                <w:bCs/>
                <w:color w:val="000000"/>
                <w:sz w:val="17"/>
                <w:szCs w:val="17"/>
                <w:lang w:val="en-IE" w:eastAsia="en-IE"/>
              </w:rPr>
              <w:t>5</w:t>
            </w:r>
          </w:p>
        </w:tc>
        <w:tc>
          <w:tcPr>
            <w:tcW w:w="993" w:type="dxa"/>
            <w:tcBorders>
              <w:top w:val="nil"/>
              <w:left w:val="nil"/>
              <w:bottom w:val="single" w:sz="4" w:space="0" w:color="auto"/>
              <w:right w:val="single" w:sz="4" w:space="0" w:color="auto"/>
            </w:tcBorders>
            <w:shd w:val="clear" w:color="000000" w:fill="F2F2F2"/>
            <w:noWrap/>
            <w:vAlign w:val="center"/>
            <w:hideMark/>
          </w:tcPr>
          <w:p w14:paraId="2E0DD1EF"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AE175C">
              <w:rPr>
                <w:rFonts w:ascii="Calibri" w:hAnsi="Calibri" w:cs="Calibri"/>
                <w:b/>
                <w:bCs/>
                <w:color w:val="000000"/>
                <w:sz w:val="17"/>
                <w:szCs w:val="17"/>
                <w:lang w:val="en-IE" w:eastAsia="en-IE"/>
              </w:rPr>
              <w:t>313</w:t>
            </w:r>
          </w:p>
        </w:tc>
        <w:tc>
          <w:tcPr>
            <w:tcW w:w="850" w:type="dxa"/>
            <w:tcBorders>
              <w:top w:val="nil"/>
              <w:left w:val="nil"/>
              <w:bottom w:val="single" w:sz="4" w:space="0" w:color="auto"/>
              <w:right w:val="single" w:sz="4" w:space="0" w:color="auto"/>
            </w:tcBorders>
            <w:shd w:val="clear" w:color="auto" w:fill="auto"/>
            <w:noWrap/>
            <w:vAlign w:val="center"/>
            <w:hideMark/>
          </w:tcPr>
          <w:p w14:paraId="633B83F5" w14:textId="77777777" w:rsidR="00B1438B" w:rsidRPr="002E3808" w:rsidRDefault="00B1438B" w:rsidP="00A05B52">
            <w:pPr>
              <w:jc w:val="right"/>
              <w:rPr>
                <w:rFonts w:ascii="Calibri" w:hAnsi="Calibri" w:cs="Calibri"/>
                <w:b/>
                <w:bCs/>
                <w:color w:val="000000"/>
                <w:sz w:val="17"/>
                <w:szCs w:val="17"/>
                <w:lang w:val="en-IE" w:eastAsia="en-IE"/>
              </w:rPr>
            </w:pPr>
            <w:r w:rsidRPr="002E3808">
              <w:rPr>
                <w:rFonts w:ascii="Calibri" w:hAnsi="Calibri" w:cs="Calibri"/>
                <w:b/>
                <w:bCs/>
                <w:color w:val="000000"/>
                <w:sz w:val="17"/>
                <w:szCs w:val="17"/>
                <w:lang w:val="en-IE" w:eastAsia="en-IE"/>
              </w:rPr>
              <w:t>125</w:t>
            </w:r>
          </w:p>
        </w:tc>
        <w:tc>
          <w:tcPr>
            <w:tcW w:w="851" w:type="dxa"/>
            <w:tcBorders>
              <w:top w:val="nil"/>
              <w:left w:val="nil"/>
              <w:bottom w:val="single" w:sz="4" w:space="0" w:color="auto"/>
              <w:right w:val="single" w:sz="4" w:space="0" w:color="auto"/>
            </w:tcBorders>
            <w:shd w:val="clear" w:color="auto" w:fill="auto"/>
            <w:noWrap/>
            <w:vAlign w:val="center"/>
            <w:hideMark/>
          </w:tcPr>
          <w:p w14:paraId="7D422870" w14:textId="77777777" w:rsidR="00B1438B" w:rsidRPr="000D5A98" w:rsidRDefault="00B1438B" w:rsidP="00A05B52">
            <w:pPr>
              <w:jc w:val="right"/>
              <w:rPr>
                <w:rFonts w:ascii="Calibri" w:hAnsi="Calibri" w:cs="Calibri"/>
                <w:b/>
                <w:bCs/>
                <w:color w:val="000000"/>
                <w:sz w:val="17"/>
                <w:szCs w:val="17"/>
                <w:lang w:val="en-IE" w:eastAsia="en-IE"/>
              </w:rPr>
            </w:pPr>
            <w:r w:rsidRPr="00AE175C">
              <w:rPr>
                <w:rFonts w:ascii="Calibri" w:hAnsi="Calibri" w:cs="Calibri"/>
                <w:b/>
                <w:bCs/>
                <w:color w:val="000000"/>
                <w:sz w:val="17"/>
                <w:szCs w:val="17"/>
                <w:lang w:val="en-IE" w:eastAsia="en-IE"/>
              </w:rPr>
              <w:t>3</w:t>
            </w:r>
          </w:p>
        </w:tc>
        <w:tc>
          <w:tcPr>
            <w:tcW w:w="877" w:type="dxa"/>
            <w:tcBorders>
              <w:top w:val="nil"/>
              <w:left w:val="nil"/>
              <w:bottom w:val="single" w:sz="4" w:space="0" w:color="auto"/>
              <w:right w:val="single" w:sz="4" w:space="0" w:color="auto"/>
            </w:tcBorders>
            <w:shd w:val="clear" w:color="auto" w:fill="auto"/>
            <w:noWrap/>
            <w:vAlign w:val="center"/>
            <w:hideMark/>
          </w:tcPr>
          <w:p w14:paraId="6E165A1A"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AE175C">
              <w:rPr>
                <w:rFonts w:ascii="Calibri" w:hAnsi="Calibri" w:cs="Calibri"/>
                <w:b/>
                <w:bCs/>
                <w:color w:val="000000"/>
                <w:sz w:val="17"/>
                <w:szCs w:val="17"/>
                <w:lang w:val="en-IE" w:eastAsia="en-IE"/>
              </w:rPr>
              <w:t>127</w:t>
            </w:r>
          </w:p>
        </w:tc>
        <w:tc>
          <w:tcPr>
            <w:tcW w:w="824" w:type="dxa"/>
            <w:tcBorders>
              <w:top w:val="nil"/>
              <w:left w:val="nil"/>
              <w:bottom w:val="single" w:sz="4" w:space="0" w:color="auto"/>
              <w:right w:val="single" w:sz="4" w:space="0" w:color="auto"/>
            </w:tcBorders>
            <w:shd w:val="clear" w:color="000000" w:fill="F2F2F2"/>
            <w:noWrap/>
            <w:vAlign w:val="center"/>
            <w:hideMark/>
          </w:tcPr>
          <w:p w14:paraId="6A8B9CBE" w14:textId="77777777" w:rsidR="00B1438B" w:rsidRPr="00433524" w:rsidRDefault="00B1438B" w:rsidP="00A05B52">
            <w:pPr>
              <w:jc w:val="right"/>
              <w:rPr>
                <w:rFonts w:ascii="Calibri" w:hAnsi="Calibri" w:cs="Calibri"/>
                <w:b/>
                <w:bCs/>
                <w:color w:val="000000"/>
                <w:sz w:val="17"/>
                <w:szCs w:val="17"/>
                <w:lang w:val="en-IE" w:eastAsia="en-IE"/>
              </w:rPr>
            </w:pPr>
            <w:r w:rsidRPr="00433524">
              <w:rPr>
                <w:rFonts w:ascii="Calibri" w:hAnsi="Calibri" w:cs="Calibri"/>
                <w:b/>
                <w:bCs/>
                <w:color w:val="000000"/>
                <w:sz w:val="17"/>
                <w:szCs w:val="17"/>
                <w:lang w:val="en-IE" w:eastAsia="en-IE"/>
              </w:rPr>
              <w:t>53</w:t>
            </w:r>
          </w:p>
        </w:tc>
        <w:tc>
          <w:tcPr>
            <w:tcW w:w="737" w:type="dxa"/>
            <w:tcBorders>
              <w:top w:val="nil"/>
              <w:left w:val="nil"/>
              <w:bottom w:val="single" w:sz="4" w:space="0" w:color="auto"/>
              <w:right w:val="single" w:sz="4" w:space="0" w:color="auto"/>
            </w:tcBorders>
            <w:shd w:val="clear" w:color="000000" w:fill="F2F2F2"/>
            <w:noWrap/>
            <w:vAlign w:val="center"/>
            <w:hideMark/>
          </w:tcPr>
          <w:p w14:paraId="09090443"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AE175C">
              <w:rPr>
                <w:rFonts w:ascii="Calibri" w:hAnsi="Calibri" w:cs="Calibri"/>
                <w:b/>
                <w:bCs/>
                <w:color w:val="000000"/>
                <w:sz w:val="17"/>
                <w:szCs w:val="17"/>
                <w:lang w:val="en-IE" w:eastAsia="en-IE"/>
              </w:rPr>
              <w:t>23</w:t>
            </w:r>
          </w:p>
        </w:tc>
        <w:tc>
          <w:tcPr>
            <w:tcW w:w="877" w:type="dxa"/>
            <w:tcBorders>
              <w:top w:val="nil"/>
              <w:left w:val="nil"/>
              <w:bottom w:val="single" w:sz="4" w:space="0" w:color="auto"/>
              <w:right w:val="single" w:sz="4" w:space="0" w:color="auto"/>
            </w:tcBorders>
            <w:shd w:val="clear" w:color="000000" w:fill="F2F2F2"/>
            <w:noWrap/>
            <w:vAlign w:val="center"/>
            <w:hideMark/>
          </w:tcPr>
          <w:p w14:paraId="39F52CA5"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AE175C">
              <w:rPr>
                <w:rFonts w:ascii="Calibri" w:hAnsi="Calibri" w:cs="Calibri"/>
                <w:b/>
                <w:bCs/>
                <w:color w:val="000000"/>
                <w:sz w:val="17"/>
                <w:szCs w:val="17"/>
                <w:lang w:val="en-IE" w:eastAsia="en-IE"/>
              </w:rPr>
              <w:t>76</w:t>
            </w:r>
          </w:p>
        </w:tc>
        <w:tc>
          <w:tcPr>
            <w:tcW w:w="824" w:type="dxa"/>
            <w:tcBorders>
              <w:top w:val="nil"/>
              <w:left w:val="nil"/>
              <w:bottom w:val="single" w:sz="4" w:space="0" w:color="auto"/>
              <w:right w:val="single" w:sz="4" w:space="0" w:color="auto"/>
            </w:tcBorders>
            <w:shd w:val="clear" w:color="auto" w:fill="auto"/>
            <w:noWrap/>
            <w:vAlign w:val="center"/>
            <w:hideMark/>
          </w:tcPr>
          <w:p w14:paraId="0DBE9986" w14:textId="77777777" w:rsidR="00B1438B" w:rsidRPr="00FA4C0B" w:rsidRDefault="00B1438B" w:rsidP="00A05B52">
            <w:pPr>
              <w:jc w:val="right"/>
              <w:rPr>
                <w:rFonts w:ascii="Calibri" w:hAnsi="Calibri" w:cs="Calibri"/>
                <w:b/>
                <w:bCs/>
                <w:color w:val="000000"/>
                <w:sz w:val="17"/>
                <w:szCs w:val="17"/>
                <w:lang w:val="en-IE" w:eastAsia="en-IE"/>
              </w:rPr>
            </w:pPr>
            <w:r>
              <w:rPr>
                <w:rFonts w:ascii="Calibri" w:hAnsi="Calibri" w:cs="Calibri"/>
                <w:b/>
                <w:bCs/>
                <w:color w:val="000000"/>
                <w:sz w:val="17"/>
                <w:szCs w:val="17"/>
                <w:lang w:val="en-IE" w:eastAsia="en-IE"/>
              </w:rPr>
              <w:t>(</w:t>
            </w:r>
            <w:r w:rsidRPr="00FA4C0B">
              <w:rPr>
                <w:rFonts w:ascii="Calibri" w:hAnsi="Calibri" w:cs="Calibri"/>
                <w:b/>
                <w:bCs/>
                <w:color w:val="000000"/>
                <w:sz w:val="17"/>
                <w:szCs w:val="17"/>
                <w:lang w:val="en-IE" w:eastAsia="en-IE"/>
              </w:rPr>
              <w:t>40</w:t>
            </w:r>
            <w:r>
              <w:rPr>
                <w:rFonts w:ascii="Calibri" w:hAnsi="Calibri" w:cs="Calibri"/>
                <w:b/>
                <w:bCs/>
                <w:color w:val="000000"/>
                <w:sz w:val="17"/>
                <w:szCs w:val="17"/>
                <w:lang w:val="en-IE" w:eastAsia="en-IE"/>
              </w:rPr>
              <w:t>)</w:t>
            </w:r>
          </w:p>
        </w:tc>
        <w:tc>
          <w:tcPr>
            <w:tcW w:w="737" w:type="dxa"/>
            <w:tcBorders>
              <w:top w:val="nil"/>
              <w:left w:val="nil"/>
              <w:bottom w:val="single" w:sz="4" w:space="0" w:color="auto"/>
              <w:right w:val="single" w:sz="4" w:space="0" w:color="auto"/>
            </w:tcBorders>
            <w:shd w:val="clear" w:color="auto" w:fill="auto"/>
            <w:noWrap/>
            <w:vAlign w:val="center"/>
            <w:hideMark/>
          </w:tcPr>
          <w:p w14:paraId="64146C84" w14:textId="77777777" w:rsidR="00B1438B" w:rsidRPr="00FA4C0B" w:rsidRDefault="00B1438B" w:rsidP="00A05B52">
            <w:pPr>
              <w:jc w:val="right"/>
              <w:rPr>
                <w:rFonts w:ascii="Calibri" w:hAnsi="Calibri" w:cs="Calibri"/>
                <w:b/>
                <w:bCs/>
                <w:color w:val="000000"/>
                <w:sz w:val="17"/>
                <w:szCs w:val="17"/>
                <w:lang w:val="en-IE" w:eastAsia="en-IE"/>
              </w:rPr>
            </w:pPr>
            <w:r w:rsidRPr="00AE175C">
              <w:rPr>
                <w:rFonts w:ascii="Calibri" w:hAnsi="Calibri" w:cs="Calibri"/>
                <w:b/>
                <w:bCs/>
                <w:color w:val="000000"/>
                <w:sz w:val="17"/>
                <w:szCs w:val="17"/>
                <w:lang w:val="en-IE" w:eastAsia="en-IE"/>
              </w:rPr>
              <w:t>4</w:t>
            </w:r>
          </w:p>
        </w:tc>
        <w:tc>
          <w:tcPr>
            <w:tcW w:w="877" w:type="dxa"/>
            <w:tcBorders>
              <w:top w:val="nil"/>
              <w:left w:val="nil"/>
              <w:bottom w:val="single" w:sz="4" w:space="0" w:color="auto"/>
              <w:right w:val="single" w:sz="4" w:space="0" w:color="auto"/>
            </w:tcBorders>
            <w:shd w:val="clear" w:color="auto" w:fill="auto"/>
            <w:noWrap/>
            <w:vAlign w:val="center"/>
            <w:hideMark/>
          </w:tcPr>
          <w:p w14:paraId="7E93DEB0"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AE175C">
              <w:rPr>
                <w:rFonts w:ascii="Calibri" w:hAnsi="Calibri" w:cs="Calibri"/>
                <w:b/>
                <w:bCs/>
                <w:color w:val="000000"/>
                <w:sz w:val="17"/>
                <w:szCs w:val="17"/>
                <w:lang w:val="en-IE" w:eastAsia="en-IE"/>
              </w:rPr>
              <w:t>(36)</w:t>
            </w:r>
          </w:p>
        </w:tc>
        <w:tc>
          <w:tcPr>
            <w:tcW w:w="824" w:type="dxa"/>
            <w:tcBorders>
              <w:top w:val="nil"/>
              <w:left w:val="nil"/>
              <w:bottom w:val="single" w:sz="4" w:space="0" w:color="auto"/>
              <w:right w:val="single" w:sz="4" w:space="0" w:color="auto"/>
            </w:tcBorders>
            <w:shd w:val="clear" w:color="000000" w:fill="F2F2F2"/>
            <w:noWrap/>
            <w:vAlign w:val="center"/>
            <w:hideMark/>
          </w:tcPr>
          <w:p w14:paraId="09D304DF" w14:textId="77777777" w:rsidR="00B1438B" w:rsidRPr="00FA4C0B" w:rsidRDefault="00B1438B" w:rsidP="00A05B52">
            <w:pPr>
              <w:jc w:val="right"/>
              <w:rPr>
                <w:rFonts w:ascii="Calibri" w:hAnsi="Calibri" w:cs="Calibri"/>
                <w:b/>
                <w:bCs/>
                <w:color w:val="000000"/>
                <w:sz w:val="17"/>
                <w:szCs w:val="17"/>
                <w:lang w:val="en-IE" w:eastAsia="en-IE"/>
              </w:rPr>
            </w:pPr>
            <w:r w:rsidRPr="00FA4C0B">
              <w:rPr>
                <w:rFonts w:ascii="Calibri" w:hAnsi="Calibri" w:cs="Calibri"/>
                <w:b/>
                <w:bCs/>
                <w:color w:val="000000"/>
                <w:sz w:val="17"/>
                <w:szCs w:val="17"/>
                <w:lang w:val="en-IE" w:eastAsia="en-IE"/>
              </w:rPr>
              <w:t>385</w:t>
            </w:r>
          </w:p>
        </w:tc>
        <w:tc>
          <w:tcPr>
            <w:tcW w:w="737" w:type="dxa"/>
            <w:tcBorders>
              <w:top w:val="nil"/>
              <w:left w:val="nil"/>
              <w:bottom w:val="single" w:sz="4" w:space="0" w:color="auto"/>
              <w:right w:val="single" w:sz="4" w:space="0" w:color="auto"/>
            </w:tcBorders>
            <w:shd w:val="clear" w:color="000000" w:fill="F2F2F2"/>
            <w:noWrap/>
            <w:vAlign w:val="center"/>
            <w:hideMark/>
          </w:tcPr>
          <w:p w14:paraId="7F6E8718"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661BED">
              <w:rPr>
                <w:rFonts w:ascii="Calibri" w:hAnsi="Calibri" w:cs="Calibri"/>
                <w:b/>
                <w:bCs/>
                <w:color w:val="000000"/>
                <w:sz w:val="17"/>
                <w:szCs w:val="17"/>
                <w:lang w:val="en-IE" w:eastAsia="en-IE"/>
              </w:rPr>
              <w:t>40</w:t>
            </w:r>
          </w:p>
        </w:tc>
        <w:tc>
          <w:tcPr>
            <w:tcW w:w="877" w:type="dxa"/>
            <w:tcBorders>
              <w:top w:val="nil"/>
              <w:left w:val="nil"/>
              <w:bottom w:val="single" w:sz="4" w:space="0" w:color="auto"/>
              <w:right w:val="single" w:sz="4" w:space="0" w:color="auto"/>
            </w:tcBorders>
            <w:shd w:val="clear" w:color="000000" w:fill="F2F2F2"/>
            <w:noWrap/>
            <w:vAlign w:val="center"/>
            <w:hideMark/>
          </w:tcPr>
          <w:p w14:paraId="4E41AABD"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661BED">
              <w:rPr>
                <w:rFonts w:ascii="Calibri" w:hAnsi="Calibri" w:cs="Calibri"/>
                <w:b/>
                <w:bCs/>
                <w:color w:val="000000"/>
                <w:sz w:val="17"/>
                <w:szCs w:val="17"/>
                <w:lang w:val="en-IE" w:eastAsia="en-IE"/>
              </w:rPr>
              <w:t>425</w:t>
            </w:r>
          </w:p>
        </w:tc>
      </w:tr>
      <w:tr w:rsidR="00B1438B" w:rsidRPr="003B39E3" w14:paraId="179A53C4" w14:textId="77777777" w:rsidTr="00A05B52">
        <w:trPr>
          <w:trHeight w:val="254"/>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5984E0F6" w14:textId="77777777" w:rsidR="00B1438B" w:rsidRPr="003B39E3" w:rsidRDefault="00B1438B" w:rsidP="00A05B52">
            <w:pPr>
              <w:rPr>
                <w:rFonts w:ascii="Calibri" w:hAnsi="Calibri" w:cs="Calibri"/>
                <w:color w:val="000000"/>
                <w:sz w:val="17"/>
                <w:szCs w:val="17"/>
                <w:lang w:val="en-IE" w:eastAsia="en-IE"/>
              </w:rPr>
            </w:pPr>
            <w:r w:rsidRPr="003B39E3">
              <w:rPr>
                <w:rFonts w:ascii="Calibri" w:hAnsi="Calibri" w:cs="Calibri"/>
                <w:color w:val="000000"/>
                <w:sz w:val="17"/>
                <w:szCs w:val="17"/>
                <w:lang w:val="en-IE" w:eastAsia="en-IE"/>
              </w:rPr>
              <w:t>Depreciation &amp; amortisation</w:t>
            </w:r>
          </w:p>
        </w:tc>
        <w:tc>
          <w:tcPr>
            <w:tcW w:w="851" w:type="dxa"/>
            <w:tcBorders>
              <w:top w:val="nil"/>
              <w:left w:val="nil"/>
              <w:bottom w:val="single" w:sz="4" w:space="0" w:color="auto"/>
              <w:right w:val="single" w:sz="4" w:space="0" w:color="auto"/>
            </w:tcBorders>
            <w:shd w:val="clear" w:color="000000" w:fill="F2F2F2"/>
            <w:noWrap/>
            <w:vAlign w:val="center"/>
            <w:hideMark/>
          </w:tcPr>
          <w:p w14:paraId="59B72571" w14:textId="77777777" w:rsidR="00B1438B" w:rsidRPr="006D7AEF" w:rsidRDefault="00B1438B" w:rsidP="00A05B52">
            <w:pPr>
              <w:jc w:val="right"/>
              <w:rPr>
                <w:rFonts w:ascii="Calibri" w:hAnsi="Calibri" w:cs="Calibri"/>
                <w:color w:val="000000"/>
                <w:sz w:val="17"/>
                <w:szCs w:val="17"/>
                <w:lang w:val="en-IE" w:eastAsia="en-IE"/>
              </w:rPr>
            </w:pPr>
            <w:r w:rsidRPr="006D7AEF">
              <w:rPr>
                <w:rFonts w:ascii="Calibri" w:hAnsi="Calibri" w:cs="Calibri"/>
                <w:color w:val="000000"/>
                <w:sz w:val="17"/>
                <w:szCs w:val="17"/>
                <w:lang w:val="en-IE" w:eastAsia="en-IE"/>
              </w:rPr>
              <w:t>(45)</w:t>
            </w:r>
          </w:p>
        </w:tc>
        <w:tc>
          <w:tcPr>
            <w:tcW w:w="850" w:type="dxa"/>
            <w:tcBorders>
              <w:top w:val="nil"/>
              <w:left w:val="nil"/>
              <w:bottom w:val="single" w:sz="4" w:space="0" w:color="auto"/>
              <w:right w:val="single" w:sz="4" w:space="0" w:color="auto"/>
            </w:tcBorders>
            <w:shd w:val="clear" w:color="000000" w:fill="F2F2F2"/>
            <w:noWrap/>
            <w:vAlign w:val="center"/>
            <w:hideMark/>
          </w:tcPr>
          <w:p w14:paraId="6224455A" w14:textId="77777777" w:rsidR="00B1438B" w:rsidRPr="006D7AEF" w:rsidRDefault="00B1438B" w:rsidP="00A05B52">
            <w:pPr>
              <w:jc w:val="right"/>
              <w:rPr>
                <w:rFonts w:ascii="Calibri" w:hAnsi="Calibri" w:cs="Calibri"/>
                <w:color w:val="000000"/>
                <w:sz w:val="17"/>
                <w:szCs w:val="17"/>
                <w:highlight w:val="yellow"/>
                <w:lang w:val="en-IE" w:eastAsia="en-IE"/>
              </w:rPr>
            </w:pPr>
            <w:r w:rsidRPr="00AE175C">
              <w:rPr>
                <w:rFonts w:ascii="Calibri" w:hAnsi="Calibri" w:cs="Calibri"/>
                <w:color w:val="000000"/>
                <w:sz w:val="17"/>
                <w:szCs w:val="17"/>
                <w:lang w:val="en-IE" w:eastAsia="en-IE"/>
              </w:rPr>
              <w:t>(5)</w:t>
            </w:r>
          </w:p>
        </w:tc>
        <w:tc>
          <w:tcPr>
            <w:tcW w:w="993" w:type="dxa"/>
            <w:tcBorders>
              <w:top w:val="nil"/>
              <w:left w:val="nil"/>
              <w:bottom w:val="single" w:sz="4" w:space="0" w:color="auto"/>
              <w:right w:val="single" w:sz="4" w:space="0" w:color="auto"/>
            </w:tcBorders>
            <w:shd w:val="clear" w:color="000000" w:fill="F2F2F2"/>
            <w:noWrap/>
            <w:vAlign w:val="center"/>
            <w:hideMark/>
          </w:tcPr>
          <w:p w14:paraId="24857DB7" w14:textId="77777777" w:rsidR="00B1438B" w:rsidRPr="006945D7" w:rsidRDefault="00B1438B" w:rsidP="00A05B52">
            <w:pPr>
              <w:jc w:val="right"/>
              <w:rPr>
                <w:rFonts w:ascii="Calibri" w:hAnsi="Calibri" w:cs="Calibri"/>
                <w:color w:val="000000"/>
                <w:sz w:val="17"/>
                <w:szCs w:val="17"/>
                <w:highlight w:val="yellow"/>
                <w:lang w:val="en-IE" w:eastAsia="en-IE"/>
              </w:rPr>
            </w:pPr>
            <w:r w:rsidRPr="00AE175C">
              <w:rPr>
                <w:rFonts w:ascii="Calibri" w:hAnsi="Calibri" w:cs="Calibri"/>
                <w:color w:val="000000"/>
                <w:sz w:val="17"/>
                <w:szCs w:val="17"/>
                <w:lang w:val="en-IE" w:eastAsia="en-IE"/>
              </w:rPr>
              <w:t>(50)</w:t>
            </w:r>
          </w:p>
        </w:tc>
        <w:tc>
          <w:tcPr>
            <w:tcW w:w="850" w:type="dxa"/>
            <w:tcBorders>
              <w:top w:val="nil"/>
              <w:left w:val="nil"/>
              <w:bottom w:val="single" w:sz="4" w:space="0" w:color="auto"/>
              <w:right w:val="single" w:sz="4" w:space="0" w:color="auto"/>
            </w:tcBorders>
            <w:shd w:val="clear" w:color="auto" w:fill="auto"/>
            <w:noWrap/>
            <w:vAlign w:val="center"/>
            <w:hideMark/>
          </w:tcPr>
          <w:p w14:paraId="30349E2A" w14:textId="77777777" w:rsidR="00B1438B" w:rsidRPr="002E3808" w:rsidRDefault="00B1438B" w:rsidP="00A05B52">
            <w:pPr>
              <w:jc w:val="right"/>
              <w:rPr>
                <w:rFonts w:ascii="Calibri" w:hAnsi="Calibri" w:cs="Calibri"/>
                <w:color w:val="000000"/>
                <w:sz w:val="17"/>
                <w:szCs w:val="17"/>
                <w:lang w:val="en-IE" w:eastAsia="en-IE"/>
              </w:rPr>
            </w:pPr>
            <w:r w:rsidRPr="002E3808">
              <w:rPr>
                <w:rFonts w:ascii="Calibri" w:hAnsi="Calibri" w:cs="Calibri"/>
                <w:color w:val="000000"/>
                <w:sz w:val="17"/>
                <w:szCs w:val="17"/>
                <w:lang w:val="en-IE" w:eastAsia="en-IE"/>
              </w:rPr>
              <w:t>(21)</w:t>
            </w:r>
          </w:p>
        </w:tc>
        <w:tc>
          <w:tcPr>
            <w:tcW w:w="851" w:type="dxa"/>
            <w:tcBorders>
              <w:top w:val="nil"/>
              <w:left w:val="nil"/>
              <w:bottom w:val="single" w:sz="4" w:space="0" w:color="auto"/>
              <w:right w:val="single" w:sz="4" w:space="0" w:color="auto"/>
            </w:tcBorders>
            <w:shd w:val="clear" w:color="auto" w:fill="auto"/>
            <w:noWrap/>
            <w:vAlign w:val="center"/>
            <w:hideMark/>
          </w:tcPr>
          <w:p w14:paraId="6DA46C13" w14:textId="77777777" w:rsidR="00B1438B" w:rsidRPr="000D5A98" w:rsidRDefault="00B1438B" w:rsidP="00A05B52">
            <w:pPr>
              <w:jc w:val="right"/>
              <w:rPr>
                <w:rFonts w:ascii="Calibri" w:hAnsi="Calibri" w:cs="Calibri"/>
                <w:color w:val="000000"/>
                <w:sz w:val="17"/>
                <w:szCs w:val="17"/>
                <w:lang w:val="en-IE" w:eastAsia="en-IE"/>
              </w:rPr>
            </w:pPr>
            <w:r w:rsidRPr="00AE175C">
              <w:rPr>
                <w:rFonts w:ascii="Calibri" w:hAnsi="Calibri" w:cs="Calibri"/>
                <w:color w:val="000000"/>
                <w:sz w:val="17"/>
                <w:szCs w:val="17"/>
                <w:lang w:val="en-IE" w:eastAsia="en-IE"/>
              </w:rPr>
              <w:t>(</w:t>
            </w:r>
            <w:r>
              <w:rPr>
                <w:rFonts w:ascii="Calibri" w:hAnsi="Calibri" w:cs="Calibri"/>
                <w:color w:val="000000"/>
                <w:sz w:val="17"/>
                <w:szCs w:val="17"/>
                <w:lang w:val="en-IE" w:eastAsia="en-IE"/>
              </w:rPr>
              <w:t>2</w:t>
            </w:r>
            <w:r w:rsidRPr="00AE175C">
              <w:rPr>
                <w:rFonts w:ascii="Calibri" w:hAnsi="Calibri" w:cs="Calibri"/>
                <w:color w:val="000000"/>
                <w:sz w:val="17"/>
                <w:szCs w:val="17"/>
                <w:lang w:val="en-IE" w:eastAsia="en-IE"/>
              </w:rPr>
              <w:t>)</w:t>
            </w:r>
          </w:p>
        </w:tc>
        <w:tc>
          <w:tcPr>
            <w:tcW w:w="877" w:type="dxa"/>
            <w:tcBorders>
              <w:top w:val="nil"/>
              <w:left w:val="nil"/>
              <w:bottom w:val="single" w:sz="4" w:space="0" w:color="auto"/>
              <w:right w:val="single" w:sz="4" w:space="0" w:color="auto"/>
            </w:tcBorders>
            <w:shd w:val="clear" w:color="auto" w:fill="auto"/>
            <w:noWrap/>
            <w:vAlign w:val="center"/>
            <w:hideMark/>
          </w:tcPr>
          <w:p w14:paraId="57D3054B" w14:textId="77777777" w:rsidR="00B1438B" w:rsidRPr="006945D7" w:rsidRDefault="00B1438B" w:rsidP="00A05B52">
            <w:pPr>
              <w:jc w:val="right"/>
              <w:rPr>
                <w:rFonts w:ascii="Calibri" w:hAnsi="Calibri" w:cs="Calibri"/>
                <w:color w:val="000000"/>
                <w:sz w:val="17"/>
                <w:szCs w:val="17"/>
                <w:highlight w:val="yellow"/>
                <w:lang w:val="en-IE" w:eastAsia="en-IE"/>
              </w:rPr>
            </w:pPr>
            <w:r w:rsidRPr="00AE175C">
              <w:rPr>
                <w:rFonts w:ascii="Calibri" w:hAnsi="Calibri" w:cs="Calibri"/>
                <w:color w:val="000000"/>
                <w:sz w:val="17"/>
                <w:szCs w:val="17"/>
                <w:lang w:val="en-IE" w:eastAsia="en-IE"/>
              </w:rPr>
              <w:t>(24)</w:t>
            </w:r>
          </w:p>
        </w:tc>
        <w:tc>
          <w:tcPr>
            <w:tcW w:w="824" w:type="dxa"/>
            <w:tcBorders>
              <w:top w:val="nil"/>
              <w:left w:val="nil"/>
              <w:bottom w:val="single" w:sz="4" w:space="0" w:color="auto"/>
              <w:right w:val="single" w:sz="4" w:space="0" w:color="auto"/>
            </w:tcBorders>
            <w:shd w:val="clear" w:color="000000" w:fill="F2F2F2"/>
            <w:noWrap/>
            <w:vAlign w:val="center"/>
            <w:hideMark/>
          </w:tcPr>
          <w:p w14:paraId="557EF9C4" w14:textId="77777777" w:rsidR="00B1438B" w:rsidRPr="00433524" w:rsidRDefault="00B1438B" w:rsidP="00A05B52">
            <w:pPr>
              <w:jc w:val="right"/>
              <w:rPr>
                <w:rFonts w:ascii="Calibri" w:hAnsi="Calibri" w:cs="Calibri"/>
                <w:color w:val="000000"/>
                <w:sz w:val="17"/>
                <w:szCs w:val="17"/>
                <w:lang w:val="en-IE" w:eastAsia="en-IE"/>
              </w:rPr>
            </w:pPr>
            <w:r w:rsidRPr="00433524">
              <w:rPr>
                <w:rFonts w:ascii="Calibri" w:hAnsi="Calibri" w:cs="Calibri"/>
                <w:color w:val="000000"/>
                <w:sz w:val="17"/>
                <w:szCs w:val="17"/>
                <w:lang w:val="en-IE" w:eastAsia="en-IE"/>
              </w:rPr>
              <w:t>(22)</w:t>
            </w:r>
          </w:p>
        </w:tc>
        <w:tc>
          <w:tcPr>
            <w:tcW w:w="737" w:type="dxa"/>
            <w:tcBorders>
              <w:top w:val="nil"/>
              <w:left w:val="nil"/>
              <w:bottom w:val="single" w:sz="4" w:space="0" w:color="auto"/>
              <w:right w:val="single" w:sz="4" w:space="0" w:color="auto"/>
            </w:tcBorders>
            <w:shd w:val="clear" w:color="000000" w:fill="F2F2F2"/>
            <w:noWrap/>
            <w:vAlign w:val="center"/>
            <w:hideMark/>
          </w:tcPr>
          <w:p w14:paraId="0340C726" w14:textId="77777777" w:rsidR="00B1438B" w:rsidRPr="006945D7" w:rsidRDefault="00B1438B" w:rsidP="00A05B52">
            <w:pPr>
              <w:jc w:val="right"/>
              <w:rPr>
                <w:rFonts w:ascii="Calibri" w:hAnsi="Calibri" w:cs="Calibri"/>
                <w:color w:val="000000"/>
                <w:sz w:val="17"/>
                <w:szCs w:val="17"/>
                <w:highlight w:val="yellow"/>
                <w:lang w:val="en-IE" w:eastAsia="en-IE"/>
              </w:rPr>
            </w:pPr>
            <w:r w:rsidRPr="00AE175C">
              <w:rPr>
                <w:rFonts w:ascii="Calibri" w:hAnsi="Calibri" w:cs="Calibri"/>
                <w:color w:val="000000"/>
                <w:sz w:val="17"/>
                <w:szCs w:val="17"/>
                <w:lang w:val="en-IE" w:eastAsia="en-IE"/>
              </w:rPr>
              <w:t>(21)</w:t>
            </w:r>
          </w:p>
        </w:tc>
        <w:tc>
          <w:tcPr>
            <w:tcW w:w="877" w:type="dxa"/>
            <w:tcBorders>
              <w:top w:val="nil"/>
              <w:left w:val="nil"/>
              <w:bottom w:val="single" w:sz="4" w:space="0" w:color="auto"/>
              <w:right w:val="single" w:sz="4" w:space="0" w:color="auto"/>
            </w:tcBorders>
            <w:shd w:val="clear" w:color="000000" w:fill="F2F2F2"/>
            <w:noWrap/>
            <w:vAlign w:val="center"/>
            <w:hideMark/>
          </w:tcPr>
          <w:p w14:paraId="6724A257" w14:textId="77777777" w:rsidR="00B1438B" w:rsidRPr="006945D7" w:rsidRDefault="00B1438B" w:rsidP="00A05B52">
            <w:pPr>
              <w:jc w:val="right"/>
              <w:rPr>
                <w:rFonts w:ascii="Calibri" w:hAnsi="Calibri" w:cs="Calibri"/>
                <w:color w:val="000000"/>
                <w:sz w:val="17"/>
                <w:szCs w:val="17"/>
                <w:highlight w:val="yellow"/>
                <w:lang w:val="en-IE" w:eastAsia="en-IE"/>
              </w:rPr>
            </w:pPr>
            <w:r w:rsidRPr="00AE175C">
              <w:rPr>
                <w:rFonts w:ascii="Calibri" w:hAnsi="Calibri" w:cs="Calibri"/>
                <w:color w:val="000000"/>
                <w:sz w:val="17"/>
                <w:szCs w:val="17"/>
                <w:lang w:val="en-IE" w:eastAsia="en-IE"/>
              </w:rPr>
              <w:t>(43)</w:t>
            </w:r>
          </w:p>
        </w:tc>
        <w:tc>
          <w:tcPr>
            <w:tcW w:w="824" w:type="dxa"/>
            <w:tcBorders>
              <w:top w:val="nil"/>
              <w:left w:val="nil"/>
              <w:bottom w:val="single" w:sz="4" w:space="0" w:color="auto"/>
              <w:right w:val="single" w:sz="4" w:space="0" w:color="auto"/>
            </w:tcBorders>
            <w:shd w:val="clear" w:color="auto" w:fill="auto"/>
            <w:noWrap/>
            <w:vAlign w:val="center"/>
            <w:hideMark/>
          </w:tcPr>
          <w:p w14:paraId="0374E3E4" w14:textId="77777777" w:rsidR="00B1438B" w:rsidRPr="00FA4C0B" w:rsidRDefault="00B1438B" w:rsidP="00A05B52">
            <w:pPr>
              <w:jc w:val="right"/>
              <w:rPr>
                <w:rFonts w:ascii="Calibri" w:hAnsi="Calibri" w:cs="Calibri"/>
                <w:color w:val="000000"/>
                <w:sz w:val="17"/>
                <w:szCs w:val="17"/>
                <w:lang w:val="en-IE" w:eastAsia="en-IE"/>
              </w:rPr>
            </w:pPr>
            <w:r w:rsidRPr="00FA4C0B">
              <w:rPr>
                <w:rFonts w:ascii="Calibri" w:hAnsi="Calibri" w:cs="Calibri"/>
                <w:color w:val="000000"/>
                <w:sz w:val="17"/>
                <w:szCs w:val="17"/>
                <w:lang w:val="en-IE" w:eastAsia="en-IE"/>
              </w:rPr>
              <w:t>(20)</w:t>
            </w:r>
          </w:p>
        </w:tc>
        <w:tc>
          <w:tcPr>
            <w:tcW w:w="737" w:type="dxa"/>
            <w:tcBorders>
              <w:top w:val="nil"/>
              <w:left w:val="nil"/>
              <w:bottom w:val="single" w:sz="4" w:space="0" w:color="auto"/>
              <w:right w:val="single" w:sz="4" w:space="0" w:color="auto"/>
            </w:tcBorders>
            <w:shd w:val="clear" w:color="auto" w:fill="auto"/>
            <w:noWrap/>
            <w:vAlign w:val="center"/>
            <w:hideMark/>
          </w:tcPr>
          <w:p w14:paraId="365744BF" w14:textId="77777777" w:rsidR="00B1438B" w:rsidRPr="00FA4C0B" w:rsidRDefault="00B1438B" w:rsidP="00A05B52">
            <w:pPr>
              <w:jc w:val="right"/>
              <w:rPr>
                <w:rFonts w:ascii="Calibri" w:hAnsi="Calibri" w:cs="Calibri"/>
                <w:color w:val="000000"/>
                <w:sz w:val="17"/>
                <w:szCs w:val="17"/>
                <w:lang w:val="en-IE" w:eastAsia="en-IE"/>
              </w:rPr>
            </w:pPr>
            <w:r w:rsidRPr="00AE175C">
              <w:rPr>
                <w:rFonts w:ascii="Calibri" w:hAnsi="Calibri" w:cs="Calibri"/>
                <w:color w:val="000000"/>
                <w:sz w:val="17"/>
                <w:szCs w:val="17"/>
                <w:lang w:val="en-IE" w:eastAsia="en-IE"/>
              </w:rPr>
              <w:t>(4)</w:t>
            </w:r>
          </w:p>
        </w:tc>
        <w:tc>
          <w:tcPr>
            <w:tcW w:w="877" w:type="dxa"/>
            <w:tcBorders>
              <w:top w:val="nil"/>
              <w:left w:val="nil"/>
              <w:bottom w:val="single" w:sz="4" w:space="0" w:color="auto"/>
              <w:right w:val="single" w:sz="4" w:space="0" w:color="auto"/>
            </w:tcBorders>
            <w:shd w:val="clear" w:color="auto" w:fill="auto"/>
            <w:noWrap/>
            <w:vAlign w:val="center"/>
            <w:hideMark/>
          </w:tcPr>
          <w:p w14:paraId="4CF51F97" w14:textId="77777777" w:rsidR="00B1438B" w:rsidRPr="006945D7" w:rsidRDefault="00B1438B" w:rsidP="00A05B52">
            <w:pPr>
              <w:jc w:val="right"/>
              <w:rPr>
                <w:rFonts w:ascii="Calibri" w:hAnsi="Calibri" w:cs="Calibri"/>
                <w:color w:val="000000"/>
                <w:sz w:val="17"/>
                <w:szCs w:val="17"/>
                <w:highlight w:val="yellow"/>
                <w:lang w:val="en-IE" w:eastAsia="en-IE"/>
              </w:rPr>
            </w:pPr>
            <w:r w:rsidRPr="00AE175C">
              <w:rPr>
                <w:rFonts w:ascii="Calibri" w:hAnsi="Calibri" w:cs="Calibri"/>
                <w:color w:val="000000"/>
                <w:sz w:val="17"/>
                <w:szCs w:val="17"/>
                <w:lang w:val="en-IE" w:eastAsia="en-IE"/>
              </w:rPr>
              <w:t>(24)</w:t>
            </w:r>
          </w:p>
        </w:tc>
        <w:tc>
          <w:tcPr>
            <w:tcW w:w="824" w:type="dxa"/>
            <w:tcBorders>
              <w:top w:val="nil"/>
              <w:left w:val="nil"/>
              <w:bottom w:val="single" w:sz="4" w:space="0" w:color="auto"/>
              <w:right w:val="single" w:sz="4" w:space="0" w:color="auto"/>
            </w:tcBorders>
            <w:shd w:val="clear" w:color="000000" w:fill="F2F2F2"/>
            <w:noWrap/>
            <w:vAlign w:val="center"/>
            <w:hideMark/>
          </w:tcPr>
          <w:p w14:paraId="72C9B347" w14:textId="77777777" w:rsidR="00B1438B" w:rsidRPr="00FA4C0B" w:rsidRDefault="00B1438B" w:rsidP="00A05B52">
            <w:pPr>
              <w:jc w:val="right"/>
              <w:rPr>
                <w:rFonts w:ascii="Calibri" w:hAnsi="Calibri" w:cs="Calibri"/>
                <w:color w:val="000000"/>
                <w:sz w:val="17"/>
                <w:szCs w:val="17"/>
                <w:lang w:val="en-IE" w:eastAsia="en-IE"/>
              </w:rPr>
            </w:pPr>
            <w:r w:rsidRPr="00FA4C0B">
              <w:rPr>
                <w:rFonts w:ascii="Calibri" w:hAnsi="Calibri" w:cs="Calibri"/>
                <w:color w:val="000000"/>
                <w:sz w:val="17"/>
                <w:szCs w:val="17"/>
                <w:lang w:val="en-IE" w:eastAsia="en-IE"/>
              </w:rPr>
              <w:t>(108)</w:t>
            </w:r>
          </w:p>
        </w:tc>
        <w:tc>
          <w:tcPr>
            <w:tcW w:w="737" w:type="dxa"/>
            <w:tcBorders>
              <w:top w:val="nil"/>
              <w:left w:val="nil"/>
              <w:bottom w:val="single" w:sz="4" w:space="0" w:color="auto"/>
              <w:right w:val="single" w:sz="4" w:space="0" w:color="auto"/>
            </w:tcBorders>
            <w:shd w:val="clear" w:color="000000" w:fill="F2F2F2"/>
            <w:noWrap/>
            <w:vAlign w:val="center"/>
            <w:hideMark/>
          </w:tcPr>
          <w:p w14:paraId="3EEF9950" w14:textId="77777777" w:rsidR="00B1438B" w:rsidRPr="006945D7" w:rsidRDefault="00B1438B" w:rsidP="00A05B52">
            <w:pPr>
              <w:jc w:val="right"/>
              <w:rPr>
                <w:rFonts w:ascii="Calibri" w:hAnsi="Calibri" w:cs="Calibri"/>
                <w:color w:val="000000"/>
                <w:sz w:val="17"/>
                <w:szCs w:val="17"/>
                <w:highlight w:val="yellow"/>
                <w:lang w:val="en-IE" w:eastAsia="en-IE"/>
              </w:rPr>
            </w:pPr>
            <w:r w:rsidRPr="00661BED">
              <w:rPr>
                <w:rFonts w:ascii="Calibri" w:hAnsi="Calibri" w:cs="Calibri"/>
                <w:color w:val="000000"/>
                <w:sz w:val="17"/>
                <w:szCs w:val="17"/>
                <w:lang w:val="en-IE" w:eastAsia="en-IE"/>
              </w:rPr>
              <w:t>(37)</w:t>
            </w:r>
          </w:p>
        </w:tc>
        <w:tc>
          <w:tcPr>
            <w:tcW w:w="877" w:type="dxa"/>
            <w:tcBorders>
              <w:top w:val="nil"/>
              <w:left w:val="nil"/>
              <w:bottom w:val="single" w:sz="4" w:space="0" w:color="auto"/>
              <w:right w:val="single" w:sz="4" w:space="0" w:color="auto"/>
            </w:tcBorders>
            <w:shd w:val="clear" w:color="000000" w:fill="F2F2F2"/>
            <w:noWrap/>
            <w:vAlign w:val="center"/>
            <w:hideMark/>
          </w:tcPr>
          <w:p w14:paraId="08D968E8" w14:textId="77777777" w:rsidR="00B1438B" w:rsidRPr="006945D7" w:rsidRDefault="00B1438B" w:rsidP="00A05B52">
            <w:pPr>
              <w:jc w:val="right"/>
              <w:rPr>
                <w:rFonts w:ascii="Calibri" w:hAnsi="Calibri" w:cs="Calibri"/>
                <w:color w:val="000000"/>
                <w:sz w:val="17"/>
                <w:szCs w:val="17"/>
                <w:highlight w:val="yellow"/>
                <w:lang w:val="en-IE" w:eastAsia="en-IE"/>
              </w:rPr>
            </w:pPr>
            <w:r w:rsidRPr="00661BED">
              <w:rPr>
                <w:rFonts w:ascii="Calibri" w:hAnsi="Calibri" w:cs="Calibri"/>
                <w:color w:val="000000"/>
                <w:sz w:val="17"/>
                <w:szCs w:val="17"/>
                <w:lang w:val="en-IE" w:eastAsia="en-IE"/>
              </w:rPr>
              <w:t>(145)</w:t>
            </w:r>
          </w:p>
        </w:tc>
      </w:tr>
      <w:tr w:rsidR="00B1438B" w:rsidRPr="003B39E3" w14:paraId="1377F7FB" w14:textId="77777777" w:rsidTr="00A05B52">
        <w:trPr>
          <w:trHeight w:val="254"/>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168C449F" w14:textId="77777777" w:rsidR="00B1438B" w:rsidRPr="003B39E3" w:rsidRDefault="00B1438B" w:rsidP="00A05B52">
            <w:pPr>
              <w:rPr>
                <w:rFonts w:ascii="Calibri" w:hAnsi="Calibri" w:cs="Calibri"/>
                <w:b/>
                <w:bCs/>
                <w:color w:val="000000"/>
                <w:sz w:val="17"/>
                <w:szCs w:val="17"/>
                <w:lang w:val="en-IE" w:eastAsia="en-IE"/>
              </w:rPr>
            </w:pPr>
            <w:r w:rsidRPr="003B39E3">
              <w:rPr>
                <w:rFonts w:ascii="Calibri" w:hAnsi="Calibri" w:cs="Calibri"/>
                <w:b/>
                <w:bCs/>
                <w:color w:val="000000"/>
                <w:sz w:val="17"/>
                <w:szCs w:val="17"/>
                <w:lang w:val="en-IE" w:eastAsia="en-IE"/>
              </w:rPr>
              <w:t>Underlying operating profit</w:t>
            </w:r>
          </w:p>
        </w:tc>
        <w:tc>
          <w:tcPr>
            <w:tcW w:w="851" w:type="dxa"/>
            <w:tcBorders>
              <w:top w:val="nil"/>
              <w:left w:val="nil"/>
              <w:bottom w:val="single" w:sz="4" w:space="0" w:color="auto"/>
              <w:right w:val="single" w:sz="4" w:space="0" w:color="auto"/>
            </w:tcBorders>
            <w:shd w:val="clear" w:color="000000" w:fill="F2F2F2"/>
            <w:noWrap/>
            <w:vAlign w:val="center"/>
            <w:hideMark/>
          </w:tcPr>
          <w:p w14:paraId="1E314701" w14:textId="77777777" w:rsidR="00B1438B" w:rsidRPr="006D7AEF" w:rsidRDefault="00B1438B" w:rsidP="00A05B52">
            <w:pPr>
              <w:jc w:val="right"/>
              <w:rPr>
                <w:rFonts w:ascii="Calibri" w:hAnsi="Calibri" w:cs="Calibri"/>
                <w:b/>
                <w:bCs/>
                <w:color w:val="000000"/>
                <w:sz w:val="17"/>
                <w:szCs w:val="17"/>
                <w:lang w:val="en-IE" w:eastAsia="en-IE"/>
              </w:rPr>
            </w:pPr>
            <w:r w:rsidRPr="006D7AEF">
              <w:rPr>
                <w:rFonts w:ascii="Calibri" w:hAnsi="Calibri" w:cs="Calibri"/>
                <w:b/>
                <w:bCs/>
                <w:color w:val="000000"/>
                <w:sz w:val="17"/>
                <w:szCs w:val="17"/>
                <w:lang w:val="en-IE" w:eastAsia="en-IE"/>
              </w:rPr>
              <w:t>263</w:t>
            </w:r>
          </w:p>
        </w:tc>
        <w:tc>
          <w:tcPr>
            <w:tcW w:w="850" w:type="dxa"/>
            <w:tcBorders>
              <w:top w:val="nil"/>
              <w:left w:val="nil"/>
              <w:bottom w:val="single" w:sz="4" w:space="0" w:color="auto"/>
              <w:right w:val="single" w:sz="4" w:space="0" w:color="auto"/>
            </w:tcBorders>
            <w:shd w:val="clear" w:color="000000" w:fill="F2F2F2"/>
            <w:noWrap/>
            <w:vAlign w:val="center"/>
            <w:hideMark/>
          </w:tcPr>
          <w:p w14:paraId="637DB087" w14:textId="77777777" w:rsidR="00B1438B" w:rsidRPr="006D7AEF" w:rsidRDefault="00B1438B" w:rsidP="00A05B52">
            <w:pPr>
              <w:jc w:val="right"/>
              <w:rPr>
                <w:rFonts w:ascii="Calibri" w:hAnsi="Calibri" w:cs="Calibri"/>
                <w:b/>
                <w:bCs/>
                <w:color w:val="000000"/>
                <w:sz w:val="17"/>
                <w:szCs w:val="17"/>
                <w:lang w:val="en-IE" w:eastAsia="en-IE"/>
              </w:rPr>
            </w:pPr>
            <w:r w:rsidRPr="00AE175C">
              <w:rPr>
                <w:rFonts w:ascii="Calibri" w:hAnsi="Calibri" w:cs="Calibri"/>
                <w:b/>
                <w:bCs/>
                <w:color w:val="000000"/>
                <w:sz w:val="17"/>
                <w:szCs w:val="17"/>
                <w:lang w:val="en-IE" w:eastAsia="en-IE"/>
              </w:rPr>
              <w:t>-</w:t>
            </w:r>
          </w:p>
        </w:tc>
        <w:tc>
          <w:tcPr>
            <w:tcW w:w="993" w:type="dxa"/>
            <w:tcBorders>
              <w:top w:val="nil"/>
              <w:left w:val="nil"/>
              <w:bottom w:val="single" w:sz="4" w:space="0" w:color="auto"/>
              <w:right w:val="single" w:sz="4" w:space="0" w:color="auto"/>
            </w:tcBorders>
            <w:shd w:val="clear" w:color="000000" w:fill="F2F2F2"/>
            <w:noWrap/>
            <w:vAlign w:val="center"/>
            <w:hideMark/>
          </w:tcPr>
          <w:p w14:paraId="67EA099A"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AE175C">
              <w:rPr>
                <w:rFonts w:ascii="Calibri" w:hAnsi="Calibri" w:cs="Calibri"/>
                <w:b/>
                <w:bCs/>
                <w:color w:val="000000"/>
                <w:sz w:val="17"/>
                <w:szCs w:val="17"/>
                <w:lang w:val="en-IE" w:eastAsia="en-IE"/>
              </w:rPr>
              <w:t>263</w:t>
            </w:r>
          </w:p>
        </w:tc>
        <w:tc>
          <w:tcPr>
            <w:tcW w:w="850" w:type="dxa"/>
            <w:tcBorders>
              <w:top w:val="nil"/>
              <w:left w:val="nil"/>
              <w:bottom w:val="single" w:sz="4" w:space="0" w:color="auto"/>
              <w:right w:val="single" w:sz="4" w:space="0" w:color="auto"/>
            </w:tcBorders>
            <w:shd w:val="clear" w:color="auto" w:fill="auto"/>
            <w:noWrap/>
            <w:vAlign w:val="center"/>
            <w:hideMark/>
          </w:tcPr>
          <w:p w14:paraId="187F3BA1" w14:textId="77777777" w:rsidR="00B1438B" w:rsidRPr="002E3808" w:rsidRDefault="00B1438B" w:rsidP="00A05B52">
            <w:pPr>
              <w:jc w:val="right"/>
              <w:rPr>
                <w:rFonts w:ascii="Calibri" w:hAnsi="Calibri" w:cs="Calibri"/>
                <w:b/>
                <w:bCs/>
                <w:color w:val="000000"/>
                <w:sz w:val="17"/>
                <w:szCs w:val="17"/>
                <w:lang w:val="en-IE" w:eastAsia="en-IE"/>
              </w:rPr>
            </w:pPr>
            <w:r w:rsidRPr="002E3808">
              <w:rPr>
                <w:rFonts w:ascii="Calibri" w:hAnsi="Calibri" w:cs="Calibri"/>
                <w:b/>
                <w:bCs/>
                <w:color w:val="000000"/>
                <w:sz w:val="17"/>
                <w:szCs w:val="17"/>
                <w:lang w:val="en-IE" w:eastAsia="en-IE"/>
              </w:rPr>
              <w:t>103</w:t>
            </w:r>
          </w:p>
        </w:tc>
        <w:tc>
          <w:tcPr>
            <w:tcW w:w="851" w:type="dxa"/>
            <w:tcBorders>
              <w:top w:val="nil"/>
              <w:left w:val="nil"/>
              <w:bottom w:val="single" w:sz="4" w:space="0" w:color="auto"/>
              <w:right w:val="single" w:sz="4" w:space="0" w:color="auto"/>
            </w:tcBorders>
            <w:shd w:val="clear" w:color="auto" w:fill="auto"/>
            <w:noWrap/>
            <w:vAlign w:val="center"/>
            <w:hideMark/>
          </w:tcPr>
          <w:p w14:paraId="641F4B6E" w14:textId="77777777" w:rsidR="00B1438B" w:rsidRPr="000D5A98" w:rsidRDefault="00B1438B" w:rsidP="00A05B52">
            <w:pPr>
              <w:jc w:val="right"/>
              <w:rPr>
                <w:rFonts w:ascii="Calibri" w:hAnsi="Calibri" w:cs="Calibri"/>
                <w:b/>
                <w:bCs/>
                <w:color w:val="000000"/>
                <w:sz w:val="17"/>
                <w:szCs w:val="17"/>
                <w:lang w:val="en-IE" w:eastAsia="en-IE"/>
              </w:rPr>
            </w:pPr>
            <w:r w:rsidRPr="00AE175C">
              <w:rPr>
                <w:rFonts w:ascii="Calibri" w:hAnsi="Calibri" w:cs="Calibri"/>
                <w:b/>
                <w:bCs/>
                <w:color w:val="000000"/>
                <w:sz w:val="17"/>
                <w:szCs w:val="17"/>
                <w:lang w:val="en-IE" w:eastAsia="en-IE"/>
              </w:rPr>
              <w:t>-</w:t>
            </w:r>
          </w:p>
        </w:tc>
        <w:tc>
          <w:tcPr>
            <w:tcW w:w="877" w:type="dxa"/>
            <w:tcBorders>
              <w:top w:val="nil"/>
              <w:left w:val="nil"/>
              <w:bottom w:val="single" w:sz="4" w:space="0" w:color="auto"/>
              <w:right w:val="single" w:sz="4" w:space="0" w:color="auto"/>
            </w:tcBorders>
            <w:shd w:val="clear" w:color="auto" w:fill="auto"/>
            <w:noWrap/>
            <w:vAlign w:val="center"/>
            <w:hideMark/>
          </w:tcPr>
          <w:p w14:paraId="1F9DA0CA"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AE175C">
              <w:rPr>
                <w:rFonts w:ascii="Calibri" w:hAnsi="Calibri" w:cs="Calibri"/>
                <w:b/>
                <w:bCs/>
                <w:color w:val="000000"/>
                <w:sz w:val="17"/>
                <w:szCs w:val="17"/>
                <w:lang w:val="en-IE" w:eastAsia="en-IE"/>
              </w:rPr>
              <w:t>104</w:t>
            </w:r>
          </w:p>
        </w:tc>
        <w:tc>
          <w:tcPr>
            <w:tcW w:w="824" w:type="dxa"/>
            <w:tcBorders>
              <w:top w:val="nil"/>
              <w:left w:val="nil"/>
              <w:bottom w:val="single" w:sz="4" w:space="0" w:color="auto"/>
              <w:right w:val="single" w:sz="4" w:space="0" w:color="auto"/>
            </w:tcBorders>
            <w:shd w:val="clear" w:color="000000" w:fill="F2F2F2"/>
            <w:noWrap/>
            <w:vAlign w:val="center"/>
            <w:hideMark/>
          </w:tcPr>
          <w:p w14:paraId="7D2E3973" w14:textId="77777777" w:rsidR="00B1438B" w:rsidRPr="00433524" w:rsidRDefault="00B1438B" w:rsidP="00A05B52">
            <w:pPr>
              <w:jc w:val="right"/>
              <w:rPr>
                <w:rFonts w:ascii="Calibri" w:hAnsi="Calibri" w:cs="Calibri"/>
                <w:b/>
                <w:bCs/>
                <w:color w:val="000000"/>
                <w:sz w:val="17"/>
                <w:szCs w:val="17"/>
                <w:lang w:val="en-IE" w:eastAsia="en-IE"/>
              </w:rPr>
            </w:pPr>
            <w:r w:rsidRPr="00433524">
              <w:rPr>
                <w:rFonts w:ascii="Calibri" w:hAnsi="Calibri" w:cs="Calibri"/>
                <w:b/>
                <w:bCs/>
                <w:color w:val="000000"/>
                <w:sz w:val="17"/>
                <w:szCs w:val="17"/>
                <w:lang w:val="en-IE" w:eastAsia="en-IE"/>
              </w:rPr>
              <w:t>32</w:t>
            </w:r>
          </w:p>
        </w:tc>
        <w:tc>
          <w:tcPr>
            <w:tcW w:w="737" w:type="dxa"/>
            <w:tcBorders>
              <w:top w:val="nil"/>
              <w:left w:val="nil"/>
              <w:bottom w:val="single" w:sz="4" w:space="0" w:color="auto"/>
              <w:right w:val="single" w:sz="4" w:space="0" w:color="auto"/>
            </w:tcBorders>
            <w:shd w:val="clear" w:color="000000" w:fill="F2F2F2"/>
            <w:noWrap/>
            <w:vAlign w:val="center"/>
            <w:hideMark/>
          </w:tcPr>
          <w:p w14:paraId="715EE956"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AE175C">
              <w:rPr>
                <w:rFonts w:ascii="Calibri" w:hAnsi="Calibri" w:cs="Calibri"/>
                <w:b/>
                <w:bCs/>
                <w:color w:val="000000"/>
                <w:sz w:val="17"/>
                <w:szCs w:val="17"/>
                <w:lang w:val="en-IE" w:eastAsia="en-IE"/>
              </w:rPr>
              <w:t>2</w:t>
            </w:r>
          </w:p>
        </w:tc>
        <w:tc>
          <w:tcPr>
            <w:tcW w:w="877" w:type="dxa"/>
            <w:tcBorders>
              <w:top w:val="nil"/>
              <w:left w:val="nil"/>
              <w:bottom w:val="single" w:sz="4" w:space="0" w:color="auto"/>
              <w:right w:val="single" w:sz="4" w:space="0" w:color="auto"/>
            </w:tcBorders>
            <w:shd w:val="clear" w:color="000000" w:fill="F2F2F2"/>
            <w:noWrap/>
            <w:vAlign w:val="center"/>
            <w:hideMark/>
          </w:tcPr>
          <w:p w14:paraId="612A6C1F"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AE175C">
              <w:rPr>
                <w:rFonts w:ascii="Calibri" w:hAnsi="Calibri" w:cs="Calibri"/>
                <w:b/>
                <w:bCs/>
                <w:color w:val="000000"/>
                <w:sz w:val="17"/>
                <w:szCs w:val="17"/>
                <w:lang w:val="en-IE" w:eastAsia="en-IE"/>
              </w:rPr>
              <w:t>33</w:t>
            </w:r>
          </w:p>
        </w:tc>
        <w:tc>
          <w:tcPr>
            <w:tcW w:w="824" w:type="dxa"/>
            <w:tcBorders>
              <w:top w:val="nil"/>
              <w:left w:val="nil"/>
              <w:bottom w:val="single" w:sz="4" w:space="0" w:color="auto"/>
              <w:right w:val="single" w:sz="4" w:space="0" w:color="auto"/>
            </w:tcBorders>
            <w:shd w:val="clear" w:color="auto" w:fill="auto"/>
            <w:noWrap/>
            <w:vAlign w:val="center"/>
            <w:hideMark/>
          </w:tcPr>
          <w:p w14:paraId="3382C00C" w14:textId="77777777" w:rsidR="00B1438B" w:rsidRPr="00FA4C0B" w:rsidRDefault="00B1438B" w:rsidP="00A05B52">
            <w:pPr>
              <w:jc w:val="right"/>
              <w:rPr>
                <w:rFonts w:ascii="Calibri" w:hAnsi="Calibri" w:cs="Calibri"/>
                <w:b/>
                <w:bCs/>
                <w:color w:val="000000"/>
                <w:sz w:val="17"/>
                <w:szCs w:val="17"/>
                <w:lang w:val="en-IE" w:eastAsia="en-IE"/>
              </w:rPr>
            </w:pPr>
            <w:r w:rsidRPr="00FA4C0B">
              <w:rPr>
                <w:rFonts w:ascii="Calibri" w:hAnsi="Calibri" w:cs="Calibri"/>
                <w:b/>
                <w:bCs/>
                <w:color w:val="000000"/>
                <w:sz w:val="17"/>
                <w:szCs w:val="17"/>
                <w:lang w:val="en-IE" w:eastAsia="en-IE"/>
              </w:rPr>
              <w:t>(60)</w:t>
            </w:r>
          </w:p>
        </w:tc>
        <w:tc>
          <w:tcPr>
            <w:tcW w:w="737" w:type="dxa"/>
            <w:tcBorders>
              <w:top w:val="nil"/>
              <w:left w:val="nil"/>
              <w:bottom w:val="single" w:sz="4" w:space="0" w:color="auto"/>
              <w:right w:val="single" w:sz="4" w:space="0" w:color="auto"/>
            </w:tcBorders>
            <w:shd w:val="clear" w:color="auto" w:fill="auto"/>
            <w:noWrap/>
            <w:vAlign w:val="center"/>
            <w:hideMark/>
          </w:tcPr>
          <w:p w14:paraId="3A0E5D95" w14:textId="77777777" w:rsidR="00B1438B" w:rsidRPr="00FA4C0B" w:rsidRDefault="00B1438B" w:rsidP="00A05B52">
            <w:pPr>
              <w:jc w:val="right"/>
              <w:rPr>
                <w:rFonts w:ascii="Calibri" w:hAnsi="Calibri" w:cs="Calibri"/>
                <w:b/>
                <w:bCs/>
                <w:color w:val="000000"/>
                <w:sz w:val="17"/>
                <w:szCs w:val="17"/>
                <w:lang w:val="en-IE" w:eastAsia="en-IE"/>
              </w:rPr>
            </w:pPr>
            <w:r w:rsidRPr="00AE175C">
              <w:rPr>
                <w:rFonts w:ascii="Calibri" w:hAnsi="Calibri" w:cs="Calibri"/>
                <w:b/>
                <w:bCs/>
                <w:color w:val="000000"/>
                <w:sz w:val="17"/>
                <w:szCs w:val="17"/>
                <w:lang w:val="en-IE" w:eastAsia="en-IE"/>
              </w:rPr>
              <w:t>1</w:t>
            </w:r>
          </w:p>
        </w:tc>
        <w:tc>
          <w:tcPr>
            <w:tcW w:w="877" w:type="dxa"/>
            <w:tcBorders>
              <w:top w:val="nil"/>
              <w:left w:val="nil"/>
              <w:bottom w:val="single" w:sz="4" w:space="0" w:color="auto"/>
              <w:right w:val="single" w:sz="4" w:space="0" w:color="auto"/>
            </w:tcBorders>
            <w:shd w:val="clear" w:color="auto" w:fill="auto"/>
            <w:noWrap/>
            <w:vAlign w:val="center"/>
            <w:hideMark/>
          </w:tcPr>
          <w:p w14:paraId="5428F312" w14:textId="77777777" w:rsidR="00B1438B" w:rsidRPr="006945D7" w:rsidRDefault="00B1438B" w:rsidP="00A05B52">
            <w:pPr>
              <w:jc w:val="right"/>
              <w:rPr>
                <w:rFonts w:ascii="Calibri" w:hAnsi="Calibri" w:cs="Calibri"/>
                <w:b/>
                <w:bCs/>
                <w:color w:val="000000"/>
                <w:sz w:val="17"/>
                <w:szCs w:val="17"/>
                <w:highlight w:val="yellow"/>
                <w:lang w:val="en-IE" w:eastAsia="en-IE"/>
              </w:rPr>
            </w:pPr>
            <w:r>
              <w:rPr>
                <w:rFonts w:ascii="Calibri" w:hAnsi="Calibri" w:cs="Calibri"/>
                <w:b/>
                <w:bCs/>
                <w:color w:val="000000"/>
                <w:sz w:val="17"/>
                <w:szCs w:val="17"/>
                <w:lang w:val="en-IE" w:eastAsia="en-IE"/>
              </w:rPr>
              <w:t>(</w:t>
            </w:r>
            <w:r w:rsidRPr="00AE175C">
              <w:rPr>
                <w:rFonts w:ascii="Calibri" w:hAnsi="Calibri" w:cs="Calibri"/>
                <w:b/>
                <w:bCs/>
                <w:color w:val="000000"/>
                <w:sz w:val="17"/>
                <w:szCs w:val="17"/>
                <w:lang w:val="en-IE" w:eastAsia="en-IE"/>
              </w:rPr>
              <w:t>60</w:t>
            </w:r>
            <w:r>
              <w:rPr>
                <w:rFonts w:ascii="Calibri" w:hAnsi="Calibri" w:cs="Calibri"/>
                <w:b/>
                <w:bCs/>
                <w:color w:val="000000"/>
                <w:sz w:val="17"/>
                <w:szCs w:val="17"/>
                <w:lang w:val="en-IE" w:eastAsia="en-IE"/>
              </w:rPr>
              <w:t>)</w:t>
            </w:r>
          </w:p>
        </w:tc>
        <w:tc>
          <w:tcPr>
            <w:tcW w:w="824" w:type="dxa"/>
            <w:tcBorders>
              <w:top w:val="nil"/>
              <w:left w:val="nil"/>
              <w:bottom w:val="single" w:sz="4" w:space="0" w:color="auto"/>
              <w:right w:val="single" w:sz="4" w:space="0" w:color="auto"/>
            </w:tcBorders>
            <w:shd w:val="clear" w:color="000000" w:fill="F2F2F2"/>
            <w:noWrap/>
            <w:vAlign w:val="center"/>
            <w:hideMark/>
          </w:tcPr>
          <w:p w14:paraId="4201E07E" w14:textId="77777777" w:rsidR="00B1438B" w:rsidRPr="00FA4C0B" w:rsidRDefault="00B1438B" w:rsidP="00A05B52">
            <w:pPr>
              <w:jc w:val="right"/>
              <w:rPr>
                <w:rFonts w:ascii="Calibri" w:hAnsi="Calibri" w:cs="Calibri"/>
                <w:b/>
                <w:bCs/>
                <w:color w:val="000000"/>
                <w:sz w:val="17"/>
                <w:szCs w:val="17"/>
                <w:lang w:val="en-IE" w:eastAsia="en-IE"/>
              </w:rPr>
            </w:pPr>
            <w:r w:rsidRPr="00FA4C0B">
              <w:rPr>
                <w:rFonts w:ascii="Calibri" w:hAnsi="Calibri" w:cs="Calibri"/>
                <w:b/>
                <w:bCs/>
                <w:color w:val="000000"/>
                <w:sz w:val="17"/>
                <w:szCs w:val="17"/>
                <w:lang w:val="en-IE" w:eastAsia="en-IE"/>
              </w:rPr>
              <w:t>277</w:t>
            </w:r>
          </w:p>
        </w:tc>
        <w:tc>
          <w:tcPr>
            <w:tcW w:w="737" w:type="dxa"/>
            <w:tcBorders>
              <w:top w:val="nil"/>
              <w:left w:val="nil"/>
              <w:bottom w:val="single" w:sz="4" w:space="0" w:color="auto"/>
              <w:right w:val="single" w:sz="4" w:space="0" w:color="auto"/>
            </w:tcBorders>
            <w:shd w:val="clear" w:color="000000" w:fill="F2F2F2"/>
            <w:noWrap/>
            <w:vAlign w:val="center"/>
            <w:hideMark/>
          </w:tcPr>
          <w:p w14:paraId="5D0E0B47"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661BED">
              <w:rPr>
                <w:rFonts w:ascii="Calibri" w:hAnsi="Calibri" w:cs="Calibri"/>
                <w:b/>
                <w:bCs/>
                <w:color w:val="000000"/>
                <w:sz w:val="17"/>
                <w:szCs w:val="17"/>
                <w:lang w:val="en-IE" w:eastAsia="en-IE"/>
              </w:rPr>
              <w:t>3</w:t>
            </w:r>
          </w:p>
        </w:tc>
        <w:tc>
          <w:tcPr>
            <w:tcW w:w="877" w:type="dxa"/>
            <w:tcBorders>
              <w:top w:val="nil"/>
              <w:left w:val="nil"/>
              <w:bottom w:val="single" w:sz="4" w:space="0" w:color="auto"/>
              <w:right w:val="single" w:sz="4" w:space="0" w:color="auto"/>
            </w:tcBorders>
            <w:shd w:val="clear" w:color="000000" w:fill="F2F2F2"/>
            <w:noWrap/>
            <w:vAlign w:val="center"/>
            <w:hideMark/>
          </w:tcPr>
          <w:p w14:paraId="7ED383E6"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661BED">
              <w:rPr>
                <w:rFonts w:ascii="Calibri" w:hAnsi="Calibri" w:cs="Calibri"/>
                <w:b/>
                <w:bCs/>
                <w:color w:val="000000"/>
                <w:sz w:val="17"/>
                <w:szCs w:val="17"/>
                <w:lang w:val="en-IE" w:eastAsia="en-IE"/>
              </w:rPr>
              <w:t>281</w:t>
            </w:r>
          </w:p>
        </w:tc>
      </w:tr>
      <w:tr w:rsidR="00B1438B" w:rsidRPr="003B39E3" w14:paraId="001B4446" w14:textId="77777777" w:rsidTr="00A05B52">
        <w:trPr>
          <w:trHeight w:val="254"/>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7C712189" w14:textId="77777777" w:rsidR="00B1438B" w:rsidRPr="003B39E3" w:rsidRDefault="00B1438B" w:rsidP="00A05B52">
            <w:pPr>
              <w:rPr>
                <w:rFonts w:ascii="Calibri" w:hAnsi="Calibri" w:cs="Calibri"/>
                <w:color w:val="000000"/>
                <w:sz w:val="17"/>
                <w:szCs w:val="17"/>
                <w:lang w:val="en-IE" w:eastAsia="en-IE"/>
              </w:rPr>
            </w:pPr>
            <w:r>
              <w:rPr>
                <w:rFonts w:ascii="Calibri" w:hAnsi="Calibri" w:cs="Calibri"/>
                <w:color w:val="000000"/>
                <w:sz w:val="17"/>
                <w:szCs w:val="17"/>
                <w:lang w:val="en-IE" w:eastAsia="en-IE"/>
              </w:rPr>
              <w:t>Underlying net interest expense</w:t>
            </w:r>
          </w:p>
        </w:tc>
        <w:tc>
          <w:tcPr>
            <w:tcW w:w="851" w:type="dxa"/>
            <w:tcBorders>
              <w:top w:val="nil"/>
              <w:left w:val="nil"/>
              <w:bottom w:val="single" w:sz="4" w:space="0" w:color="auto"/>
              <w:right w:val="single" w:sz="4" w:space="0" w:color="auto"/>
            </w:tcBorders>
            <w:shd w:val="clear" w:color="000000" w:fill="F2F2F2"/>
            <w:noWrap/>
            <w:vAlign w:val="center"/>
            <w:hideMark/>
          </w:tcPr>
          <w:p w14:paraId="1B207E4E"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50" w:type="dxa"/>
            <w:tcBorders>
              <w:top w:val="nil"/>
              <w:left w:val="nil"/>
              <w:bottom w:val="single" w:sz="4" w:space="0" w:color="auto"/>
              <w:right w:val="single" w:sz="4" w:space="0" w:color="auto"/>
            </w:tcBorders>
            <w:shd w:val="clear" w:color="000000" w:fill="F2F2F2"/>
            <w:noWrap/>
            <w:vAlign w:val="center"/>
            <w:hideMark/>
          </w:tcPr>
          <w:p w14:paraId="489A41CA"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993" w:type="dxa"/>
            <w:tcBorders>
              <w:top w:val="nil"/>
              <w:left w:val="nil"/>
              <w:bottom w:val="single" w:sz="4" w:space="0" w:color="auto"/>
              <w:right w:val="single" w:sz="4" w:space="0" w:color="auto"/>
            </w:tcBorders>
            <w:shd w:val="clear" w:color="000000" w:fill="F2F2F2"/>
            <w:noWrap/>
            <w:vAlign w:val="center"/>
            <w:hideMark/>
          </w:tcPr>
          <w:p w14:paraId="60DAB8D9"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50" w:type="dxa"/>
            <w:tcBorders>
              <w:top w:val="nil"/>
              <w:left w:val="nil"/>
              <w:bottom w:val="single" w:sz="4" w:space="0" w:color="auto"/>
              <w:right w:val="single" w:sz="4" w:space="0" w:color="auto"/>
            </w:tcBorders>
            <w:shd w:val="clear" w:color="auto" w:fill="auto"/>
            <w:noWrap/>
            <w:vAlign w:val="center"/>
            <w:hideMark/>
          </w:tcPr>
          <w:p w14:paraId="41F24E33"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51" w:type="dxa"/>
            <w:tcBorders>
              <w:top w:val="nil"/>
              <w:left w:val="nil"/>
              <w:bottom w:val="single" w:sz="4" w:space="0" w:color="auto"/>
              <w:right w:val="single" w:sz="4" w:space="0" w:color="auto"/>
            </w:tcBorders>
            <w:shd w:val="clear" w:color="auto" w:fill="auto"/>
            <w:noWrap/>
            <w:vAlign w:val="center"/>
            <w:hideMark/>
          </w:tcPr>
          <w:p w14:paraId="07AECD8D"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77" w:type="dxa"/>
            <w:tcBorders>
              <w:top w:val="nil"/>
              <w:left w:val="nil"/>
              <w:bottom w:val="single" w:sz="4" w:space="0" w:color="auto"/>
              <w:right w:val="single" w:sz="4" w:space="0" w:color="auto"/>
            </w:tcBorders>
            <w:shd w:val="clear" w:color="auto" w:fill="auto"/>
            <w:noWrap/>
            <w:vAlign w:val="center"/>
            <w:hideMark/>
          </w:tcPr>
          <w:p w14:paraId="58105796"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24" w:type="dxa"/>
            <w:tcBorders>
              <w:top w:val="nil"/>
              <w:left w:val="nil"/>
              <w:bottom w:val="single" w:sz="4" w:space="0" w:color="auto"/>
              <w:right w:val="single" w:sz="4" w:space="0" w:color="auto"/>
            </w:tcBorders>
            <w:shd w:val="clear" w:color="000000" w:fill="F2F2F2"/>
            <w:noWrap/>
            <w:vAlign w:val="center"/>
            <w:hideMark/>
          </w:tcPr>
          <w:p w14:paraId="05FD0CA2"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737" w:type="dxa"/>
            <w:tcBorders>
              <w:top w:val="nil"/>
              <w:left w:val="nil"/>
              <w:bottom w:val="single" w:sz="4" w:space="0" w:color="auto"/>
              <w:right w:val="single" w:sz="4" w:space="0" w:color="auto"/>
            </w:tcBorders>
            <w:shd w:val="clear" w:color="000000" w:fill="F2F2F2"/>
            <w:noWrap/>
            <w:vAlign w:val="center"/>
            <w:hideMark/>
          </w:tcPr>
          <w:p w14:paraId="57DA4EFC"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77" w:type="dxa"/>
            <w:tcBorders>
              <w:top w:val="nil"/>
              <w:left w:val="nil"/>
              <w:bottom w:val="single" w:sz="4" w:space="0" w:color="auto"/>
              <w:right w:val="single" w:sz="4" w:space="0" w:color="auto"/>
            </w:tcBorders>
            <w:shd w:val="clear" w:color="000000" w:fill="F2F2F2"/>
            <w:noWrap/>
            <w:vAlign w:val="center"/>
            <w:hideMark/>
          </w:tcPr>
          <w:p w14:paraId="6D14F2DC"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24" w:type="dxa"/>
            <w:tcBorders>
              <w:top w:val="nil"/>
              <w:left w:val="nil"/>
              <w:bottom w:val="single" w:sz="4" w:space="0" w:color="auto"/>
              <w:right w:val="single" w:sz="4" w:space="0" w:color="auto"/>
            </w:tcBorders>
            <w:shd w:val="clear" w:color="auto" w:fill="auto"/>
            <w:noWrap/>
            <w:vAlign w:val="center"/>
            <w:hideMark/>
          </w:tcPr>
          <w:p w14:paraId="57B5CF8A"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737" w:type="dxa"/>
            <w:tcBorders>
              <w:top w:val="nil"/>
              <w:left w:val="nil"/>
              <w:bottom w:val="single" w:sz="4" w:space="0" w:color="auto"/>
              <w:right w:val="single" w:sz="4" w:space="0" w:color="auto"/>
            </w:tcBorders>
            <w:shd w:val="clear" w:color="auto" w:fill="auto"/>
            <w:noWrap/>
            <w:vAlign w:val="center"/>
            <w:hideMark/>
          </w:tcPr>
          <w:p w14:paraId="74E7D771"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77" w:type="dxa"/>
            <w:tcBorders>
              <w:top w:val="nil"/>
              <w:left w:val="nil"/>
              <w:bottom w:val="single" w:sz="4" w:space="0" w:color="auto"/>
              <w:right w:val="single" w:sz="4" w:space="0" w:color="auto"/>
            </w:tcBorders>
            <w:shd w:val="clear" w:color="auto" w:fill="auto"/>
            <w:noWrap/>
            <w:vAlign w:val="center"/>
            <w:hideMark/>
          </w:tcPr>
          <w:p w14:paraId="7D4102FB"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24" w:type="dxa"/>
            <w:tcBorders>
              <w:top w:val="nil"/>
              <w:left w:val="nil"/>
              <w:bottom w:val="single" w:sz="4" w:space="0" w:color="auto"/>
              <w:right w:val="single" w:sz="4" w:space="0" w:color="auto"/>
            </w:tcBorders>
            <w:shd w:val="clear" w:color="000000" w:fill="F2F2F2"/>
            <w:noWrap/>
            <w:vAlign w:val="center"/>
            <w:hideMark/>
          </w:tcPr>
          <w:p w14:paraId="421C5DFB" w14:textId="77777777" w:rsidR="00B1438B" w:rsidRPr="006945D7" w:rsidRDefault="00B1438B" w:rsidP="00A05B52">
            <w:pPr>
              <w:jc w:val="right"/>
              <w:rPr>
                <w:rFonts w:ascii="Calibri" w:hAnsi="Calibri" w:cs="Calibri"/>
                <w:color w:val="000000"/>
                <w:sz w:val="17"/>
                <w:szCs w:val="17"/>
                <w:highlight w:val="yellow"/>
                <w:lang w:val="en-IE" w:eastAsia="en-IE"/>
              </w:rPr>
            </w:pPr>
            <w:r w:rsidRPr="000500A8">
              <w:rPr>
                <w:rFonts w:ascii="Calibri" w:hAnsi="Calibri" w:cs="Calibri"/>
                <w:color w:val="000000"/>
                <w:sz w:val="17"/>
                <w:szCs w:val="17"/>
                <w:lang w:val="en-IE" w:eastAsia="en-IE"/>
              </w:rPr>
              <w:t>(9)</w:t>
            </w:r>
          </w:p>
        </w:tc>
        <w:tc>
          <w:tcPr>
            <w:tcW w:w="737" w:type="dxa"/>
            <w:tcBorders>
              <w:top w:val="nil"/>
              <w:left w:val="nil"/>
              <w:bottom w:val="single" w:sz="4" w:space="0" w:color="auto"/>
              <w:right w:val="single" w:sz="4" w:space="0" w:color="auto"/>
            </w:tcBorders>
            <w:shd w:val="clear" w:color="000000" w:fill="F2F2F2"/>
            <w:noWrap/>
            <w:vAlign w:val="center"/>
            <w:hideMark/>
          </w:tcPr>
          <w:p w14:paraId="554E3754" w14:textId="77777777" w:rsidR="00B1438B" w:rsidRPr="006945D7" w:rsidRDefault="00B1438B" w:rsidP="00A05B52">
            <w:pPr>
              <w:jc w:val="right"/>
              <w:rPr>
                <w:rFonts w:ascii="Calibri" w:hAnsi="Calibri" w:cs="Calibri"/>
                <w:color w:val="000000"/>
                <w:sz w:val="17"/>
                <w:szCs w:val="17"/>
                <w:highlight w:val="yellow"/>
                <w:lang w:val="en-IE" w:eastAsia="en-IE"/>
              </w:rPr>
            </w:pPr>
            <w:r w:rsidRPr="000500A8">
              <w:rPr>
                <w:rFonts w:ascii="Calibri" w:hAnsi="Calibri" w:cs="Calibri"/>
                <w:color w:val="000000"/>
                <w:sz w:val="17"/>
                <w:szCs w:val="17"/>
                <w:lang w:val="en-IE" w:eastAsia="en-IE"/>
              </w:rPr>
              <w:t>(5)</w:t>
            </w:r>
          </w:p>
        </w:tc>
        <w:tc>
          <w:tcPr>
            <w:tcW w:w="877" w:type="dxa"/>
            <w:tcBorders>
              <w:top w:val="nil"/>
              <w:left w:val="nil"/>
              <w:bottom w:val="single" w:sz="4" w:space="0" w:color="auto"/>
              <w:right w:val="single" w:sz="4" w:space="0" w:color="auto"/>
            </w:tcBorders>
            <w:shd w:val="clear" w:color="000000" w:fill="F2F2F2"/>
            <w:noWrap/>
            <w:vAlign w:val="center"/>
            <w:hideMark/>
          </w:tcPr>
          <w:p w14:paraId="34AD86DB" w14:textId="77777777" w:rsidR="00B1438B" w:rsidRPr="006945D7" w:rsidRDefault="00B1438B" w:rsidP="00A05B52">
            <w:pPr>
              <w:jc w:val="right"/>
              <w:rPr>
                <w:rFonts w:ascii="Calibri" w:hAnsi="Calibri" w:cs="Calibri"/>
                <w:color w:val="000000"/>
                <w:sz w:val="17"/>
                <w:szCs w:val="17"/>
                <w:highlight w:val="yellow"/>
                <w:lang w:val="en-IE" w:eastAsia="en-IE"/>
              </w:rPr>
            </w:pPr>
            <w:r w:rsidRPr="000500A8">
              <w:rPr>
                <w:rFonts w:ascii="Calibri" w:hAnsi="Calibri" w:cs="Calibri"/>
                <w:color w:val="000000"/>
                <w:sz w:val="17"/>
                <w:szCs w:val="17"/>
                <w:lang w:val="en-IE" w:eastAsia="en-IE"/>
              </w:rPr>
              <w:t>(14)</w:t>
            </w:r>
          </w:p>
        </w:tc>
      </w:tr>
      <w:tr w:rsidR="00B1438B" w:rsidRPr="003B39E3" w14:paraId="5457077A" w14:textId="77777777" w:rsidTr="00A05B52">
        <w:trPr>
          <w:trHeight w:val="254"/>
        </w:trPr>
        <w:tc>
          <w:tcPr>
            <w:tcW w:w="2263" w:type="dxa"/>
            <w:tcBorders>
              <w:top w:val="nil"/>
              <w:left w:val="single" w:sz="4" w:space="0" w:color="auto"/>
              <w:bottom w:val="single" w:sz="4" w:space="0" w:color="auto"/>
              <w:right w:val="single" w:sz="4" w:space="0" w:color="auto"/>
            </w:tcBorders>
            <w:shd w:val="clear" w:color="auto" w:fill="auto"/>
            <w:noWrap/>
            <w:vAlign w:val="center"/>
          </w:tcPr>
          <w:p w14:paraId="3116D433" w14:textId="77777777" w:rsidR="00B1438B" w:rsidRPr="003B39E3" w:rsidRDefault="00B1438B" w:rsidP="00A05B52">
            <w:pPr>
              <w:rPr>
                <w:rFonts w:ascii="Calibri" w:hAnsi="Calibri" w:cs="Calibri"/>
                <w:color w:val="000000"/>
                <w:sz w:val="17"/>
                <w:szCs w:val="17"/>
                <w:lang w:val="en-IE" w:eastAsia="en-IE"/>
              </w:rPr>
            </w:pPr>
            <w:r>
              <w:rPr>
                <w:rFonts w:ascii="Calibri" w:hAnsi="Calibri" w:cs="Calibri"/>
                <w:color w:val="000000"/>
                <w:sz w:val="17"/>
                <w:szCs w:val="17"/>
                <w:lang w:val="en-IE" w:eastAsia="en-IE"/>
              </w:rPr>
              <w:t>Separately disclosed items</w:t>
            </w:r>
          </w:p>
        </w:tc>
        <w:tc>
          <w:tcPr>
            <w:tcW w:w="851" w:type="dxa"/>
            <w:tcBorders>
              <w:top w:val="nil"/>
              <w:left w:val="nil"/>
              <w:bottom w:val="single" w:sz="4" w:space="0" w:color="auto"/>
              <w:right w:val="single" w:sz="4" w:space="0" w:color="auto"/>
            </w:tcBorders>
            <w:shd w:val="clear" w:color="000000" w:fill="F2F2F2"/>
            <w:noWrap/>
            <w:vAlign w:val="center"/>
          </w:tcPr>
          <w:p w14:paraId="53D766CB"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50" w:type="dxa"/>
            <w:tcBorders>
              <w:top w:val="nil"/>
              <w:left w:val="nil"/>
              <w:bottom w:val="single" w:sz="4" w:space="0" w:color="auto"/>
              <w:right w:val="single" w:sz="4" w:space="0" w:color="auto"/>
            </w:tcBorders>
            <w:shd w:val="clear" w:color="000000" w:fill="F2F2F2"/>
            <w:noWrap/>
            <w:vAlign w:val="center"/>
          </w:tcPr>
          <w:p w14:paraId="098F5FCD"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993" w:type="dxa"/>
            <w:tcBorders>
              <w:top w:val="nil"/>
              <w:left w:val="nil"/>
              <w:bottom w:val="single" w:sz="4" w:space="0" w:color="auto"/>
              <w:right w:val="single" w:sz="4" w:space="0" w:color="auto"/>
            </w:tcBorders>
            <w:shd w:val="clear" w:color="000000" w:fill="F2F2F2"/>
            <w:noWrap/>
            <w:vAlign w:val="center"/>
          </w:tcPr>
          <w:p w14:paraId="5C5AFE15"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50" w:type="dxa"/>
            <w:tcBorders>
              <w:top w:val="nil"/>
              <w:left w:val="nil"/>
              <w:bottom w:val="single" w:sz="4" w:space="0" w:color="auto"/>
              <w:right w:val="single" w:sz="4" w:space="0" w:color="auto"/>
            </w:tcBorders>
            <w:shd w:val="clear" w:color="auto" w:fill="auto"/>
            <w:noWrap/>
            <w:vAlign w:val="center"/>
          </w:tcPr>
          <w:p w14:paraId="29D257D4"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51" w:type="dxa"/>
            <w:tcBorders>
              <w:top w:val="nil"/>
              <w:left w:val="nil"/>
              <w:bottom w:val="single" w:sz="4" w:space="0" w:color="auto"/>
              <w:right w:val="single" w:sz="4" w:space="0" w:color="auto"/>
            </w:tcBorders>
            <w:shd w:val="clear" w:color="auto" w:fill="auto"/>
            <w:noWrap/>
            <w:vAlign w:val="center"/>
          </w:tcPr>
          <w:p w14:paraId="05801E96"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77" w:type="dxa"/>
            <w:tcBorders>
              <w:top w:val="nil"/>
              <w:left w:val="nil"/>
              <w:bottom w:val="single" w:sz="4" w:space="0" w:color="auto"/>
              <w:right w:val="single" w:sz="4" w:space="0" w:color="auto"/>
            </w:tcBorders>
            <w:shd w:val="clear" w:color="auto" w:fill="auto"/>
            <w:noWrap/>
            <w:vAlign w:val="center"/>
          </w:tcPr>
          <w:p w14:paraId="1F22074F"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24" w:type="dxa"/>
            <w:tcBorders>
              <w:top w:val="nil"/>
              <w:left w:val="nil"/>
              <w:bottom w:val="single" w:sz="4" w:space="0" w:color="auto"/>
              <w:right w:val="single" w:sz="4" w:space="0" w:color="auto"/>
            </w:tcBorders>
            <w:shd w:val="clear" w:color="000000" w:fill="F2F2F2"/>
            <w:noWrap/>
            <w:vAlign w:val="center"/>
          </w:tcPr>
          <w:p w14:paraId="777F189E"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737" w:type="dxa"/>
            <w:tcBorders>
              <w:top w:val="nil"/>
              <w:left w:val="nil"/>
              <w:bottom w:val="single" w:sz="4" w:space="0" w:color="auto"/>
              <w:right w:val="single" w:sz="4" w:space="0" w:color="auto"/>
            </w:tcBorders>
            <w:shd w:val="clear" w:color="000000" w:fill="F2F2F2"/>
            <w:noWrap/>
            <w:vAlign w:val="center"/>
          </w:tcPr>
          <w:p w14:paraId="61E06B12"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77" w:type="dxa"/>
            <w:tcBorders>
              <w:top w:val="nil"/>
              <w:left w:val="nil"/>
              <w:bottom w:val="single" w:sz="4" w:space="0" w:color="auto"/>
              <w:right w:val="single" w:sz="4" w:space="0" w:color="auto"/>
            </w:tcBorders>
            <w:shd w:val="clear" w:color="000000" w:fill="F2F2F2"/>
            <w:noWrap/>
            <w:vAlign w:val="center"/>
          </w:tcPr>
          <w:p w14:paraId="79786D2C"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24" w:type="dxa"/>
            <w:tcBorders>
              <w:top w:val="nil"/>
              <w:left w:val="nil"/>
              <w:bottom w:val="single" w:sz="4" w:space="0" w:color="auto"/>
              <w:right w:val="single" w:sz="4" w:space="0" w:color="auto"/>
            </w:tcBorders>
            <w:shd w:val="clear" w:color="auto" w:fill="auto"/>
            <w:noWrap/>
            <w:vAlign w:val="center"/>
          </w:tcPr>
          <w:p w14:paraId="1C0136CF"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737" w:type="dxa"/>
            <w:tcBorders>
              <w:top w:val="nil"/>
              <w:left w:val="nil"/>
              <w:bottom w:val="single" w:sz="4" w:space="0" w:color="auto"/>
              <w:right w:val="single" w:sz="4" w:space="0" w:color="auto"/>
            </w:tcBorders>
            <w:shd w:val="clear" w:color="auto" w:fill="auto"/>
            <w:noWrap/>
            <w:vAlign w:val="center"/>
          </w:tcPr>
          <w:p w14:paraId="75A0668F"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77" w:type="dxa"/>
            <w:tcBorders>
              <w:top w:val="nil"/>
              <w:left w:val="nil"/>
              <w:bottom w:val="single" w:sz="4" w:space="0" w:color="auto"/>
              <w:right w:val="single" w:sz="4" w:space="0" w:color="auto"/>
            </w:tcBorders>
            <w:shd w:val="clear" w:color="auto" w:fill="auto"/>
            <w:noWrap/>
            <w:vAlign w:val="center"/>
          </w:tcPr>
          <w:p w14:paraId="258B611B" w14:textId="77777777" w:rsidR="00B1438B" w:rsidRPr="006945D7" w:rsidRDefault="00B1438B" w:rsidP="00A05B52">
            <w:pPr>
              <w:jc w:val="right"/>
              <w:rPr>
                <w:rFonts w:ascii="Calibri" w:hAnsi="Calibri" w:cs="Calibri"/>
                <w:color w:val="000000"/>
                <w:sz w:val="17"/>
                <w:szCs w:val="17"/>
                <w:highlight w:val="yellow"/>
                <w:lang w:val="en-IE" w:eastAsia="en-IE"/>
              </w:rPr>
            </w:pPr>
          </w:p>
        </w:tc>
        <w:tc>
          <w:tcPr>
            <w:tcW w:w="824" w:type="dxa"/>
            <w:tcBorders>
              <w:top w:val="nil"/>
              <w:left w:val="nil"/>
              <w:bottom w:val="single" w:sz="4" w:space="0" w:color="auto"/>
              <w:right w:val="single" w:sz="4" w:space="0" w:color="auto"/>
            </w:tcBorders>
            <w:shd w:val="clear" w:color="000000" w:fill="F2F2F2"/>
            <w:noWrap/>
            <w:vAlign w:val="center"/>
          </w:tcPr>
          <w:p w14:paraId="6F1904AC" w14:textId="77777777" w:rsidR="00B1438B" w:rsidRPr="006945D7" w:rsidRDefault="00B1438B" w:rsidP="00A05B52">
            <w:pPr>
              <w:jc w:val="right"/>
              <w:rPr>
                <w:rFonts w:ascii="Calibri" w:hAnsi="Calibri" w:cs="Calibri"/>
                <w:color w:val="000000"/>
                <w:sz w:val="17"/>
                <w:szCs w:val="17"/>
                <w:highlight w:val="yellow"/>
                <w:lang w:val="en-IE" w:eastAsia="en-IE"/>
              </w:rPr>
            </w:pPr>
            <w:r w:rsidRPr="000500A8">
              <w:rPr>
                <w:rFonts w:ascii="Calibri" w:hAnsi="Calibri" w:cs="Calibri"/>
                <w:color w:val="000000"/>
                <w:sz w:val="17"/>
                <w:szCs w:val="17"/>
                <w:lang w:val="en-IE" w:eastAsia="en-IE"/>
              </w:rPr>
              <w:t>(131)</w:t>
            </w:r>
          </w:p>
        </w:tc>
        <w:tc>
          <w:tcPr>
            <w:tcW w:w="737" w:type="dxa"/>
            <w:tcBorders>
              <w:top w:val="nil"/>
              <w:left w:val="nil"/>
              <w:bottom w:val="single" w:sz="4" w:space="0" w:color="auto"/>
              <w:right w:val="single" w:sz="4" w:space="0" w:color="auto"/>
            </w:tcBorders>
            <w:shd w:val="clear" w:color="000000" w:fill="F2F2F2"/>
            <w:noWrap/>
            <w:vAlign w:val="center"/>
          </w:tcPr>
          <w:p w14:paraId="2DD53FB5" w14:textId="77777777" w:rsidR="00B1438B" w:rsidRPr="006945D7" w:rsidRDefault="00B1438B" w:rsidP="00A05B52">
            <w:pPr>
              <w:jc w:val="right"/>
              <w:rPr>
                <w:rFonts w:ascii="Calibri" w:hAnsi="Calibri" w:cs="Calibri"/>
                <w:color w:val="000000"/>
                <w:sz w:val="17"/>
                <w:szCs w:val="17"/>
                <w:highlight w:val="yellow"/>
                <w:lang w:val="en-IE" w:eastAsia="en-IE"/>
              </w:rPr>
            </w:pPr>
            <w:r w:rsidRPr="000500A8">
              <w:rPr>
                <w:rFonts w:ascii="Calibri" w:hAnsi="Calibri" w:cs="Calibri"/>
                <w:color w:val="000000"/>
                <w:sz w:val="17"/>
                <w:szCs w:val="17"/>
                <w:lang w:val="en-IE" w:eastAsia="en-IE"/>
              </w:rPr>
              <w:t>-</w:t>
            </w:r>
          </w:p>
        </w:tc>
        <w:tc>
          <w:tcPr>
            <w:tcW w:w="877" w:type="dxa"/>
            <w:tcBorders>
              <w:top w:val="nil"/>
              <w:left w:val="nil"/>
              <w:bottom w:val="single" w:sz="4" w:space="0" w:color="auto"/>
              <w:right w:val="single" w:sz="4" w:space="0" w:color="auto"/>
            </w:tcBorders>
            <w:shd w:val="clear" w:color="000000" w:fill="F2F2F2"/>
            <w:noWrap/>
            <w:vAlign w:val="center"/>
          </w:tcPr>
          <w:p w14:paraId="68F9DB18" w14:textId="77777777" w:rsidR="00B1438B" w:rsidRPr="006945D7" w:rsidRDefault="00B1438B" w:rsidP="00A05B52">
            <w:pPr>
              <w:jc w:val="right"/>
              <w:rPr>
                <w:rFonts w:ascii="Calibri" w:hAnsi="Calibri" w:cs="Calibri"/>
                <w:color w:val="000000"/>
                <w:sz w:val="17"/>
                <w:szCs w:val="17"/>
                <w:highlight w:val="yellow"/>
                <w:lang w:val="en-IE" w:eastAsia="en-IE"/>
              </w:rPr>
            </w:pPr>
            <w:r w:rsidRPr="000500A8">
              <w:rPr>
                <w:rFonts w:ascii="Calibri" w:hAnsi="Calibri" w:cs="Calibri"/>
                <w:color w:val="000000"/>
                <w:sz w:val="17"/>
                <w:szCs w:val="17"/>
                <w:lang w:val="en-IE" w:eastAsia="en-IE"/>
              </w:rPr>
              <w:t>(131)</w:t>
            </w:r>
          </w:p>
        </w:tc>
      </w:tr>
      <w:tr w:rsidR="00B1438B" w:rsidRPr="003B39E3" w14:paraId="3BC381E0" w14:textId="77777777" w:rsidTr="00A05B52">
        <w:trPr>
          <w:trHeight w:val="254"/>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29C6B268" w14:textId="77777777" w:rsidR="00B1438B" w:rsidRPr="003B39E3" w:rsidRDefault="00B1438B" w:rsidP="00A05B52">
            <w:pPr>
              <w:rPr>
                <w:rFonts w:ascii="Calibri" w:hAnsi="Calibri" w:cs="Calibri"/>
                <w:b/>
                <w:bCs/>
                <w:color w:val="000000"/>
                <w:sz w:val="17"/>
                <w:szCs w:val="17"/>
                <w:lang w:val="en-IE" w:eastAsia="en-IE"/>
              </w:rPr>
            </w:pPr>
            <w:r>
              <w:rPr>
                <w:rFonts w:ascii="Calibri" w:hAnsi="Calibri" w:cs="Calibri"/>
                <w:b/>
                <w:bCs/>
                <w:color w:val="000000"/>
                <w:sz w:val="17"/>
                <w:szCs w:val="17"/>
                <w:lang w:val="en-IE" w:eastAsia="en-IE"/>
              </w:rPr>
              <w:t>Profit before tax</w:t>
            </w:r>
          </w:p>
        </w:tc>
        <w:tc>
          <w:tcPr>
            <w:tcW w:w="851" w:type="dxa"/>
            <w:tcBorders>
              <w:top w:val="nil"/>
              <w:left w:val="nil"/>
              <w:bottom w:val="single" w:sz="4" w:space="0" w:color="auto"/>
              <w:right w:val="single" w:sz="4" w:space="0" w:color="auto"/>
            </w:tcBorders>
            <w:shd w:val="clear" w:color="000000" w:fill="F2F2F2"/>
            <w:noWrap/>
            <w:vAlign w:val="center"/>
            <w:hideMark/>
          </w:tcPr>
          <w:p w14:paraId="46B70683" w14:textId="77777777" w:rsidR="00B1438B" w:rsidRPr="006945D7" w:rsidRDefault="00B1438B" w:rsidP="00A05B52">
            <w:pPr>
              <w:jc w:val="right"/>
              <w:rPr>
                <w:rFonts w:ascii="Calibri" w:hAnsi="Calibri" w:cs="Calibri"/>
                <w:b/>
                <w:bCs/>
                <w:color w:val="000000"/>
                <w:sz w:val="17"/>
                <w:szCs w:val="17"/>
                <w:highlight w:val="yellow"/>
                <w:lang w:val="en-IE" w:eastAsia="en-IE"/>
              </w:rPr>
            </w:pPr>
          </w:p>
        </w:tc>
        <w:tc>
          <w:tcPr>
            <w:tcW w:w="850" w:type="dxa"/>
            <w:tcBorders>
              <w:top w:val="nil"/>
              <w:left w:val="nil"/>
              <w:bottom w:val="single" w:sz="4" w:space="0" w:color="auto"/>
              <w:right w:val="single" w:sz="4" w:space="0" w:color="auto"/>
            </w:tcBorders>
            <w:shd w:val="clear" w:color="000000" w:fill="F2F2F2"/>
            <w:noWrap/>
            <w:vAlign w:val="center"/>
            <w:hideMark/>
          </w:tcPr>
          <w:p w14:paraId="7681BB69" w14:textId="77777777" w:rsidR="00B1438B" w:rsidRPr="006945D7" w:rsidRDefault="00B1438B" w:rsidP="00A05B52">
            <w:pPr>
              <w:jc w:val="right"/>
              <w:rPr>
                <w:rFonts w:ascii="Calibri" w:hAnsi="Calibri" w:cs="Calibri"/>
                <w:b/>
                <w:bCs/>
                <w:color w:val="000000"/>
                <w:sz w:val="17"/>
                <w:szCs w:val="17"/>
                <w:highlight w:val="yellow"/>
                <w:lang w:val="en-IE" w:eastAsia="en-IE"/>
              </w:rPr>
            </w:pPr>
          </w:p>
        </w:tc>
        <w:tc>
          <w:tcPr>
            <w:tcW w:w="993" w:type="dxa"/>
            <w:tcBorders>
              <w:top w:val="nil"/>
              <w:left w:val="nil"/>
              <w:bottom w:val="single" w:sz="4" w:space="0" w:color="auto"/>
              <w:right w:val="single" w:sz="4" w:space="0" w:color="auto"/>
            </w:tcBorders>
            <w:shd w:val="clear" w:color="000000" w:fill="F2F2F2"/>
            <w:noWrap/>
            <w:vAlign w:val="center"/>
            <w:hideMark/>
          </w:tcPr>
          <w:p w14:paraId="69FF9398" w14:textId="77777777" w:rsidR="00B1438B" w:rsidRPr="006945D7" w:rsidRDefault="00B1438B" w:rsidP="00A05B52">
            <w:pPr>
              <w:jc w:val="right"/>
              <w:rPr>
                <w:rFonts w:ascii="Calibri" w:hAnsi="Calibri" w:cs="Calibri"/>
                <w:b/>
                <w:bCs/>
                <w:color w:val="000000"/>
                <w:sz w:val="17"/>
                <w:szCs w:val="17"/>
                <w:highlight w:val="yellow"/>
                <w:lang w:val="en-IE" w:eastAsia="en-IE"/>
              </w:rPr>
            </w:pPr>
          </w:p>
        </w:tc>
        <w:tc>
          <w:tcPr>
            <w:tcW w:w="850" w:type="dxa"/>
            <w:tcBorders>
              <w:top w:val="nil"/>
              <w:left w:val="nil"/>
              <w:bottom w:val="single" w:sz="4" w:space="0" w:color="auto"/>
              <w:right w:val="single" w:sz="4" w:space="0" w:color="auto"/>
            </w:tcBorders>
            <w:shd w:val="clear" w:color="auto" w:fill="auto"/>
            <w:noWrap/>
            <w:vAlign w:val="center"/>
            <w:hideMark/>
          </w:tcPr>
          <w:p w14:paraId="0CCE1027" w14:textId="77777777" w:rsidR="00B1438B" w:rsidRPr="006945D7" w:rsidRDefault="00B1438B" w:rsidP="00A05B52">
            <w:pPr>
              <w:jc w:val="right"/>
              <w:rPr>
                <w:rFonts w:ascii="Calibri" w:hAnsi="Calibri" w:cs="Calibri"/>
                <w:b/>
                <w:bCs/>
                <w:color w:val="000000"/>
                <w:sz w:val="17"/>
                <w:szCs w:val="17"/>
                <w:highlight w:val="yellow"/>
                <w:lang w:val="en-IE" w:eastAsia="en-IE"/>
              </w:rPr>
            </w:pPr>
          </w:p>
        </w:tc>
        <w:tc>
          <w:tcPr>
            <w:tcW w:w="851" w:type="dxa"/>
            <w:tcBorders>
              <w:top w:val="nil"/>
              <w:left w:val="nil"/>
              <w:bottom w:val="single" w:sz="4" w:space="0" w:color="auto"/>
              <w:right w:val="single" w:sz="4" w:space="0" w:color="auto"/>
            </w:tcBorders>
            <w:shd w:val="clear" w:color="auto" w:fill="auto"/>
            <w:noWrap/>
            <w:vAlign w:val="center"/>
            <w:hideMark/>
          </w:tcPr>
          <w:p w14:paraId="584E6B27" w14:textId="77777777" w:rsidR="00B1438B" w:rsidRPr="006945D7" w:rsidRDefault="00B1438B" w:rsidP="00A05B52">
            <w:pPr>
              <w:jc w:val="right"/>
              <w:rPr>
                <w:rFonts w:ascii="Calibri" w:hAnsi="Calibri" w:cs="Calibri"/>
                <w:b/>
                <w:bCs/>
                <w:color w:val="000000"/>
                <w:sz w:val="17"/>
                <w:szCs w:val="17"/>
                <w:highlight w:val="yellow"/>
                <w:lang w:val="en-IE" w:eastAsia="en-IE"/>
              </w:rPr>
            </w:pPr>
          </w:p>
        </w:tc>
        <w:tc>
          <w:tcPr>
            <w:tcW w:w="877" w:type="dxa"/>
            <w:tcBorders>
              <w:top w:val="nil"/>
              <w:left w:val="nil"/>
              <w:bottom w:val="single" w:sz="4" w:space="0" w:color="auto"/>
              <w:right w:val="single" w:sz="4" w:space="0" w:color="auto"/>
            </w:tcBorders>
            <w:shd w:val="clear" w:color="auto" w:fill="auto"/>
            <w:noWrap/>
            <w:vAlign w:val="center"/>
            <w:hideMark/>
          </w:tcPr>
          <w:p w14:paraId="53719FD8" w14:textId="77777777" w:rsidR="00B1438B" w:rsidRPr="006945D7" w:rsidRDefault="00B1438B" w:rsidP="00A05B52">
            <w:pPr>
              <w:jc w:val="right"/>
              <w:rPr>
                <w:rFonts w:ascii="Calibri" w:hAnsi="Calibri" w:cs="Calibri"/>
                <w:b/>
                <w:bCs/>
                <w:color w:val="000000"/>
                <w:sz w:val="17"/>
                <w:szCs w:val="17"/>
                <w:highlight w:val="yellow"/>
                <w:lang w:val="en-IE" w:eastAsia="en-IE"/>
              </w:rPr>
            </w:pPr>
          </w:p>
        </w:tc>
        <w:tc>
          <w:tcPr>
            <w:tcW w:w="824" w:type="dxa"/>
            <w:tcBorders>
              <w:top w:val="nil"/>
              <w:left w:val="nil"/>
              <w:bottom w:val="single" w:sz="4" w:space="0" w:color="auto"/>
              <w:right w:val="single" w:sz="4" w:space="0" w:color="auto"/>
            </w:tcBorders>
            <w:shd w:val="clear" w:color="000000" w:fill="F2F2F2"/>
            <w:noWrap/>
            <w:vAlign w:val="center"/>
            <w:hideMark/>
          </w:tcPr>
          <w:p w14:paraId="490DF1CB" w14:textId="77777777" w:rsidR="00B1438B" w:rsidRPr="006945D7" w:rsidRDefault="00B1438B" w:rsidP="00A05B52">
            <w:pPr>
              <w:jc w:val="right"/>
              <w:rPr>
                <w:rFonts w:ascii="Calibri" w:hAnsi="Calibri" w:cs="Calibri"/>
                <w:b/>
                <w:bCs/>
                <w:color w:val="000000"/>
                <w:sz w:val="17"/>
                <w:szCs w:val="17"/>
                <w:highlight w:val="yellow"/>
                <w:lang w:val="en-IE" w:eastAsia="en-IE"/>
              </w:rPr>
            </w:pPr>
          </w:p>
        </w:tc>
        <w:tc>
          <w:tcPr>
            <w:tcW w:w="737" w:type="dxa"/>
            <w:tcBorders>
              <w:top w:val="nil"/>
              <w:left w:val="nil"/>
              <w:bottom w:val="single" w:sz="4" w:space="0" w:color="auto"/>
              <w:right w:val="single" w:sz="4" w:space="0" w:color="auto"/>
            </w:tcBorders>
            <w:shd w:val="clear" w:color="000000" w:fill="F2F2F2"/>
            <w:noWrap/>
            <w:vAlign w:val="center"/>
            <w:hideMark/>
          </w:tcPr>
          <w:p w14:paraId="3701C7CC" w14:textId="77777777" w:rsidR="00B1438B" w:rsidRPr="006945D7" w:rsidRDefault="00B1438B" w:rsidP="00A05B52">
            <w:pPr>
              <w:jc w:val="right"/>
              <w:rPr>
                <w:rFonts w:ascii="Calibri" w:hAnsi="Calibri" w:cs="Calibri"/>
                <w:b/>
                <w:bCs/>
                <w:color w:val="000000"/>
                <w:sz w:val="17"/>
                <w:szCs w:val="17"/>
                <w:highlight w:val="yellow"/>
                <w:lang w:val="en-IE" w:eastAsia="en-IE"/>
              </w:rPr>
            </w:pPr>
          </w:p>
        </w:tc>
        <w:tc>
          <w:tcPr>
            <w:tcW w:w="877" w:type="dxa"/>
            <w:tcBorders>
              <w:top w:val="nil"/>
              <w:left w:val="nil"/>
              <w:bottom w:val="single" w:sz="4" w:space="0" w:color="auto"/>
              <w:right w:val="single" w:sz="4" w:space="0" w:color="auto"/>
            </w:tcBorders>
            <w:shd w:val="clear" w:color="000000" w:fill="F2F2F2"/>
            <w:noWrap/>
            <w:vAlign w:val="center"/>
            <w:hideMark/>
          </w:tcPr>
          <w:p w14:paraId="5A5AA8C9" w14:textId="77777777" w:rsidR="00B1438B" w:rsidRPr="006945D7" w:rsidRDefault="00B1438B" w:rsidP="00A05B52">
            <w:pPr>
              <w:jc w:val="right"/>
              <w:rPr>
                <w:rFonts w:ascii="Calibri" w:hAnsi="Calibri" w:cs="Calibri"/>
                <w:b/>
                <w:bCs/>
                <w:color w:val="000000"/>
                <w:sz w:val="17"/>
                <w:szCs w:val="17"/>
                <w:highlight w:val="yellow"/>
                <w:lang w:val="en-IE" w:eastAsia="en-IE"/>
              </w:rPr>
            </w:pPr>
          </w:p>
        </w:tc>
        <w:tc>
          <w:tcPr>
            <w:tcW w:w="824" w:type="dxa"/>
            <w:tcBorders>
              <w:top w:val="nil"/>
              <w:left w:val="nil"/>
              <w:bottom w:val="single" w:sz="4" w:space="0" w:color="auto"/>
              <w:right w:val="single" w:sz="4" w:space="0" w:color="auto"/>
            </w:tcBorders>
            <w:shd w:val="clear" w:color="auto" w:fill="auto"/>
            <w:noWrap/>
            <w:vAlign w:val="center"/>
            <w:hideMark/>
          </w:tcPr>
          <w:p w14:paraId="630A1264" w14:textId="77777777" w:rsidR="00B1438B" w:rsidRPr="006945D7" w:rsidRDefault="00B1438B" w:rsidP="00A05B52">
            <w:pPr>
              <w:jc w:val="right"/>
              <w:rPr>
                <w:rFonts w:ascii="Calibri" w:hAnsi="Calibri" w:cs="Calibri"/>
                <w:b/>
                <w:bCs/>
                <w:color w:val="000000"/>
                <w:sz w:val="17"/>
                <w:szCs w:val="17"/>
                <w:highlight w:val="yellow"/>
                <w:lang w:val="en-IE" w:eastAsia="en-IE"/>
              </w:rPr>
            </w:pPr>
          </w:p>
        </w:tc>
        <w:tc>
          <w:tcPr>
            <w:tcW w:w="737" w:type="dxa"/>
            <w:tcBorders>
              <w:top w:val="nil"/>
              <w:left w:val="nil"/>
              <w:bottom w:val="single" w:sz="4" w:space="0" w:color="auto"/>
              <w:right w:val="single" w:sz="4" w:space="0" w:color="auto"/>
            </w:tcBorders>
            <w:shd w:val="clear" w:color="auto" w:fill="auto"/>
            <w:noWrap/>
            <w:vAlign w:val="center"/>
            <w:hideMark/>
          </w:tcPr>
          <w:p w14:paraId="14706B56" w14:textId="77777777" w:rsidR="00B1438B" w:rsidRPr="006945D7" w:rsidRDefault="00B1438B" w:rsidP="00A05B52">
            <w:pPr>
              <w:jc w:val="right"/>
              <w:rPr>
                <w:rFonts w:ascii="Calibri" w:hAnsi="Calibri" w:cs="Calibri"/>
                <w:b/>
                <w:bCs/>
                <w:color w:val="000000"/>
                <w:sz w:val="17"/>
                <w:szCs w:val="17"/>
                <w:highlight w:val="yellow"/>
                <w:lang w:val="en-IE" w:eastAsia="en-IE"/>
              </w:rPr>
            </w:pPr>
          </w:p>
        </w:tc>
        <w:tc>
          <w:tcPr>
            <w:tcW w:w="877" w:type="dxa"/>
            <w:tcBorders>
              <w:top w:val="nil"/>
              <w:left w:val="nil"/>
              <w:bottom w:val="single" w:sz="4" w:space="0" w:color="auto"/>
              <w:right w:val="single" w:sz="4" w:space="0" w:color="auto"/>
            </w:tcBorders>
            <w:shd w:val="clear" w:color="auto" w:fill="auto"/>
            <w:noWrap/>
            <w:vAlign w:val="center"/>
            <w:hideMark/>
          </w:tcPr>
          <w:p w14:paraId="37D27006" w14:textId="77777777" w:rsidR="00B1438B" w:rsidRPr="006945D7" w:rsidRDefault="00B1438B" w:rsidP="00A05B52">
            <w:pPr>
              <w:jc w:val="right"/>
              <w:rPr>
                <w:rFonts w:ascii="Calibri" w:hAnsi="Calibri" w:cs="Calibri"/>
                <w:b/>
                <w:bCs/>
                <w:color w:val="000000"/>
                <w:sz w:val="17"/>
                <w:szCs w:val="17"/>
                <w:highlight w:val="yellow"/>
                <w:lang w:val="en-IE" w:eastAsia="en-IE"/>
              </w:rPr>
            </w:pPr>
          </w:p>
        </w:tc>
        <w:tc>
          <w:tcPr>
            <w:tcW w:w="824" w:type="dxa"/>
            <w:tcBorders>
              <w:top w:val="nil"/>
              <w:left w:val="nil"/>
              <w:bottom w:val="single" w:sz="4" w:space="0" w:color="auto"/>
              <w:right w:val="single" w:sz="4" w:space="0" w:color="auto"/>
            </w:tcBorders>
            <w:shd w:val="clear" w:color="000000" w:fill="F2F2F2"/>
            <w:noWrap/>
            <w:vAlign w:val="center"/>
            <w:hideMark/>
          </w:tcPr>
          <w:p w14:paraId="1F206F59"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0500A8">
              <w:rPr>
                <w:rFonts w:ascii="Calibri" w:hAnsi="Calibri" w:cs="Calibri"/>
                <w:b/>
                <w:bCs/>
                <w:color w:val="000000"/>
                <w:sz w:val="17"/>
                <w:szCs w:val="17"/>
                <w:lang w:val="en-IE" w:eastAsia="en-IE"/>
              </w:rPr>
              <w:t>137</w:t>
            </w:r>
          </w:p>
        </w:tc>
        <w:tc>
          <w:tcPr>
            <w:tcW w:w="737" w:type="dxa"/>
            <w:tcBorders>
              <w:top w:val="nil"/>
              <w:left w:val="nil"/>
              <w:bottom w:val="single" w:sz="4" w:space="0" w:color="auto"/>
              <w:right w:val="single" w:sz="4" w:space="0" w:color="auto"/>
            </w:tcBorders>
            <w:shd w:val="clear" w:color="000000" w:fill="F2F2F2"/>
            <w:noWrap/>
            <w:vAlign w:val="center"/>
            <w:hideMark/>
          </w:tcPr>
          <w:p w14:paraId="3A5C62A7"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0500A8">
              <w:rPr>
                <w:rFonts w:ascii="Calibri" w:hAnsi="Calibri" w:cs="Calibri"/>
                <w:b/>
                <w:color w:val="000000"/>
                <w:sz w:val="17"/>
                <w:szCs w:val="17"/>
                <w:lang w:val="en-IE" w:eastAsia="en-IE"/>
              </w:rPr>
              <w:t>(1)</w:t>
            </w:r>
          </w:p>
        </w:tc>
        <w:tc>
          <w:tcPr>
            <w:tcW w:w="877" w:type="dxa"/>
            <w:tcBorders>
              <w:top w:val="nil"/>
              <w:left w:val="nil"/>
              <w:bottom w:val="single" w:sz="4" w:space="0" w:color="auto"/>
              <w:right w:val="single" w:sz="4" w:space="0" w:color="auto"/>
            </w:tcBorders>
            <w:shd w:val="clear" w:color="000000" w:fill="F2F2F2"/>
            <w:noWrap/>
            <w:vAlign w:val="center"/>
            <w:hideMark/>
          </w:tcPr>
          <w:p w14:paraId="054178CA" w14:textId="77777777" w:rsidR="00B1438B" w:rsidRPr="006945D7" w:rsidRDefault="00B1438B" w:rsidP="00A05B52">
            <w:pPr>
              <w:jc w:val="right"/>
              <w:rPr>
                <w:rFonts w:ascii="Calibri" w:hAnsi="Calibri" w:cs="Calibri"/>
                <w:b/>
                <w:bCs/>
                <w:color w:val="000000"/>
                <w:sz w:val="17"/>
                <w:szCs w:val="17"/>
                <w:highlight w:val="yellow"/>
                <w:lang w:val="en-IE" w:eastAsia="en-IE"/>
              </w:rPr>
            </w:pPr>
            <w:r w:rsidRPr="000500A8">
              <w:rPr>
                <w:rFonts w:ascii="Calibri" w:hAnsi="Calibri" w:cs="Calibri"/>
                <w:b/>
                <w:bCs/>
                <w:color w:val="000000"/>
                <w:sz w:val="17"/>
                <w:szCs w:val="17"/>
                <w:lang w:val="en-IE" w:eastAsia="en-IE"/>
              </w:rPr>
              <w:t>136</w:t>
            </w:r>
          </w:p>
        </w:tc>
      </w:tr>
    </w:tbl>
    <w:p w14:paraId="4415CF39" w14:textId="6BEAF3DD" w:rsidR="00E223C0" w:rsidRDefault="00E223C0" w:rsidP="00E223C0">
      <w:pPr>
        <w:pStyle w:val="Accountstext"/>
        <w:rPr>
          <w:rFonts w:asciiTheme="minorHAnsi" w:hAnsiTheme="minorHAnsi"/>
          <w:b/>
          <w:szCs w:val="22"/>
          <w:lang w:val="en-IE"/>
        </w:rPr>
      </w:pPr>
    </w:p>
    <w:p w14:paraId="2F9A4592" w14:textId="4C6BB540" w:rsidR="00781634" w:rsidRDefault="00781634" w:rsidP="00E223C0">
      <w:pPr>
        <w:pStyle w:val="Accountstext"/>
        <w:rPr>
          <w:rFonts w:asciiTheme="minorHAnsi" w:hAnsiTheme="minorHAnsi"/>
          <w:b/>
          <w:szCs w:val="22"/>
          <w:lang w:val="en-IE"/>
        </w:rPr>
      </w:pPr>
    </w:p>
    <w:p w14:paraId="5B152F77" w14:textId="56CAD28D" w:rsidR="00781634" w:rsidRDefault="00781634" w:rsidP="00E223C0">
      <w:pPr>
        <w:pStyle w:val="Accountstext"/>
        <w:rPr>
          <w:rFonts w:asciiTheme="minorHAnsi" w:hAnsiTheme="minorHAnsi"/>
          <w:b/>
          <w:szCs w:val="22"/>
          <w:lang w:val="en-IE"/>
        </w:rPr>
      </w:pPr>
    </w:p>
    <w:p w14:paraId="3DFC61C2" w14:textId="163F36F5" w:rsidR="00781634" w:rsidRDefault="00781634" w:rsidP="00E223C0">
      <w:pPr>
        <w:pStyle w:val="Accountstext"/>
        <w:rPr>
          <w:rFonts w:asciiTheme="minorHAnsi" w:hAnsiTheme="minorHAnsi"/>
          <w:b/>
          <w:szCs w:val="22"/>
          <w:lang w:val="en-IE"/>
        </w:rPr>
      </w:pPr>
    </w:p>
    <w:p w14:paraId="2D5517D2" w14:textId="77777777" w:rsidR="00781634" w:rsidRDefault="00781634" w:rsidP="00E223C0">
      <w:pPr>
        <w:pStyle w:val="Accountstext"/>
        <w:rPr>
          <w:rFonts w:asciiTheme="minorHAnsi" w:hAnsiTheme="minorHAnsi"/>
          <w:b/>
          <w:szCs w:val="22"/>
          <w:lang w:val="en-IE"/>
        </w:rPr>
        <w:sectPr w:rsidR="00781634" w:rsidSect="00B1438B">
          <w:headerReference w:type="even" r:id="rId18"/>
          <w:headerReference w:type="default" r:id="rId19"/>
          <w:footerReference w:type="even" r:id="rId20"/>
          <w:footerReference w:type="default" r:id="rId21"/>
          <w:headerReference w:type="first" r:id="rId22"/>
          <w:footerReference w:type="first" r:id="rId23"/>
          <w:pgSz w:w="16839" w:h="11907" w:orient="landscape" w:code="9"/>
          <w:pgMar w:top="1260" w:right="810" w:bottom="1170" w:left="630" w:header="720" w:footer="720" w:gutter="0"/>
          <w:cols w:space="720"/>
          <w:noEndnote/>
          <w:docGrid w:linePitch="326"/>
        </w:sectPr>
      </w:pPr>
    </w:p>
    <w:p w14:paraId="7240CF1D" w14:textId="77777777" w:rsidR="00794AFD" w:rsidRPr="003A5032" w:rsidRDefault="00794AFD" w:rsidP="00794AFD">
      <w:pPr>
        <w:spacing w:before="120" w:after="120"/>
        <w:contextualSpacing/>
        <w:rPr>
          <w:rFonts w:asciiTheme="minorHAnsi" w:hAnsiTheme="minorHAnsi"/>
          <w:b/>
          <w:sz w:val="20"/>
        </w:rPr>
      </w:pPr>
      <w:r>
        <w:rPr>
          <w:rFonts w:asciiTheme="minorHAnsi" w:hAnsiTheme="minorHAnsi"/>
          <w:b/>
          <w:sz w:val="20"/>
        </w:rPr>
        <w:lastRenderedPageBreak/>
        <w:t xml:space="preserve">CONDENSED </w:t>
      </w:r>
      <w:bookmarkStart w:id="14" w:name="_Hlk31700627"/>
      <w:r w:rsidRPr="003A5032">
        <w:rPr>
          <w:rFonts w:asciiTheme="minorHAnsi" w:hAnsiTheme="minorHAnsi"/>
          <w:b/>
          <w:sz w:val="20"/>
        </w:rPr>
        <w:t>CONSOLIDATED</w:t>
      </w:r>
      <w:r>
        <w:rPr>
          <w:rFonts w:asciiTheme="minorHAnsi" w:hAnsiTheme="minorHAnsi"/>
          <w:b/>
          <w:sz w:val="20"/>
        </w:rPr>
        <w:t xml:space="preserve"> </w:t>
      </w:r>
      <w:r w:rsidRPr="003A5032">
        <w:rPr>
          <w:rFonts w:asciiTheme="minorHAnsi" w:hAnsiTheme="minorHAnsi"/>
          <w:b/>
          <w:sz w:val="20"/>
        </w:rPr>
        <w:t>INCOME STATEMENT</w:t>
      </w:r>
    </w:p>
    <w:p w14:paraId="3B56915C" w14:textId="77777777" w:rsidR="00794AFD" w:rsidRPr="00D13FE8" w:rsidRDefault="00794AFD" w:rsidP="00794AFD">
      <w:pPr>
        <w:contextualSpacing/>
        <w:rPr>
          <w:rFonts w:asciiTheme="minorHAnsi" w:hAnsiTheme="minorHAnsi" w:cs="Times New Roman"/>
          <w:b/>
          <w:sz w:val="20"/>
          <w:szCs w:val="20"/>
        </w:rPr>
      </w:pPr>
      <w:r w:rsidRPr="00D13FE8">
        <w:rPr>
          <w:rFonts w:asciiTheme="minorHAnsi" w:hAnsiTheme="minorHAnsi" w:cs="Times New Roman"/>
          <w:b/>
          <w:sz w:val="20"/>
          <w:szCs w:val="20"/>
        </w:rPr>
        <w:t>Year ended 31 December 2019</w:t>
      </w:r>
    </w:p>
    <w:p w14:paraId="031339C9" w14:textId="77777777" w:rsidR="00794AFD" w:rsidRPr="00D13FE8" w:rsidRDefault="00794AFD" w:rsidP="00794AFD">
      <w:pPr>
        <w:jc w:val="both"/>
        <w:rPr>
          <w:rFonts w:asciiTheme="minorHAnsi" w:hAnsiTheme="minorHAnsi" w:cs="Times New Roman"/>
          <w:sz w:val="20"/>
          <w:szCs w:val="20"/>
        </w:rPr>
      </w:pPr>
    </w:p>
    <w:p w14:paraId="139C92D0" w14:textId="77777777" w:rsidR="00794AFD" w:rsidRPr="00D13FE8" w:rsidRDefault="00794AFD" w:rsidP="00794AFD">
      <w:pPr>
        <w:jc w:val="both"/>
        <w:rPr>
          <w:rFonts w:asciiTheme="minorHAnsi" w:hAnsiTheme="minorHAnsi" w:cs="Times New Roman"/>
          <w:sz w:val="20"/>
          <w:szCs w:val="20"/>
        </w:rPr>
      </w:pPr>
    </w:p>
    <w:tbl>
      <w:tblPr>
        <w:tblW w:w="5464" w:type="pct"/>
        <w:tblInd w:w="-142" w:type="dxa"/>
        <w:tblLayout w:type="fixed"/>
        <w:tblLook w:val="0000" w:firstRow="0" w:lastRow="0" w:firstColumn="0" w:lastColumn="0" w:noHBand="0" w:noVBand="0"/>
      </w:tblPr>
      <w:tblGrid>
        <w:gridCol w:w="2725"/>
        <w:gridCol w:w="710"/>
        <w:gridCol w:w="1156"/>
        <w:gridCol w:w="1156"/>
        <w:gridCol w:w="1156"/>
        <w:gridCol w:w="1156"/>
        <w:gridCol w:w="1156"/>
        <w:gridCol w:w="1141"/>
      </w:tblGrid>
      <w:tr w:rsidR="00794AFD" w:rsidRPr="00D13FE8" w14:paraId="564BD142" w14:textId="77777777" w:rsidTr="00794AFD">
        <w:trPr>
          <w:trHeight w:val="442"/>
        </w:trPr>
        <w:tc>
          <w:tcPr>
            <w:tcW w:w="1316" w:type="pct"/>
            <w:tcBorders>
              <w:top w:val="single" w:sz="4" w:space="0" w:color="auto"/>
              <w:bottom w:val="single" w:sz="4" w:space="0" w:color="auto"/>
              <w:right w:val="nil"/>
            </w:tcBorders>
          </w:tcPr>
          <w:p w14:paraId="78B8F148" w14:textId="77777777" w:rsidR="00794AFD" w:rsidRPr="00D13FE8" w:rsidRDefault="00794AFD" w:rsidP="00794AFD">
            <w:pPr>
              <w:ind w:left="-216"/>
              <w:jc w:val="both"/>
              <w:rPr>
                <w:rFonts w:asciiTheme="minorHAnsi" w:hAnsiTheme="minorHAnsi" w:cs="Times New Roman"/>
                <w:sz w:val="20"/>
                <w:szCs w:val="20"/>
              </w:rPr>
            </w:pPr>
          </w:p>
        </w:tc>
        <w:tc>
          <w:tcPr>
            <w:tcW w:w="343" w:type="pct"/>
            <w:tcBorders>
              <w:top w:val="single" w:sz="4" w:space="0" w:color="auto"/>
              <w:left w:val="nil"/>
              <w:bottom w:val="single" w:sz="4" w:space="0" w:color="auto"/>
            </w:tcBorders>
          </w:tcPr>
          <w:p w14:paraId="6A0D3F14" w14:textId="77777777" w:rsidR="00794AFD" w:rsidRPr="00D13FE8" w:rsidRDefault="00794AFD" w:rsidP="00794AFD">
            <w:pPr>
              <w:jc w:val="center"/>
              <w:rPr>
                <w:rFonts w:asciiTheme="minorHAnsi" w:hAnsiTheme="minorHAnsi" w:cs="Times New Roman"/>
                <w:iCs/>
                <w:sz w:val="20"/>
                <w:szCs w:val="20"/>
              </w:rPr>
            </w:pPr>
          </w:p>
          <w:p w14:paraId="1939E013" w14:textId="77777777" w:rsidR="00794AFD" w:rsidRPr="00D13FE8" w:rsidRDefault="00794AFD" w:rsidP="00794AFD">
            <w:pPr>
              <w:jc w:val="center"/>
              <w:rPr>
                <w:rFonts w:asciiTheme="minorHAnsi" w:hAnsiTheme="minorHAnsi" w:cs="Times New Roman"/>
                <w:iCs/>
                <w:sz w:val="20"/>
                <w:szCs w:val="20"/>
              </w:rPr>
            </w:pPr>
          </w:p>
          <w:p w14:paraId="5C55EB67" w14:textId="77777777" w:rsidR="00794AFD" w:rsidRPr="00D13FE8" w:rsidRDefault="00794AFD" w:rsidP="00794AFD">
            <w:pPr>
              <w:jc w:val="center"/>
              <w:rPr>
                <w:rFonts w:asciiTheme="minorHAnsi" w:hAnsiTheme="minorHAnsi" w:cs="Times New Roman"/>
                <w:iCs/>
                <w:sz w:val="20"/>
                <w:szCs w:val="20"/>
              </w:rPr>
            </w:pPr>
          </w:p>
          <w:p w14:paraId="6734B897" w14:textId="77777777" w:rsidR="00794AFD" w:rsidRPr="00D13FE8" w:rsidRDefault="00794AFD" w:rsidP="00794AFD">
            <w:pPr>
              <w:jc w:val="center"/>
              <w:rPr>
                <w:rFonts w:asciiTheme="minorHAnsi" w:hAnsiTheme="minorHAnsi" w:cs="Times New Roman"/>
                <w:iCs/>
                <w:sz w:val="20"/>
                <w:szCs w:val="20"/>
              </w:rPr>
            </w:pPr>
          </w:p>
          <w:p w14:paraId="6C9A6174" w14:textId="77777777" w:rsidR="00794AFD" w:rsidRPr="00D13FE8" w:rsidRDefault="00794AFD" w:rsidP="00794AFD">
            <w:pPr>
              <w:jc w:val="center"/>
              <w:rPr>
                <w:rFonts w:asciiTheme="minorHAnsi" w:hAnsiTheme="minorHAnsi" w:cs="Times New Roman"/>
                <w:iCs/>
                <w:sz w:val="20"/>
                <w:szCs w:val="20"/>
              </w:rPr>
            </w:pPr>
          </w:p>
          <w:p w14:paraId="79998EDB" w14:textId="77777777" w:rsidR="00794AFD" w:rsidRPr="00D13FE8" w:rsidRDefault="00794AFD" w:rsidP="00794AFD">
            <w:pPr>
              <w:jc w:val="center"/>
              <w:rPr>
                <w:rFonts w:asciiTheme="minorHAnsi" w:hAnsiTheme="minorHAnsi" w:cs="Times New Roman"/>
                <w:iCs/>
                <w:sz w:val="20"/>
                <w:szCs w:val="20"/>
              </w:rPr>
            </w:pPr>
          </w:p>
          <w:p w14:paraId="130A612C" w14:textId="77777777" w:rsidR="00794AFD" w:rsidRPr="00D13FE8" w:rsidRDefault="00794AFD" w:rsidP="00794AFD">
            <w:pPr>
              <w:jc w:val="center"/>
              <w:rPr>
                <w:rFonts w:asciiTheme="minorHAnsi" w:hAnsiTheme="minorHAnsi" w:cs="Times New Roman"/>
                <w:iCs/>
                <w:sz w:val="20"/>
                <w:szCs w:val="20"/>
              </w:rPr>
            </w:pPr>
            <w:r w:rsidRPr="00D13FE8">
              <w:rPr>
                <w:rFonts w:asciiTheme="minorHAnsi" w:hAnsiTheme="minorHAnsi" w:cs="Times New Roman"/>
                <w:iCs/>
                <w:sz w:val="20"/>
                <w:szCs w:val="20"/>
              </w:rPr>
              <w:t>Note</w:t>
            </w:r>
          </w:p>
        </w:tc>
        <w:tc>
          <w:tcPr>
            <w:tcW w:w="558" w:type="pct"/>
            <w:tcBorders>
              <w:top w:val="single" w:sz="4" w:space="0" w:color="auto"/>
              <w:left w:val="nil"/>
              <w:bottom w:val="single" w:sz="4" w:space="0" w:color="auto"/>
              <w:right w:val="nil"/>
            </w:tcBorders>
            <w:shd w:val="clear" w:color="auto" w:fill="auto"/>
          </w:tcPr>
          <w:p w14:paraId="103E80F8" w14:textId="77777777" w:rsidR="00794AFD" w:rsidRPr="00D13FE8" w:rsidRDefault="00794AFD" w:rsidP="00794AFD">
            <w:pPr>
              <w:jc w:val="right"/>
              <w:rPr>
                <w:rFonts w:asciiTheme="minorHAnsi" w:hAnsiTheme="minorHAnsi" w:cs="Times New Roman"/>
                <w:b/>
                <w:bCs/>
                <w:sz w:val="20"/>
                <w:szCs w:val="20"/>
              </w:rPr>
            </w:pPr>
          </w:p>
          <w:p w14:paraId="48E67579"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 xml:space="preserve">Before separately disclosed items </w:t>
            </w:r>
          </w:p>
          <w:p w14:paraId="4C357275"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2019</w:t>
            </w:r>
          </w:p>
          <w:p w14:paraId="3974C1A1"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£m</w:t>
            </w:r>
          </w:p>
        </w:tc>
        <w:tc>
          <w:tcPr>
            <w:tcW w:w="558" w:type="pct"/>
            <w:tcBorders>
              <w:top w:val="single" w:sz="4" w:space="0" w:color="auto"/>
              <w:left w:val="nil"/>
              <w:bottom w:val="single" w:sz="4" w:space="0" w:color="auto"/>
              <w:right w:val="nil"/>
            </w:tcBorders>
          </w:tcPr>
          <w:p w14:paraId="4F351022" w14:textId="77777777" w:rsidR="00794AFD" w:rsidRPr="00D13FE8" w:rsidRDefault="00794AFD" w:rsidP="00794AFD">
            <w:pPr>
              <w:jc w:val="right"/>
              <w:rPr>
                <w:rFonts w:asciiTheme="minorHAnsi" w:hAnsiTheme="minorHAnsi" w:cs="Times New Roman"/>
                <w:b/>
                <w:bCs/>
                <w:sz w:val="20"/>
                <w:szCs w:val="20"/>
              </w:rPr>
            </w:pPr>
          </w:p>
          <w:p w14:paraId="41B8CF9A"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Separately disclosed items</w:t>
            </w:r>
          </w:p>
          <w:p w14:paraId="6A012C52"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 xml:space="preserve">(Note 4) 2019 </w:t>
            </w:r>
          </w:p>
          <w:p w14:paraId="4A0E3CC6"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£m</w:t>
            </w:r>
          </w:p>
        </w:tc>
        <w:tc>
          <w:tcPr>
            <w:tcW w:w="558" w:type="pct"/>
            <w:tcBorders>
              <w:top w:val="single" w:sz="4" w:space="0" w:color="auto"/>
              <w:left w:val="nil"/>
              <w:bottom w:val="single" w:sz="4" w:space="0" w:color="auto"/>
              <w:right w:val="nil"/>
            </w:tcBorders>
          </w:tcPr>
          <w:p w14:paraId="1F3E62DB" w14:textId="77777777" w:rsidR="00794AFD" w:rsidRPr="00D13FE8" w:rsidRDefault="00794AFD" w:rsidP="00794AFD">
            <w:pPr>
              <w:jc w:val="right"/>
              <w:rPr>
                <w:rFonts w:asciiTheme="minorHAnsi" w:hAnsiTheme="minorHAnsi" w:cs="Times New Roman"/>
                <w:bCs/>
                <w:sz w:val="20"/>
                <w:szCs w:val="20"/>
              </w:rPr>
            </w:pPr>
          </w:p>
          <w:p w14:paraId="376326C1" w14:textId="77777777" w:rsidR="00794AFD" w:rsidRPr="00D13FE8" w:rsidRDefault="00794AFD" w:rsidP="00794AFD">
            <w:pPr>
              <w:jc w:val="right"/>
              <w:rPr>
                <w:rFonts w:asciiTheme="minorHAnsi" w:hAnsiTheme="minorHAnsi" w:cs="Times New Roman"/>
                <w:bCs/>
                <w:sz w:val="20"/>
                <w:szCs w:val="20"/>
              </w:rPr>
            </w:pPr>
          </w:p>
          <w:p w14:paraId="71D2809E" w14:textId="77777777" w:rsidR="00794AFD" w:rsidRPr="00D13FE8" w:rsidRDefault="00794AFD" w:rsidP="00794AFD">
            <w:pPr>
              <w:jc w:val="right"/>
              <w:rPr>
                <w:rFonts w:asciiTheme="minorHAnsi" w:hAnsiTheme="minorHAnsi" w:cs="Times New Roman"/>
                <w:bCs/>
                <w:sz w:val="20"/>
                <w:szCs w:val="20"/>
              </w:rPr>
            </w:pPr>
          </w:p>
          <w:p w14:paraId="339D2AAE" w14:textId="77777777" w:rsidR="00794AFD" w:rsidRPr="00D13FE8" w:rsidRDefault="00794AFD" w:rsidP="00794AFD">
            <w:pPr>
              <w:jc w:val="right"/>
              <w:rPr>
                <w:rFonts w:asciiTheme="minorHAnsi" w:hAnsiTheme="minorHAnsi" w:cs="Times New Roman"/>
                <w:b/>
                <w:bCs/>
                <w:sz w:val="20"/>
                <w:szCs w:val="20"/>
              </w:rPr>
            </w:pPr>
          </w:p>
          <w:p w14:paraId="2F7B23AA"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Total</w:t>
            </w:r>
          </w:p>
          <w:p w14:paraId="2213EB0E"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 xml:space="preserve">2019 </w:t>
            </w:r>
          </w:p>
          <w:p w14:paraId="712D37B3"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
                <w:bCs/>
                <w:sz w:val="20"/>
                <w:szCs w:val="20"/>
              </w:rPr>
              <w:t>£m</w:t>
            </w:r>
          </w:p>
        </w:tc>
        <w:tc>
          <w:tcPr>
            <w:tcW w:w="558" w:type="pct"/>
            <w:tcBorders>
              <w:top w:val="single" w:sz="4" w:space="0" w:color="auto"/>
              <w:left w:val="nil"/>
              <w:bottom w:val="single" w:sz="4" w:space="0" w:color="auto"/>
              <w:right w:val="nil"/>
            </w:tcBorders>
          </w:tcPr>
          <w:p w14:paraId="6EBEB008" w14:textId="77777777" w:rsidR="00794AFD" w:rsidRPr="00D13FE8" w:rsidRDefault="00794AFD" w:rsidP="00794AFD">
            <w:pPr>
              <w:jc w:val="right"/>
              <w:rPr>
                <w:rFonts w:asciiTheme="minorHAnsi" w:hAnsiTheme="minorHAnsi" w:cs="Times New Roman"/>
                <w:bCs/>
                <w:sz w:val="20"/>
                <w:szCs w:val="20"/>
              </w:rPr>
            </w:pPr>
          </w:p>
          <w:p w14:paraId="2474133A"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 xml:space="preserve">Before separately disclosed items </w:t>
            </w:r>
          </w:p>
          <w:p w14:paraId="14125657"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2018</w:t>
            </w:r>
          </w:p>
          <w:p w14:paraId="1E86F8E9"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£m</w:t>
            </w:r>
          </w:p>
        </w:tc>
        <w:tc>
          <w:tcPr>
            <w:tcW w:w="558" w:type="pct"/>
            <w:tcBorders>
              <w:top w:val="single" w:sz="4" w:space="0" w:color="auto"/>
              <w:left w:val="nil"/>
              <w:bottom w:val="single" w:sz="4" w:space="0" w:color="auto"/>
              <w:right w:val="nil"/>
            </w:tcBorders>
          </w:tcPr>
          <w:p w14:paraId="3B07CA0D" w14:textId="77777777" w:rsidR="00794AFD" w:rsidRPr="00D13FE8" w:rsidRDefault="00794AFD" w:rsidP="00794AFD">
            <w:pPr>
              <w:jc w:val="right"/>
              <w:rPr>
                <w:rFonts w:asciiTheme="minorHAnsi" w:hAnsiTheme="minorHAnsi" w:cs="Times New Roman"/>
                <w:bCs/>
                <w:sz w:val="20"/>
                <w:szCs w:val="20"/>
              </w:rPr>
            </w:pPr>
          </w:p>
          <w:p w14:paraId="34DF3289"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Separately disclosed items</w:t>
            </w:r>
          </w:p>
          <w:p w14:paraId="71A27521"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 xml:space="preserve">(Note 4) 2018 </w:t>
            </w:r>
          </w:p>
          <w:p w14:paraId="00745825"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£m</w:t>
            </w:r>
          </w:p>
        </w:tc>
        <w:tc>
          <w:tcPr>
            <w:tcW w:w="551" w:type="pct"/>
            <w:tcBorders>
              <w:top w:val="single" w:sz="4" w:space="0" w:color="auto"/>
              <w:left w:val="nil"/>
              <w:bottom w:val="single" w:sz="4" w:space="0" w:color="auto"/>
              <w:right w:val="nil"/>
            </w:tcBorders>
          </w:tcPr>
          <w:p w14:paraId="0A663F50" w14:textId="77777777" w:rsidR="00794AFD" w:rsidRPr="00D13FE8" w:rsidRDefault="00794AFD" w:rsidP="00794AFD">
            <w:pPr>
              <w:jc w:val="right"/>
              <w:rPr>
                <w:rFonts w:asciiTheme="minorHAnsi" w:hAnsiTheme="minorHAnsi" w:cs="Times New Roman"/>
                <w:bCs/>
                <w:sz w:val="20"/>
                <w:szCs w:val="20"/>
              </w:rPr>
            </w:pPr>
          </w:p>
          <w:p w14:paraId="0F979890" w14:textId="77777777" w:rsidR="00794AFD" w:rsidRPr="00D13FE8" w:rsidRDefault="00794AFD" w:rsidP="00794AFD">
            <w:pPr>
              <w:jc w:val="right"/>
              <w:rPr>
                <w:rFonts w:asciiTheme="minorHAnsi" w:hAnsiTheme="minorHAnsi" w:cs="Times New Roman"/>
                <w:bCs/>
                <w:sz w:val="20"/>
                <w:szCs w:val="20"/>
              </w:rPr>
            </w:pPr>
          </w:p>
          <w:p w14:paraId="45C489A4" w14:textId="77777777" w:rsidR="00794AFD" w:rsidRPr="00D13FE8" w:rsidRDefault="00794AFD" w:rsidP="00794AFD">
            <w:pPr>
              <w:jc w:val="right"/>
              <w:rPr>
                <w:rFonts w:asciiTheme="minorHAnsi" w:hAnsiTheme="minorHAnsi" w:cs="Times New Roman"/>
                <w:bCs/>
                <w:sz w:val="20"/>
                <w:szCs w:val="20"/>
              </w:rPr>
            </w:pPr>
          </w:p>
          <w:p w14:paraId="1FE1390D" w14:textId="77777777" w:rsidR="00794AFD" w:rsidRPr="00D13FE8" w:rsidRDefault="00794AFD" w:rsidP="00794AFD">
            <w:pPr>
              <w:jc w:val="right"/>
              <w:rPr>
                <w:rFonts w:asciiTheme="minorHAnsi" w:hAnsiTheme="minorHAnsi" w:cs="Times New Roman"/>
                <w:bCs/>
                <w:sz w:val="20"/>
                <w:szCs w:val="20"/>
              </w:rPr>
            </w:pPr>
          </w:p>
          <w:p w14:paraId="1E566910"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Total</w:t>
            </w:r>
          </w:p>
          <w:p w14:paraId="74094D45"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2018</w:t>
            </w:r>
          </w:p>
          <w:p w14:paraId="23E654B1"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£m</w:t>
            </w:r>
          </w:p>
        </w:tc>
      </w:tr>
      <w:tr w:rsidR="00794AFD" w:rsidRPr="00D13FE8" w14:paraId="6F173C57" w14:textId="77777777" w:rsidTr="00794AFD">
        <w:trPr>
          <w:trHeight w:val="550"/>
        </w:trPr>
        <w:tc>
          <w:tcPr>
            <w:tcW w:w="1316" w:type="pct"/>
            <w:tcBorders>
              <w:top w:val="single" w:sz="4" w:space="0" w:color="auto"/>
              <w:right w:val="nil"/>
            </w:tcBorders>
          </w:tcPr>
          <w:p w14:paraId="35A7AB57" w14:textId="77777777" w:rsidR="00794AFD" w:rsidRPr="00D13FE8" w:rsidRDefault="00794AFD" w:rsidP="00794AFD">
            <w:pPr>
              <w:ind w:left="-90"/>
              <w:rPr>
                <w:rFonts w:asciiTheme="minorHAnsi" w:hAnsiTheme="minorHAnsi" w:cs="Times New Roman"/>
                <w:b/>
                <w:i/>
                <w:sz w:val="20"/>
                <w:szCs w:val="20"/>
              </w:rPr>
            </w:pPr>
            <w:r w:rsidRPr="00D13FE8">
              <w:rPr>
                <w:rFonts w:asciiTheme="minorHAnsi" w:hAnsiTheme="minorHAnsi" w:cs="Times New Roman"/>
                <w:b/>
                <w:i/>
                <w:sz w:val="20"/>
                <w:szCs w:val="20"/>
              </w:rPr>
              <w:t>Continuing operations</w:t>
            </w:r>
          </w:p>
        </w:tc>
        <w:tc>
          <w:tcPr>
            <w:tcW w:w="343" w:type="pct"/>
            <w:tcBorders>
              <w:top w:val="single" w:sz="4" w:space="0" w:color="auto"/>
              <w:left w:val="nil"/>
            </w:tcBorders>
          </w:tcPr>
          <w:p w14:paraId="7C6504B0" w14:textId="77777777" w:rsidR="00794AFD" w:rsidRPr="00D13FE8" w:rsidRDefault="00794AFD" w:rsidP="00794AFD">
            <w:pPr>
              <w:jc w:val="center"/>
              <w:rPr>
                <w:rFonts w:asciiTheme="minorHAnsi" w:hAnsiTheme="minorHAnsi" w:cs="Times New Roman"/>
                <w:sz w:val="20"/>
                <w:szCs w:val="20"/>
              </w:rPr>
            </w:pPr>
          </w:p>
        </w:tc>
        <w:tc>
          <w:tcPr>
            <w:tcW w:w="558" w:type="pct"/>
            <w:tcBorders>
              <w:top w:val="single" w:sz="4" w:space="0" w:color="auto"/>
              <w:left w:val="nil"/>
              <w:right w:val="nil"/>
            </w:tcBorders>
          </w:tcPr>
          <w:p w14:paraId="4A71DD35" w14:textId="77777777" w:rsidR="00794AFD" w:rsidRPr="00D13FE8" w:rsidRDefault="00794AFD" w:rsidP="00794AFD">
            <w:pPr>
              <w:jc w:val="right"/>
              <w:rPr>
                <w:rFonts w:asciiTheme="minorHAnsi" w:hAnsiTheme="minorHAnsi" w:cs="Times New Roman"/>
                <w:b/>
                <w:bCs/>
                <w:sz w:val="20"/>
                <w:szCs w:val="20"/>
              </w:rPr>
            </w:pPr>
          </w:p>
        </w:tc>
        <w:tc>
          <w:tcPr>
            <w:tcW w:w="558" w:type="pct"/>
            <w:tcBorders>
              <w:top w:val="single" w:sz="4" w:space="0" w:color="auto"/>
              <w:left w:val="nil"/>
              <w:right w:val="nil"/>
            </w:tcBorders>
          </w:tcPr>
          <w:p w14:paraId="0D400B1B" w14:textId="77777777" w:rsidR="00794AFD" w:rsidRPr="00D13FE8" w:rsidRDefault="00794AFD" w:rsidP="00794AFD">
            <w:pPr>
              <w:jc w:val="right"/>
              <w:rPr>
                <w:rFonts w:asciiTheme="minorHAnsi" w:hAnsiTheme="minorHAnsi" w:cs="Times New Roman"/>
                <w:b/>
                <w:bCs/>
                <w:sz w:val="20"/>
                <w:szCs w:val="20"/>
              </w:rPr>
            </w:pPr>
          </w:p>
        </w:tc>
        <w:tc>
          <w:tcPr>
            <w:tcW w:w="558" w:type="pct"/>
            <w:tcBorders>
              <w:top w:val="single" w:sz="4" w:space="0" w:color="auto"/>
              <w:left w:val="nil"/>
              <w:right w:val="nil"/>
            </w:tcBorders>
          </w:tcPr>
          <w:p w14:paraId="6CF6BDE8" w14:textId="77777777" w:rsidR="00794AFD" w:rsidRPr="00D13FE8" w:rsidRDefault="00794AFD" w:rsidP="00794AFD">
            <w:pPr>
              <w:jc w:val="right"/>
              <w:rPr>
                <w:rFonts w:asciiTheme="minorHAnsi" w:hAnsiTheme="minorHAnsi" w:cs="Times New Roman"/>
                <w:b/>
                <w:bCs/>
                <w:sz w:val="20"/>
                <w:szCs w:val="20"/>
              </w:rPr>
            </w:pPr>
          </w:p>
        </w:tc>
        <w:tc>
          <w:tcPr>
            <w:tcW w:w="558" w:type="pct"/>
            <w:tcBorders>
              <w:top w:val="single" w:sz="4" w:space="0" w:color="auto"/>
              <w:left w:val="nil"/>
              <w:right w:val="nil"/>
            </w:tcBorders>
          </w:tcPr>
          <w:p w14:paraId="50E068D6" w14:textId="77777777" w:rsidR="00794AFD" w:rsidRPr="00D13FE8" w:rsidRDefault="00794AFD" w:rsidP="00794AFD">
            <w:pPr>
              <w:jc w:val="right"/>
              <w:rPr>
                <w:rFonts w:asciiTheme="minorHAnsi" w:hAnsiTheme="minorHAnsi" w:cs="Times New Roman"/>
                <w:bCs/>
                <w:sz w:val="20"/>
                <w:szCs w:val="20"/>
              </w:rPr>
            </w:pPr>
          </w:p>
        </w:tc>
        <w:tc>
          <w:tcPr>
            <w:tcW w:w="558" w:type="pct"/>
            <w:tcBorders>
              <w:top w:val="single" w:sz="4" w:space="0" w:color="auto"/>
              <w:left w:val="nil"/>
              <w:right w:val="nil"/>
            </w:tcBorders>
          </w:tcPr>
          <w:p w14:paraId="4C22C7D0" w14:textId="77777777" w:rsidR="00794AFD" w:rsidRPr="00D13FE8" w:rsidRDefault="00794AFD" w:rsidP="00794AFD">
            <w:pPr>
              <w:jc w:val="right"/>
              <w:rPr>
                <w:rFonts w:asciiTheme="minorHAnsi" w:hAnsiTheme="minorHAnsi" w:cs="Times New Roman"/>
                <w:bCs/>
                <w:sz w:val="20"/>
                <w:szCs w:val="20"/>
              </w:rPr>
            </w:pPr>
          </w:p>
        </w:tc>
        <w:tc>
          <w:tcPr>
            <w:tcW w:w="551" w:type="pct"/>
            <w:tcBorders>
              <w:top w:val="single" w:sz="4" w:space="0" w:color="auto"/>
              <w:left w:val="nil"/>
              <w:right w:val="nil"/>
            </w:tcBorders>
          </w:tcPr>
          <w:p w14:paraId="6D5849E1" w14:textId="77777777" w:rsidR="00794AFD" w:rsidRPr="00D13FE8" w:rsidRDefault="00794AFD" w:rsidP="00794AFD">
            <w:pPr>
              <w:jc w:val="right"/>
              <w:rPr>
                <w:rFonts w:asciiTheme="minorHAnsi" w:hAnsiTheme="minorHAnsi" w:cs="Times New Roman"/>
                <w:bCs/>
                <w:sz w:val="20"/>
                <w:szCs w:val="20"/>
              </w:rPr>
            </w:pPr>
          </w:p>
        </w:tc>
      </w:tr>
      <w:tr w:rsidR="00794AFD" w:rsidRPr="00D13FE8" w14:paraId="0A1BE316" w14:textId="77777777" w:rsidTr="00794AFD">
        <w:trPr>
          <w:trHeight w:val="146"/>
        </w:trPr>
        <w:tc>
          <w:tcPr>
            <w:tcW w:w="1316" w:type="pct"/>
            <w:tcBorders>
              <w:top w:val="nil"/>
              <w:right w:val="nil"/>
            </w:tcBorders>
          </w:tcPr>
          <w:p w14:paraId="6972BC54" w14:textId="77777777" w:rsidR="00794AFD" w:rsidRPr="00D13FE8" w:rsidRDefault="00794AFD" w:rsidP="00794AFD">
            <w:pPr>
              <w:ind w:left="-90"/>
              <w:rPr>
                <w:rFonts w:asciiTheme="minorHAnsi" w:hAnsiTheme="minorHAnsi" w:cs="Times New Roman"/>
                <w:b/>
                <w:sz w:val="20"/>
                <w:szCs w:val="20"/>
              </w:rPr>
            </w:pPr>
            <w:r w:rsidRPr="00D13FE8">
              <w:rPr>
                <w:rFonts w:asciiTheme="minorHAnsi" w:hAnsiTheme="minorHAnsi" w:cs="Times New Roman"/>
                <w:b/>
                <w:sz w:val="20"/>
                <w:szCs w:val="20"/>
              </w:rPr>
              <w:t>Revenue</w:t>
            </w:r>
          </w:p>
        </w:tc>
        <w:tc>
          <w:tcPr>
            <w:tcW w:w="343" w:type="pct"/>
            <w:tcBorders>
              <w:top w:val="nil"/>
              <w:left w:val="nil"/>
            </w:tcBorders>
          </w:tcPr>
          <w:p w14:paraId="71AFE3EA" w14:textId="77777777" w:rsidR="00794AFD" w:rsidRPr="00D13FE8" w:rsidRDefault="00794AFD" w:rsidP="00794AFD">
            <w:pPr>
              <w:jc w:val="center"/>
              <w:rPr>
                <w:rFonts w:asciiTheme="minorHAnsi" w:hAnsiTheme="minorHAnsi" w:cs="Times New Roman"/>
                <w:iCs/>
                <w:sz w:val="20"/>
                <w:szCs w:val="20"/>
              </w:rPr>
            </w:pPr>
            <w:r w:rsidRPr="00D13FE8">
              <w:rPr>
                <w:rFonts w:asciiTheme="minorHAnsi" w:hAnsiTheme="minorHAnsi" w:cs="Times New Roman"/>
                <w:iCs/>
                <w:sz w:val="20"/>
                <w:szCs w:val="20"/>
              </w:rPr>
              <w:t>3</w:t>
            </w:r>
          </w:p>
        </w:tc>
        <w:tc>
          <w:tcPr>
            <w:tcW w:w="558" w:type="pct"/>
            <w:tcBorders>
              <w:top w:val="nil"/>
              <w:left w:val="nil"/>
              <w:right w:val="nil"/>
            </w:tcBorders>
          </w:tcPr>
          <w:p w14:paraId="03C77C73"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2,140.0</w:t>
            </w:r>
          </w:p>
        </w:tc>
        <w:tc>
          <w:tcPr>
            <w:tcW w:w="558" w:type="pct"/>
            <w:tcBorders>
              <w:top w:val="nil"/>
              <w:left w:val="nil"/>
              <w:right w:val="nil"/>
            </w:tcBorders>
          </w:tcPr>
          <w:p w14:paraId="16FE05BF"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w:t>
            </w:r>
          </w:p>
        </w:tc>
        <w:tc>
          <w:tcPr>
            <w:tcW w:w="558" w:type="pct"/>
            <w:tcBorders>
              <w:top w:val="nil"/>
              <w:left w:val="nil"/>
              <w:right w:val="nil"/>
            </w:tcBorders>
          </w:tcPr>
          <w:p w14:paraId="2A2F2C2E"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2,140.0</w:t>
            </w:r>
          </w:p>
        </w:tc>
        <w:tc>
          <w:tcPr>
            <w:tcW w:w="558" w:type="pct"/>
            <w:tcBorders>
              <w:top w:val="nil"/>
              <w:left w:val="nil"/>
              <w:right w:val="nil"/>
            </w:tcBorders>
          </w:tcPr>
          <w:p w14:paraId="6EBEB899"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1,873.4</w:t>
            </w:r>
          </w:p>
        </w:tc>
        <w:tc>
          <w:tcPr>
            <w:tcW w:w="558" w:type="pct"/>
            <w:tcBorders>
              <w:top w:val="nil"/>
              <w:left w:val="nil"/>
              <w:right w:val="nil"/>
            </w:tcBorders>
          </w:tcPr>
          <w:p w14:paraId="25BCC842"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w:t>
            </w:r>
          </w:p>
        </w:tc>
        <w:tc>
          <w:tcPr>
            <w:tcW w:w="551" w:type="pct"/>
            <w:tcBorders>
              <w:top w:val="nil"/>
              <w:left w:val="nil"/>
              <w:right w:val="nil"/>
            </w:tcBorders>
          </w:tcPr>
          <w:p w14:paraId="565B5D6C"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1,873.4</w:t>
            </w:r>
          </w:p>
        </w:tc>
      </w:tr>
      <w:tr w:rsidR="00794AFD" w:rsidRPr="00D13FE8" w14:paraId="3E667FDF" w14:textId="77777777" w:rsidTr="00794AFD">
        <w:trPr>
          <w:trHeight w:val="196"/>
        </w:trPr>
        <w:tc>
          <w:tcPr>
            <w:tcW w:w="1316" w:type="pct"/>
            <w:tcBorders>
              <w:bottom w:val="single" w:sz="4" w:space="0" w:color="auto"/>
              <w:right w:val="nil"/>
            </w:tcBorders>
          </w:tcPr>
          <w:p w14:paraId="6AE37737" w14:textId="77777777" w:rsidR="00794AFD" w:rsidRPr="00D13FE8" w:rsidRDefault="00794AFD" w:rsidP="00794AFD">
            <w:pPr>
              <w:ind w:left="-90"/>
              <w:rPr>
                <w:rFonts w:asciiTheme="minorHAnsi" w:hAnsiTheme="minorHAnsi" w:cs="Times New Roman"/>
                <w:b/>
                <w:sz w:val="20"/>
                <w:szCs w:val="20"/>
              </w:rPr>
            </w:pPr>
            <w:r w:rsidRPr="00D13FE8">
              <w:rPr>
                <w:rFonts w:asciiTheme="minorHAnsi" w:hAnsiTheme="minorHAnsi" w:cs="Times New Roman"/>
                <w:sz w:val="20"/>
                <w:szCs w:val="20"/>
              </w:rPr>
              <w:t>Cost of sales</w:t>
            </w:r>
          </w:p>
        </w:tc>
        <w:tc>
          <w:tcPr>
            <w:tcW w:w="343" w:type="pct"/>
            <w:tcBorders>
              <w:left w:val="nil"/>
              <w:bottom w:val="single" w:sz="4" w:space="0" w:color="auto"/>
            </w:tcBorders>
          </w:tcPr>
          <w:p w14:paraId="336169F9" w14:textId="77777777" w:rsidR="00794AFD" w:rsidRPr="00D13FE8" w:rsidRDefault="00794AFD" w:rsidP="00794AFD">
            <w:pPr>
              <w:jc w:val="center"/>
              <w:rPr>
                <w:rFonts w:asciiTheme="minorHAnsi" w:hAnsiTheme="minorHAnsi" w:cs="Times New Roman"/>
                <w:sz w:val="20"/>
                <w:szCs w:val="20"/>
              </w:rPr>
            </w:pPr>
          </w:p>
        </w:tc>
        <w:tc>
          <w:tcPr>
            <w:tcW w:w="558" w:type="pct"/>
            <w:tcBorders>
              <w:left w:val="nil"/>
              <w:bottom w:val="single" w:sz="4" w:space="0" w:color="auto"/>
              <w:right w:val="nil"/>
            </w:tcBorders>
            <w:shd w:val="clear" w:color="auto" w:fill="auto"/>
          </w:tcPr>
          <w:p w14:paraId="3B2B4C00" w14:textId="77777777" w:rsidR="00794AFD" w:rsidRPr="00D13FE8" w:rsidDel="00266FC7"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(650.2)</w:t>
            </w:r>
          </w:p>
        </w:tc>
        <w:tc>
          <w:tcPr>
            <w:tcW w:w="558" w:type="pct"/>
            <w:tcBorders>
              <w:left w:val="nil"/>
              <w:bottom w:val="single" w:sz="4" w:space="0" w:color="auto"/>
              <w:right w:val="nil"/>
            </w:tcBorders>
            <w:shd w:val="clear" w:color="auto" w:fill="auto"/>
          </w:tcPr>
          <w:p w14:paraId="070F6DFA"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w:t>
            </w:r>
          </w:p>
        </w:tc>
        <w:tc>
          <w:tcPr>
            <w:tcW w:w="558" w:type="pct"/>
            <w:tcBorders>
              <w:left w:val="nil"/>
              <w:bottom w:val="single" w:sz="4" w:space="0" w:color="auto"/>
              <w:right w:val="nil"/>
            </w:tcBorders>
            <w:shd w:val="clear" w:color="auto" w:fill="auto"/>
          </w:tcPr>
          <w:p w14:paraId="75FAB85B" w14:textId="77777777" w:rsidR="00794AFD" w:rsidRPr="00D13FE8" w:rsidDel="00266FC7"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(650.2)</w:t>
            </w:r>
          </w:p>
        </w:tc>
        <w:tc>
          <w:tcPr>
            <w:tcW w:w="558" w:type="pct"/>
            <w:tcBorders>
              <w:left w:val="nil"/>
              <w:bottom w:val="single" w:sz="4" w:space="0" w:color="auto"/>
              <w:right w:val="nil"/>
            </w:tcBorders>
          </w:tcPr>
          <w:p w14:paraId="2E7F5F2A" w14:textId="77777777" w:rsidR="00794AFD" w:rsidRPr="00D13FE8" w:rsidDel="00266FC7"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(469.9)</w:t>
            </w:r>
          </w:p>
        </w:tc>
        <w:tc>
          <w:tcPr>
            <w:tcW w:w="558" w:type="pct"/>
            <w:tcBorders>
              <w:left w:val="nil"/>
              <w:bottom w:val="single" w:sz="4" w:space="0" w:color="auto"/>
              <w:right w:val="nil"/>
            </w:tcBorders>
          </w:tcPr>
          <w:p w14:paraId="67729B82"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w:t>
            </w:r>
          </w:p>
        </w:tc>
        <w:tc>
          <w:tcPr>
            <w:tcW w:w="551" w:type="pct"/>
            <w:tcBorders>
              <w:left w:val="nil"/>
              <w:bottom w:val="single" w:sz="4" w:space="0" w:color="auto"/>
              <w:right w:val="nil"/>
            </w:tcBorders>
          </w:tcPr>
          <w:p w14:paraId="32C4AE7B" w14:textId="77777777" w:rsidR="00794AFD" w:rsidRPr="00D13FE8" w:rsidDel="00266FC7"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(469.9)</w:t>
            </w:r>
          </w:p>
        </w:tc>
      </w:tr>
      <w:tr w:rsidR="00794AFD" w:rsidRPr="00D13FE8" w14:paraId="15E34F7D" w14:textId="77777777" w:rsidTr="00794AFD">
        <w:trPr>
          <w:trHeight w:val="196"/>
        </w:trPr>
        <w:tc>
          <w:tcPr>
            <w:tcW w:w="1316" w:type="pct"/>
            <w:tcBorders>
              <w:top w:val="single" w:sz="4" w:space="0" w:color="auto"/>
              <w:right w:val="nil"/>
            </w:tcBorders>
          </w:tcPr>
          <w:p w14:paraId="7D446A05" w14:textId="77777777" w:rsidR="00794AFD" w:rsidRPr="00D13FE8" w:rsidRDefault="00794AFD" w:rsidP="00794AFD">
            <w:pPr>
              <w:ind w:left="-90"/>
              <w:rPr>
                <w:rFonts w:asciiTheme="minorHAnsi" w:hAnsiTheme="minorHAnsi" w:cs="Times New Roman"/>
                <w:sz w:val="20"/>
                <w:szCs w:val="20"/>
              </w:rPr>
            </w:pPr>
            <w:r w:rsidRPr="00D13FE8">
              <w:rPr>
                <w:rFonts w:asciiTheme="minorHAnsi" w:hAnsiTheme="minorHAnsi" w:cs="Times New Roman"/>
                <w:b/>
                <w:sz w:val="20"/>
                <w:szCs w:val="20"/>
              </w:rPr>
              <w:t>Gross profit</w:t>
            </w:r>
          </w:p>
        </w:tc>
        <w:tc>
          <w:tcPr>
            <w:tcW w:w="343" w:type="pct"/>
            <w:tcBorders>
              <w:top w:val="single" w:sz="4" w:space="0" w:color="auto"/>
              <w:left w:val="nil"/>
            </w:tcBorders>
          </w:tcPr>
          <w:p w14:paraId="44A4441E" w14:textId="77777777" w:rsidR="00794AFD" w:rsidRPr="00D13FE8" w:rsidRDefault="00794AFD" w:rsidP="00794AFD">
            <w:pPr>
              <w:jc w:val="center"/>
              <w:rPr>
                <w:rFonts w:asciiTheme="minorHAnsi" w:hAnsiTheme="minorHAnsi" w:cs="Times New Roman"/>
                <w:sz w:val="20"/>
                <w:szCs w:val="20"/>
              </w:rPr>
            </w:pPr>
          </w:p>
        </w:tc>
        <w:tc>
          <w:tcPr>
            <w:tcW w:w="558" w:type="pct"/>
            <w:tcBorders>
              <w:top w:val="single" w:sz="4" w:space="0" w:color="auto"/>
              <w:left w:val="nil"/>
              <w:right w:val="nil"/>
            </w:tcBorders>
          </w:tcPr>
          <w:p w14:paraId="6CD607F1"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1,489.8</w:t>
            </w:r>
          </w:p>
        </w:tc>
        <w:tc>
          <w:tcPr>
            <w:tcW w:w="558" w:type="pct"/>
            <w:tcBorders>
              <w:top w:val="single" w:sz="4" w:space="0" w:color="auto"/>
              <w:left w:val="nil"/>
              <w:right w:val="nil"/>
            </w:tcBorders>
          </w:tcPr>
          <w:p w14:paraId="69FB889B"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w:t>
            </w:r>
          </w:p>
        </w:tc>
        <w:tc>
          <w:tcPr>
            <w:tcW w:w="558" w:type="pct"/>
            <w:tcBorders>
              <w:top w:val="single" w:sz="4" w:space="0" w:color="auto"/>
              <w:left w:val="nil"/>
              <w:right w:val="nil"/>
            </w:tcBorders>
          </w:tcPr>
          <w:p w14:paraId="71B49D6A"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1,489.8</w:t>
            </w:r>
          </w:p>
        </w:tc>
        <w:tc>
          <w:tcPr>
            <w:tcW w:w="558" w:type="pct"/>
            <w:tcBorders>
              <w:top w:val="single" w:sz="4" w:space="0" w:color="auto"/>
              <w:left w:val="nil"/>
              <w:right w:val="nil"/>
            </w:tcBorders>
          </w:tcPr>
          <w:p w14:paraId="3907D60E"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1,403.5</w:t>
            </w:r>
          </w:p>
        </w:tc>
        <w:tc>
          <w:tcPr>
            <w:tcW w:w="558" w:type="pct"/>
            <w:tcBorders>
              <w:top w:val="single" w:sz="4" w:space="0" w:color="auto"/>
              <w:left w:val="nil"/>
              <w:right w:val="nil"/>
            </w:tcBorders>
          </w:tcPr>
          <w:p w14:paraId="7CABBC50"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w:t>
            </w:r>
          </w:p>
        </w:tc>
        <w:tc>
          <w:tcPr>
            <w:tcW w:w="551" w:type="pct"/>
            <w:tcBorders>
              <w:top w:val="single" w:sz="4" w:space="0" w:color="auto"/>
              <w:left w:val="nil"/>
              <w:right w:val="nil"/>
            </w:tcBorders>
          </w:tcPr>
          <w:p w14:paraId="6364321C"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1,403.5</w:t>
            </w:r>
          </w:p>
        </w:tc>
      </w:tr>
      <w:tr w:rsidR="00794AFD" w:rsidRPr="00D13FE8" w14:paraId="656E0DDA" w14:textId="77777777" w:rsidTr="00794AFD">
        <w:trPr>
          <w:trHeight w:val="211"/>
        </w:trPr>
        <w:tc>
          <w:tcPr>
            <w:tcW w:w="1316" w:type="pct"/>
            <w:tcBorders>
              <w:bottom w:val="nil"/>
              <w:right w:val="nil"/>
            </w:tcBorders>
          </w:tcPr>
          <w:p w14:paraId="4C6D36CA" w14:textId="77777777" w:rsidR="00794AFD" w:rsidRPr="00D13FE8" w:rsidRDefault="00794AFD" w:rsidP="00794AFD">
            <w:pPr>
              <w:ind w:left="-90"/>
              <w:rPr>
                <w:rFonts w:asciiTheme="minorHAnsi" w:hAnsiTheme="minorHAnsi" w:cs="Times New Roman"/>
                <w:b/>
                <w:sz w:val="20"/>
                <w:szCs w:val="20"/>
              </w:rPr>
            </w:pPr>
          </w:p>
        </w:tc>
        <w:tc>
          <w:tcPr>
            <w:tcW w:w="343" w:type="pct"/>
            <w:tcBorders>
              <w:left w:val="nil"/>
              <w:bottom w:val="nil"/>
            </w:tcBorders>
          </w:tcPr>
          <w:p w14:paraId="14DBCF0F" w14:textId="77777777" w:rsidR="00794AFD" w:rsidRPr="00D13FE8" w:rsidRDefault="00794AFD" w:rsidP="00794AFD">
            <w:pPr>
              <w:jc w:val="center"/>
              <w:rPr>
                <w:rFonts w:asciiTheme="minorHAnsi" w:hAnsiTheme="minorHAnsi" w:cs="Times New Roman"/>
                <w:sz w:val="20"/>
                <w:szCs w:val="20"/>
              </w:rPr>
            </w:pPr>
          </w:p>
        </w:tc>
        <w:tc>
          <w:tcPr>
            <w:tcW w:w="558" w:type="pct"/>
            <w:tcBorders>
              <w:left w:val="nil"/>
              <w:bottom w:val="nil"/>
              <w:right w:val="nil"/>
            </w:tcBorders>
          </w:tcPr>
          <w:p w14:paraId="4FA32699" w14:textId="77777777" w:rsidR="00794AFD" w:rsidRPr="00D13FE8" w:rsidRDefault="00794AFD" w:rsidP="00794AFD">
            <w:pPr>
              <w:jc w:val="right"/>
              <w:rPr>
                <w:rFonts w:asciiTheme="minorHAnsi" w:hAnsiTheme="minorHAnsi" w:cs="Times New Roman"/>
                <w:b/>
                <w:bCs/>
                <w:sz w:val="20"/>
                <w:szCs w:val="20"/>
              </w:rPr>
            </w:pPr>
          </w:p>
        </w:tc>
        <w:tc>
          <w:tcPr>
            <w:tcW w:w="558" w:type="pct"/>
            <w:tcBorders>
              <w:left w:val="nil"/>
              <w:bottom w:val="nil"/>
              <w:right w:val="nil"/>
            </w:tcBorders>
          </w:tcPr>
          <w:p w14:paraId="410CA59B" w14:textId="77777777" w:rsidR="00794AFD" w:rsidRPr="00D13FE8" w:rsidRDefault="00794AFD" w:rsidP="00794AFD">
            <w:pPr>
              <w:jc w:val="right"/>
              <w:rPr>
                <w:rFonts w:asciiTheme="minorHAnsi" w:hAnsiTheme="minorHAnsi" w:cs="Times New Roman"/>
                <w:b/>
                <w:bCs/>
                <w:sz w:val="20"/>
                <w:szCs w:val="20"/>
              </w:rPr>
            </w:pPr>
          </w:p>
        </w:tc>
        <w:tc>
          <w:tcPr>
            <w:tcW w:w="558" w:type="pct"/>
            <w:tcBorders>
              <w:left w:val="nil"/>
              <w:bottom w:val="nil"/>
              <w:right w:val="nil"/>
            </w:tcBorders>
          </w:tcPr>
          <w:p w14:paraId="1D3A05F9" w14:textId="77777777" w:rsidR="00794AFD" w:rsidRPr="00D13FE8" w:rsidRDefault="00794AFD" w:rsidP="00794AFD">
            <w:pPr>
              <w:jc w:val="right"/>
              <w:rPr>
                <w:rFonts w:asciiTheme="minorHAnsi" w:hAnsiTheme="minorHAnsi" w:cs="Times New Roman"/>
                <w:b/>
                <w:bCs/>
                <w:sz w:val="20"/>
                <w:szCs w:val="20"/>
              </w:rPr>
            </w:pPr>
          </w:p>
        </w:tc>
        <w:tc>
          <w:tcPr>
            <w:tcW w:w="558" w:type="pct"/>
            <w:tcBorders>
              <w:left w:val="nil"/>
              <w:bottom w:val="nil"/>
              <w:right w:val="nil"/>
            </w:tcBorders>
          </w:tcPr>
          <w:p w14:paraId="5603F30E" w14:textId="77777777" w:rsidR="00794AFD" w:rsidRPr="00D13FE8" w:rsidRDefault="00794AFD" w:rsidP="00794AFD">
            <w:pPr>
              <w:jc w:val="right"/>
              <w:rPr>
                <w:rFonts w:asciiTheme="minorHAnsi" w:hAnsiTheme="minorHAnsi" w:cs="Times New Roman"/>
                <w:bCs/>
                <w:sz w:val="20"/>
                <w:szCs w:val="20"/>
              </w:rPr>
            </w:pPr>
          </w:p>
        </w:tc>
        <w:tc>
          <w:tcPr>
            <w:tcW w:w="558" w:type="pct"/>
            <w:tcBorders>
              <w:left w:val="nil"/>
              <w:bottom w:val="nil"/>
              <w:right w:val="nil"/>
            </w:tcBorders>
          </w:tcPr>
          <w:p w14:paraId="70903281" w14:textId="77777777" w:rsidR="00794AFD" w:rsidRPr="00D13FE8" w:rsidRDefault="00794AFD" w:rsidP="00794AFD">
            <w:pPr>
              <w:jc w:val="right"/>
              <w:rPr>
                <w:rFonts w:asciiTheme="minorHAnsi" w:hAnsiTheme="minorHAnsi" w:cs="Times New Roman"/>
                <w:bCs/>
                <w:sz w:val="20"/>
                <w:szCs w:val="20"/>
              </w:rPr>
            </w:pPr>
          </w:p>
        </w:tc>
        <w:tc>
          <w:tcPr>
            <w:tcW w:w="551" w:type="pct"/>
            <w:tcBorders>
              <w:left w:val="nil"/>
              <w:bottom w:val="nil"/>
              <w:right w:val="nil"/>
            </w:tcBorders>
          </w:tcPr>
          <w:p w14:paraId="66EE7792" w14:textId="77777777" w:rsidR="00794AFD" w:rsidRPr="00D13FE8" w:rsidRDefault="00794AFD" w:rsidP="00794AFD">
            <w:pPr>
              <w:jc w:val="right"/>
              <w:rPr>
                <w:rFonts w:asciiTheme="minorHAnsi" w:hAnsiTheme="minorHAnsi" w:cs="Times New Roman"/>
                <w:bCs/>
                <w:sz w:val="20"/>
                <w:szCs w:val="20"/>
              </w:rPr>
            </w:pPr>
          </w:p>
        </w:tc>
      </w:tr>
      <w:tr w:rsidR="00794AFD" w:rsidRPr="00D13FE8" w14:paraId="5723D86F" w14:textId="77777777" w:rsidTr="00794AFD">
        <w:trPr>
          <w:trHeight w:val="196"/>
        </w:trPr>
        <w:tc>
          <w:tcPr>
            <w:tcW w:w="1316" w:type="pct"/>
            <w:tcBorders>
              <w:bottom w:val="single" w:sz="4" w:space="0" w:color="auto"/>
              <w:right w:val="nil"/>
            </w:tcBorders>
          </w:tcPr>
          <w:p w14:paraId="4A166107" w14:textId="77777777" w:rsidR="00794AFD" w:rsidRPr="00D13FE8" w:rsidRDefault="00794AFD" w:rsidP="00794AFD">
            <w:pPr>
              <w:ind w:left="-90"/>
              <w:rPr>
                <w:rFonts w:asciiTheme="minorHAnsi" w:hAnsiTheme="minorHAnsi" w:cs="Times New Roman"/>
                <w:b/>
                <w:sz w:val="20"/>
                <w:szCs w:val="20"/>
              </w:rPr>
            </w:pPr>
            <w:r w:rsidRPr="00D13FE8">
              <w:rPr>
                <w:rFonts w:asciiTheme="minorHAnsi" w:hAnsiTheme="minorHAnsi" w:cs="Times New Roman"/>
                <w:sz w:val="20"/>
                <w:szCs w:val="20"/>
              </w:rPr>
              <w:t>Operating costs excluding depreciation, amortisation and impairment</w:t>
            </w:r>
          </w:p>
        </w:tc>
        <w:tc>
          <w:tcPr>
            <w:tcW w:w="343" w:type="pct"/>
            <w:tcBorders>
              <w:left w:val="nil"/>
              <w:bottom w:val="single" w:sz="4" w:space="0" w:color="auto"/>
            </w:tcBorders>
          </w:tcPr>
          <w:p w14:paraId="5795148C" w14:textId="77777777" w:rsidR="00794AFD" w:rsidRPr="00D13FE8" w:rsidRDefault="00794AFD" w:rsidP="00794AFD">
            <w:pPr>
              <w:jc w:val="center"/>
              <w:rPr>
                <w:rFonts w:asciiTheme="minorHAnsi" w:hAnsiTheme="minorHAnsi" w:cs="Times New Roman"/>
                <w:sz w:val="20"/>
                <w:szCs w:val="20"/>
              </w:rPr>
            </w:pPr>
          </w:p>
        </w:tc>
        <w:tc>
          <w:tcPr>
            <w:tcW w:w="558" w:type="pct"/>
            <w:tcBorders>
              <w:left w:val="nil"/>
              <w:bottom w:val="single" w:sz="4" w:space="0" w:color="auto"/>
              <w:right w:val="nil"/>
            </w:tcBorders>
          </w:tcPr>
          <w:p w14:paraId="0D4211E2" w14:textId="77777777" w:rsidR="00794AFD" w:rsidRPr="00D13FE8" w:rsidRDefault="00794AFD" w:rsidP="00794AFD">
            <w:pPr>
              <w:jc w:val="right"/>
              <w:rPr>
                <w:rFonts w:asciiTheme="minorHAnsi" w:hAnsiTheme="minorHAnsi" w:cs="Times New Roman"/>
                <w:b/>
                <w:bCs/>
                <w:sz w:val="20"/>
                <w:szCs w:val="20"/>
              </w:rPr>
            </w:pPr>
          </w:p>
          <w:p w14:paraId="3AB4C878" w14:textId="77777777" w:rsidR="00794AFD" w:rsidRPr="00D13FE8" w:rsidRDefault="00794AFD" w:rsidP="00794AFD">
            <w:pPr>
              <w:jc w:val="right"/>
              <w:rPr>
                <w:rFonts w:asciiTheme="minorHAnsi" w:hAnsiTheme="minorHAnsi" w:cs="Times New Roman"/>
                <w:b/>
                <w:bCs/>
                <w:sz w:val="20"/>
                <w:szCs w:val="20"/>
              </w:rPr>
            </w:pPr>
          </w:p>
          <w:p w14:paraId="447B745E" w14:textId="77777777" w:rsidR="00794AFD" w:rsidRPr="00D13FE8" w:rsidDel="00266FC7"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(1,064.4)</w:t>
            </w:r>
          </w:p>
        </w:tc>
        <w:tc>
          <w:tcPr>
            <w:tcW w:w="558" w:type="pct"/>
            <w:tcBorders>
              <w:left w:val="nil"/>
              <w:bottom w:val="single" w:sz="4" w:space="0" w:color="auto"/>
              <w:right w:val="nil"/>
            </w:tcBorders>
          </w:tcPr>
          <w:p w14:paraId="4F2C0CA5" w14:textId="77777777" w:rsidR="00794AFD" w:rsidRPr="00D13FE8" w:rsidRDefault="00794AFD" w:rsidP="00794AFD">
            <w:pPr>
              <w:jc w:val="right"/>
              <w:rPr>
                <w:rFonts w:asciiTheme="minorHAnsi" w:hAnsiTheme="minorHAnsi" w:cs="Times New Roman"/>
                <w:b/>
                <w:bCs/>
                <w:sz w:val="20"/>
                <w:szCs w:val="20"/>
              </w:rPr>
            </w:pPr>
          </w:p>
          <w:p w14:paraId="67EDEF41" w14:textId="77777777" w:rsidR="00794AFD" w:rsidRPr="00D13FE8" w:rsidRDefault="00794AFD" w:rsidP="00794AFD">
            <w:pPr>
              <w:jc w:val="right"/>
              <w:rPr>
                <w:rFonts w:asciiTheme="minorHAnsi" w:hAnsiTheme="minorHAnsi" w:cs="Times New Roman"/>
                <w:b/>
                <w:bCs/>
                <w:sz w:val="20"/>
                <w:szCs w:val="20"/>
              </w:rPr>
            </w:pPr>
          </w:p>
          <w:p w14:paraId="2E007E3C"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(17.6)</w:t>
            </w:r>
          </w:p>
        </w:tc>
        <w:tc>
          <w:tcPr>
            <w:tcW w:w="558" w:type="pct"/>
            <w:tcBorders>
              <w:left w:val="nil"/>
              <w:bottom w:val="single" w:sz="4" w:space="0" w:color="auto"/>
              <w:right w:val="nil"/>
            </w:tcBorders>
          </w:tcPr>
          <w:p w14:paraId="63F793AB" w14:textId="77777777" w:rsidR="00794AFD" w:rsidRPr="00D13FE8" w:rsidRDefault="00794AFD" w:rsidP="00794AFD">
            <w:pPr>
              <w:jc w:val="right"/>
              <w:rPr>
                <w:rFonts w:asciiTheme="minorHAnsi" w:hAnsiTheme="minorHAnsi" w:cs="Times New Roman"/>
                <w:b/>
                <w:bCs/>
                <w:sz w:val="20"/>
                <w:szCs w:val="20"/>
              </w:rPr>
            </w:pPr>
          </w:p>
          <w:p w14:paraId="2BE8F917" w14:textId="77777777" w:rsidR="00794AFD" w:rsidRPr="00D13FE8" w:rsidRDefault="00794AFD" w:rsidP="00794AFD">
            <w:pPr>
              <w:jc w:val="right"/>
              <w:rPr>
                <w:rFonts w:asciiTheme="minorHAnsi" w:hAnsiTheme="minorHAnsi" w:cs="Times New Roman"/>
                <w:b/>
                <w:bCs/>
                <w:sz w:val="20"/>
                <w:szCs w:val="20"/>
              </w:rPr>
            </w:pPr>
          </w:p>
          <w:p w14:paraId="23A8A566"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(1,082.0)</w:t>
            </w:r>
          </w:p>
        </w:tc>
        <w:tc>
          <w:tcPr>
            <w:tcW w:w="558" w:type="pct"/>
            <w:tcBorders>
              <w:left w:val="nil"/>
              <w:bottom w:val="single" w:sz="4" w:space="0" w:color="auto"/>
              <w:right w:val="nil"/>
            </w:tcBorders>
          </w:tcPr>
          <w:p w14:paraId="17DDFCD2" w14:textId="77777777" w:rsidR="00794AFD" w:rsidRPr="00D13FE8" w:rsidRDefault="00794AFD" w:rsidP="00794AFD">
            <w:pPr>
              <w:jc w:val="right"/>
              <w:rPr>
                <w:rFonts w:asciiTheme="minorHAnsi" w:hAnsiTheme="minorHAnsi" w:cs="Times New Roman"/>
                <w:bCs/>
                <w:sz w:val="20"/>
                <w:szCs w:val="20"/>
              </w:rPr>
            </w:pPr>
          </w:p>
          <w:p w14:paraId="3A38B1B2" w14:textId="77777777" w:rsidR="00794AFD" w:rsidRPr="00D13FE8" w:rsidRDefault="00794AFD" w:rsidP="00794AFD">
            <w:pPr>
              <w:jc w:val="right"/>
              <w:rPr>
                <w:rFonts w:asciiTheme="minorHAnsi" w:hAnsiTheme="minorHAnsi" w:cs="Times New Roman"/>
                <w:bCs/>
                <w:sz w:val="20"/>
                <w:szCs w:val="20"/>
              </w:rPr>
            </w:pPr>
          </w:p>
          <w:p w14:paraId="2C05D65A" w14:textId="77777777" w:rsidR="00794AFD" w:rsidRPr="00D13FE8" w:rsidDel="00266FC7"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(952.5)</w:t>
            </w:r>
          </w:p>
        </w:tc>
        <w:tc>
          <w:tcPr>
            <w:tcW w:w="558" w:type="pct"/>
            <w:tcBorders>
              <w:left w:val="nil"/>
              <w:bottom w:val="single" w:sz="4" w:space="0" w:color="auto"/>
              <w:right w:val="nil"/>
            </w:tcBorders>
          </w:tcPr>
          <w:p w14:paraId="76FD089E" w14:textId="77777777" w:rsidR="00794AFD" w:rsidRPr="00D13FE8" w:rsidRDefault="00794AFD" w:rsidP="00794AFD">
            <w:pPr>
              <w:jc w:val="right"/>
              <w:rPr>
                <w:rFonts w:asciiTheme="minorHAnsi" w:hAnsiTheme="minorHAnsi" w:cs="Times New Roman"/>
                <w:bCs/>
                <w:sz w:val="20"/>
                <w:szCs w:val="20"/>
              </w:rPr>
            </w:pPr>
          </w:p>
          <w:p w14:paraId="64409201" w14:textId="77777777" w:rsidR="00794AFD" w:rsidRPr="00D13FE8" w:rsidRDefault="00794AFD" w:rsidP="00794AFD">
            <w:pPr>
              <w:jc w:val="right"/>
              <w:rPr>
                <w:rFonts w:asciiTheme="minorHAnsi" w:hAnsiTheme="minorHAnsi" w:cs="Times New Roman"/>
                <w:bCs/>
                <w:sz w:val="20"/>
                <w:szCs w:val="20"/>
              </w:rPr>
            </w:pPr>
          </w:p>
          <w:p w14:paraId="1C2E0CE7"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(28.0)</w:t>
            </w:r>
          </w:p>
        </w:tc>
        <w:tc>
          <w:tcPr>
            <w:tcW w:w="551" w:type="pct"/>
            <w:tcBorders>
              <w:left w:val="nil"/>
              <w:bottom w:val="single" w:sz="4" w:space="0" w:color="auto"/>
              <w:right w:val="nil"/>
            </w:tcBorders>
          </w:tcPr>
          <w:p w14:paraId="2DB1B9E8" w14:textId="77777777" w:rsidR="00794AFD" w:rsidRPr="00D13FE8" w:rsidRDefault="00794AFD" w:rsidP="00794AFD">
            <w:pPr>
              <w:jc w:val="right"/>
              <w:rPr>
                <w:rFonts w:asciiTheme="minorHAnsi" w:hAnsiTheme="minorHAnsi" w:cs="Times New Roman"/>
                <w:bCs/>
                <w:sz w:val="20"/>
                <w:szCs w:val="20"/>
              </w:rPr>
            </w:pPr>
          </w:p>
          <w:p w14:paraId="1635D7C5" w14:textId="77777777" w:rsidR="00794AFD" w:rsidRPr="00D13FE8" w:rsidRDefault="00794AFD" w:rsidP="00794AFD">
            <w:pPr>
              <w:jc w:val="right"/>
              <w:rPr>
                <w:rFonts w:asciiTheme="minorHAnsi" w:hAnsiTheme="minorHAnsi" w:cs="Times New Roman"/>
                <w:bCs/>
                <w:sz w:val="20"/>
                <w:szCs w:val="20"/>
              </w:rPr>
            </w:pPr>
          </w:p>
          <w:p w14:paraId="2AA355EB"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(980.5)</w:t>
            </w:r>
          </w:p>
        </w:tc>
      </w:tr>
      <w:tr w:rsidR="00794AFD" w:rsidRPr="00D13FE8" w14:paraId="68394F64" w14:textId="77777777" w:rsidTr="00794AFD">
        <w:trPr>
          <w:trHeight w:val="196"/>
        </w:trPr>
        <w:tc>
          <w:tcPr>
            <w:tcW w:w="1316" w:type="pct"/>
            <w:tcBorders>
              <w:top w:val="single" w:sz="4" w:space="0" w:color="auto"/>
              <w:right w:val="nil"/>
            </w:tcBorders>
          </w:tcPr>
          <w:p w14:paraId="1532FFC8" w14:textId="77777777" w:rsidR="00794AFD" w:rsidRPr="00D13FE8" w:rsidRDefault="00794AFD" w:rsidP="00794AFD">
            <w:pPr>
              <w:ind w:left="-90"/>
              <w:rPr>
                <w:rFonts w:asciiTheme="minorHAnsi" w:hAnsiTheme="minorHAnsi" w:cs="Times New Roman"/>
                <w:sz w:val="20"/>
                <w:szCs w:val="20"/>
              </w:rPr>
            </w:pPr>
            <w:r w:rsidRPr="00D13FE8">
              <w:rPr>
                <w:rFonts w:asciiTheme="minorHAnsi" w:hAnsiTheme="minorHAnsi" w:cs="Times New Roman"/>
                <w:b/>
                <w:sz w:val="20"/>
                <w:szCs w:val="20"/>
              </w:rPr>
              <w:t xml:space="preserve">EBITDA </w:t>
            </w:r>
            <w:r w:rsidRPr="00D13FE8">
              <w:rPr>
                <w:rFonts w:asciiTheme="minorHAnsi" w:hAnsiTheme="minorHAnsi" w:cs="Times New Roman"/>
                <w:b/>
                <w:sz w:val="20"/>
                <w:szCs w:val="20"/>
                <w:vertAlign w:val="superscript"/>
              </w:rPr>
              <w:t>1</w:t>
            </w:r>
          </w:p>
        </w:tc>
        <w:tc>
          <w:tcPr>
            <w:tcW w:w="343" w:type="pct"/>
            <w:tcBorders>
              <w:top w:val="single" w:sz="4" w:space="0" w:color="auto"/>
              <w:left w:val="nil"/>
            </w:tcBorders>
          </w:tcPr>
          <w:p w14:paraId="608B4CE2" w14:textId="77777777" w:rsidR="00794AFD" w:rsidRPr="00D13FE8" w:rsidRDefault="00794AFD" w:rsidP="00794AFD">
            <w:pPr>
              <w:jc w:val="center"/>
              <w:rPr>
                <w:rFonts w:asciiTheme="minorHAnsi" w:hAnsiTheme="minorHAnsi" w:cs="Times New Roman"/>
                <w:sz w:val="20"/>
                <w:szCs w:val="20"/>
              </w:rPr>
            </w:pPr>
          </w:p>
        </w:tc>
        <w:tc>
          <w:tcPr>
            <w:tcW w:w="558" w:type="pct"/>
            <w:tcBorders>
              <w:top w:val="single" w:sz="4" w:space="0" w:color="auto"/>
              <w:left w:val="nil"/>
              <w:right w:val="nil"/>
            </w:tcBorders>
          </w:tcPr>
          <w:p w14:paraId="5B1160E7"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425.4</w:t>
            </w:r>
          </w:p>
        </w:tc>
        <w:tc>
          <w:tcPr>
            <w:tcW w:w="558" w:type="pct"/>
            <w:tcBorders>
              <w:top w:val="single" w:sz="4" w:space="0" w:color="auto"/>
              <w:left w:val="nil"/>
              <w:right w:val="nil"/>
            </w:tcBorders>
          </w:tcPr>
          <w:p w14:paraId="44BF5FD9"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(17.6)</w:t>
            </w:r>
          </w:p>
        </w:tc>
        <w:tc>
          <w:tcPr>
            <w:tcW w:w="558" w:type="pct"/>
            <w:tcBorders>
              <w:top w:val="single" w:sz="4" w:space="0" w:color="auto"/>
              <w:left w:val="nil"/>
              <w:right w:val="nil"/>
            </w:tcBorders>
          </w:tcPr>
          <w:p w14:paraId="7CCCF12E"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407.8</w:t>
            </w:r>
          </w:p>
        </w:tc>
        <w:tc>
          <w:tcPr>
            <w:tcW w:w="558" w:type="pct"/>
            <w:tcBorders>
              <w:top w:val="single" w:sz="4" w:space="0" w:color="auto"/>
              <w:left w:val="nil"/>
              <w:right w:val="nil"/>
            </w:tcBorders>
          </w:tcPr>
          <w:p w14:paraId="5D4D5A62"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451.0</w:t>
            </w:r>
          </w:p>
        </w:tc>
        <w:tc>
          <w:tcPr>
            <w:tcW w:w="558" w:type="pct"/>
            <w:tcBorders>
              <w:top w:val="single" w:sz="4" w:space="0" w:color="auto"/>
              <w:left w:val="nil"/>
              <w:right w:val="nil"/>
            </w:tcBorders>
          </w:tcPr>
          <w:p w14:paraId="7B91585C"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(28.0)</w:t>
            </w:r>
          </w:p>
        </w:tc>
        <w:tc>
          <w:tcPr>
            <w:tcW w:w="551" w:type="pct"/>
            <w:tcBorders>
              <w:top w:val="single" w:sz="4" w:space="0" w:color="auto"/>
              <w:left w:val="nil"/>
              <w:right w:val="nil"/>
            </w:tcBorders>
          </w:tcPr>
          <w:p w14:paraId="11F7BDCE"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423.0</w:t>
            </w:r>
          </w:p>
        </w:tc>
      </w:tr>
      <w:tr w:rsidR="00794AFD" w:rsidRPr="00D13FE8" w14:paraId="6AE69A4D" w14:textId="77777777" w:rsidTr="00794AFD">
        <w:trPr>
          <w:trHeight w:val="211"/>
        </w:trPr>
        <w:tc>
          <w:tcPr>
            <w:tcW w:w="1316" w:type="pct"/>
            <w:tcBorders>
              <w:top w:val="nil"/>
              <w:right w:val="nil"/>
            </w:tcBorders>
          </w:tcPr>
          <w:p w14:paraId="79A79B12" w14:textId="77777777" w:rsidR="00794AFD" w:rsidRPr="00D13FE8" w:rsidRDefault="00794AFD" w:rsidP="00794AFD">
            <w:pPr>
              <w:ind w:left="-90"/>
              <w:rPr>
                <w:rFonts w:asciiTheme="minorHAnsi" w:hAnsiTheme="minorHAnsi" w:cs="Times New Roman"/>
                <w:sz w:val="20"/>
                <w:szCs w:val="20"/>
              </w:rPr>
            </w:pPr>
          </w:p>
        </w:tc>
        <w:tc>
          <w:tcPr>
            <w:tcW w:w="343" w:type="pct"/>
            <w:tcBorders>
              <w:top w:val="nil"/>
              <w:left w:val="nil"/>
            </w:tcBorders>
          </w:tcPr>
          <w:p w14:paraId="2DF50963" w14:textId="77777777" w:rsidR="00794AFD" w:rsidRPr="00D13FE8" w:rsidRDefault="00794AFD" w:rsidP="00794AFD">
            <w:pPr>
              <w:jc w:val="center"/>
              <w:rPr>
                <w:rFonts w:asciiTheme="minorHAnsi" w:hAnsiTheme="minorHAnsi" w:cs="Times New Roman"/>
                <w:sz w:val="20"/>
                <w:szCs w:val="20"/>
              </w:rPr>
            </w:pPr>
          </w:p>
        </w:tc>
        <w:tc>
          <w:tcPr>
            <w:tcW w:w="558" w:type="pct"/>
            <w:tcBorders>
              <w:top w:val="nil"/>
              <w:left w:val="nil"/>
              <w:right w:val="nil"/>
            </w:tcBorders>
          </w:tcPr>
          <w:p w14:paraId="2C75DA95" w14:textId="77777777" w:rsidR="00794AFD" w:rsidRPr="00D13FE8" w:rsidRDefault="00794AFD" w:rsidP="00794AFD">
            <w:pPr>
              <w:jc w:val="right"/>
              <w:rPr>
                <w:rFonts w:asciiTheme="minorHAnsi" w:hAnsiTheme="minorHAnsi" w:cs="Times New Roman"/>
                <w:b/>
                <w:bCs/>
                <w:sz w:val="20"/>
                <w:szCs w:val="20"/>
              </w:rPr>
            </w:pPr>
          </w:p>
        </w:tc>
        <w:tc>
          <w:tcPr>
            <w:tcW w:w="558" w:type="pct"/>
            <w:tcBorders>
              <w:top w:val="nil"/>
              <w:left w:val="nil"/>
              <w:right w:val="nil"/>
            </w:tcBorders>
          </w:tcPr>
          <w:p w14:paraId="404F41C6" w14:textId="77777777" w:rsidR="00794AFD" w:rsidRPr="00D13FE8" w:rsidRDefault="00794AFD" w:rsidP="00794AFD">
            <w:pPr>
              <w:jc w:val="right"/>
              <w:rPr>
                <w:rFonts w:asciiTheme="minorHAnsi" w:hAnsiTheme="minorHAnsi" w:cs="Times New Roman"/>
                <w:b/>
                <w:bCs/>
                <w:sz w:val="20"/>
                <w:szCs w:val="20"/>
              </w:rPr>
            </w:pPr>
          </w:p>
        </w:tc>
        <w:tc>
          <w:tcPr>
            <w:tcW w:w="558" w:type="pct"/>
            <w:tcBorders>
              <w:top w:val="nil"/>
              <w:left w:val="nil"/>
              <w:right w:val="nil"/>
            </w:tcBorders>
          </w:tcPr>
          <w:p w14:paraId="3B9B12E2" w14:textId="77777777" w:rsidR="00794AFD" w:rsidRPr="00D13FE8" w:rsidRDefault="00794AFD" w:rsidP="00794AFD">
            <w:pPr>
              <w:jc w:val="right"/>
              <w:rPr>
                <w:rFonts w:asciiTheme="minorHAnsi" w:hAnsiTheme="minorHAnsi" w:cs="Times New Roman"/>
                <w:b/>
                <w:bCs/>
                <w:sz w:val="20"/>
                <w:szCs w:val="20"/>
              </w:rPr>
            </w:pPr>
          </w:p>
        </w:tc>
        <w:tc>
          <w:tcPr>
            <w:tcW w:w="558" w:type="pct"/>
            <w:tcBorders>
              <w:top w:val="nil"/>
              <w:left w:val="nil"/>
              <w:right w:val="nil"/>
            </w:tcBorders>
          </w:tcPr>
          <w:p w14:paraId="47304CA8" w14:textId="77777777" w:rsidR="00794AFD" w:rsidRPr="00D13FE8" w:rsidRDefault="00794AFD" w:rsidP="00794AFD">
            <w:pPr>
              <w:jc w:val="right"/>
              <w:rPr>
                <w:rFonts w:asciiTheme="minorHAnsi" w:hAnsiTheme="minorHAnsi" w:cs="Times New Roman"/>
                <w:bCs/>
                <w:sz w:val="20"/>
                <w:szCs w:val="20"/>
              </w:rPr>
            </w:pPr>
          </w:p>
        </w:tc>
        <w:tc>
          <w:tcPr>
            <w:tcW w:w="558" w:type="pct"/>
            <w:tcBorders>
              <w:top w:val="nil"/>
              <w:left w:val="nil"/>
              <w:right w:val="nil"/>
            </w:tcBorders>
          </w:tcPr>
          <w:p w14:paraId="22F999BB" w14:textId="77777777" w:rsidR="00794AFD" w:rsidRPr="00D13FE8" w:rsidRDefault="00794AFD" w:rsidP="00794AFD">
            <w:pPr>
              <w:jc w:val="right"/>
              <w:rPr>
                <w:rFonts w:asciiTheme="minorHAnsi" w:hAnsiTheme="minorHAnsi" w:cs="Times New Roman"/>
                <w:bCs/>
                <w:sz w:val="20"/>
                <w:szCs w:val="20"/>
              </w:rPr>
            </w:pPr>
          </w:p>
        </w:tc>
        <w:tc>
          <w:tcPr>
            <w:tcW w:w="551" w:type="pct"/>
            <w:tcBorders>
              <w:top w:val="nil"/>
              <w:left w:val="nil"/>
              <w:right w:val="nil"/>
            </w:tcBorders>
          </w:tcPr>
          <w:p w14:paraId="5C8B6676" w14:textId="77777777" w:rsidR="00794AFD" w:rsidRPr="00D13FE8" w:rsidRDefault="00794AFD" w:rsidP="00794AFD">
            <w:pPr>
              <w:jc w:val="right"/>
              <w:rPr>
                <w:rFonts w:asciiTheme="minorHAnsi" w:hAnsiTheme="minorHAnsi" w:cs="Times New Roman"/>
                <w:bCs/>
                <w:sz w:val="20"/>
                <w:szCs w:val="20"/>
              </w:rPr>
            </w:pPr>
          </w:p>
        </w:tc>
      </w:tr>
      <w:tr w:rsidR="00794AFD" w:rsidRPr="00D13FE8" w14:paraId="680E13B8" w14:textId="77777777" w:rsidTr="00794AFD">
        <w:trPr>
          <w:trHeight w:val="224"/>
        </w:trPr>
        <w:tc>
          <w:tcPr>
            <w:tcW w:w="1316" w:type="pct"/>
            <w:tcBorders>
              <w:top w:val="nil"/>
              <w:right w:val="nil"/>
            </w:tcBorders>
          </w:tcPr>
          <w:p w14:paraId="2BBA6938" w14:textId="77777777" w:rsidR="00794AFD" w:rsidRPr="00D13FE8" w:rsidRDefault="00794AFD" w:rsidP="00794AFD">
            <w:pPr>
              <w:ind w:left="-90"/>
              <w:rPr>
                <w:rFonts w:asciiTheme="minorHAnsi" w:hAnsiTheme="minorHAnsi" w:cs="Times New Roman"/>
                <w:sz w:val="20"/>
                <w:szCs w:val="20"/>
              </w:rPr>
            </w:pPr>
            <w:r w:rsidRPr="00D13FE8">
              <w:rPr>
                <w:rFonts w:asciiTheme="minorHAnsi" w:hAnsiTheme="minorHAnsi" w:cs="Times New Roman"/>
                <w:sz w:val="20"/>
                <w:szCs w:val="20"/>
              </w:rPr>
              <w:t>Depreciation and amortisation</w:t>
            </w:r>
          </w:p>
        </w:tc>
        <w:tc>
          <w:tcPr>
            <w:tcW w:w="343" w:type="pct"/>
            <w:tcBorders>
              <w:top w:val="nil"/>
              <w:left w:val="nil"/>
            </w:tcBorders>
          </w:tcPr>
          <w:p w14:paraId="29635CE4" w14:textId="77777777" w:rsidR="00794AFD" w:rsidRPr="00D13FE8" w:rsidRDefault="00794AFD" w:rsidP="00794AFD">
            <w:pPr>
              <w:jc w:val="center"/>
              <w:rPr>
                <w:rFonts w:asciiTheme="minorHAnsi" w:hAnsiTheme="minorHAnsi" w:cs="Times New Roman"/>
                <w:sz w:val="20"/>
                <w:szCs w:val="20"/>
              </w:rPr>
            </w:pPr>
          </w:p>
        </w:tc>
        <w:tc>
          <w:tcPr>
            <w:tcW w:w="558" w:type="pct"/>
            <w:tcBorders>
              <w:top w:val="nil"/>
              <w:left w:val="nil"/>
              <w:right w:val="nil"/>
            </w:tcBorders>
          </w:tcPr>
          <w:p w14:paraId="63EF5E9C"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(144.8)</w:t>
            </w:r>
          </w:p>
        </w:tc>
        <w:tc>
          <w:tcPr>
            <w:tcW w:w="558" w:type="pct"/>
            <w:tcBorders>
              <w:top w:val="nil"/>
              <w:left w:val="nil"/>
              <w:right w:val="nil"/>
            </w:tcBorders>
          </w:tcPr>
          <w:p w14:paraId="710D60F5"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(113.1)</w:t>
            </w:r>
          </w:p>
        </w:tc>
        <w:tc>
          <w:tcPr>
            <w:tcW w:w="558" w:type="pct"/>
            <w:tcBorders>
              <w:top w:val="nil"/>
              <w:left w:val="nil"/>
              <w:right w:val="nil"/>
            </w:tcBorders>
          </w:tcPr>
          <w:p w14:paraId="294D927D"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(257.9)</w:t>
            </w:r>
          </w:p>
        </w:tc>
        <w:tc>
          <w:tcPr>
            <w:tcW w:w="558" w:type="pct"/>
            <w:tcBorders>
              <w:top w:val="nil"/>
              <w:left w:val="nil"/>
              <w:right w:val="nil"/>
            </w:tcBorders>
          </w:tcPr>
          <w:p w14:paraId="1FF98613"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(90.5)</w:t>
            </w:r>
          </w:p>
        </w:tc>
        <w:tc>
          <w:tcPr>
            <w:tcW w:w="558" w:type="pct"/>
            <w:tcBorders>
              <w:top w:val="nil"/>
              <w:left w:val="nil"/>
              <w:right w:val="nil"/>
            </w:tcBorders>
          </w:tcPr>
          <w:p w14:paraId="42995760"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(100.7)</w:t>
            </w:r>
          </w:p>
        </w:tc>
        <w:tc>
          <w:tcPr>
            <w:tcW w:w="551" w:type="pct"/>
            <w:tcBorders>
              <w:top w:val="nil"/>
              <w:left w:val="nil"/>
              <w:right w:val="nil"/>
            </w:tcBorders>
          </w:tcPr>
          <w:p w14:paraId="0FB9DADD"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(191.2)</w:t>
            </w:r>
          </w:p>
        </w:tc>
      </w:tr>
      <w:tr w:rsidR="00794AFD" w:rsidRPr="00D13FE8" w14:paraId="01E07456" w14:textId="77777777" w:rsidTr="00794AFD">
        <w:trPr>
          <w:trHeight w:val="224"/>
        </w:trPr>
        <w:tc>
          <w:tcPr>
            <w:tcW w:w="1316" w:type="pct"/>
            <w:tcBorders>
              <w:bottom w:val="single" w:sz="4" w:space="0" w:color="auto"/>
              <w:right w:val="nil"/>
            </w:tcBorders>
          </w:tcPr>
          <w:p w14:paraId="7F1765F6" w14:textId="77777777" w:rsidR="00794AFD" w:rsidRPr="00D13FE8" w:rsidRDefault="00794AFD" w:rsidP="00794AFD">
            <w:pPr>
              <w:ind w:left="-90"/>
              <w:rPr>
                <w:rFonts w:asciiTheme="minorHAnsi" w:hAnsiTheme="minorHAnsi" w:cs="Times New Roman"/>
                <w:sz w:val="20"/>
                <w:szCs w:val="20"/>
              </w:rPr>
            </w:pPr>
            <w:r w:rsidRPr="00D13FE8">
              <w:rPr>
                <w:rFonts w:asciiTheme="minorHAnsi" w:hAnsiTheme="minorHAnsi" w:cs="Times New Roman"/>
                <w:sz w:val="20"/>
                <w:szCs w:val="20"/>
              </w:rPr>
              <w:t>Impairment</w:t>
            </w:r>
          </w:p>
        </w:tc>
        <w:tc>
          <w:tcPr>
            <w:tcW w:w="343" w:type="pct"/>
            <w:tcBorders>
              <w:left w:val="nil"/>
              <w:bottom w:val="single" w:sz="4" w:space="0" w:color="auto"/>
            </w:tcBorders>
          </w:tcPr>
          <w:p w14:paraId="3FAF92B1" w14:textId="77777777" w:rsidR="00794AFD" w:rsidRPr="00D13FE8" w:rsidRDefault="00794AFD" w:rsidP="00794AFD">
            <w:pPr>
              <w:jc w:val="center"/>
              <w:rPr>
                <w:rFonts w:asciiTheme="minorHAnsi" w:hAnsiTheme="minorHAnsi" w:cs="Times New Roman"/>
                <w:sz w:val="20"/>
                <w:szCs w:val="20"/>
              </w:rPr>
            </w:pPr>
          </w:p>
        </w:tc>
        <w:tc>
          <w:tcPr>
            <w:tcW w:w="558" w:type="pct"/>
            <w:tcBorders>
              <w:left w:val="nil"/>
              <w:bottom w:val="single" w:sz="4" w:space="0" w:color="auto"/>
              <w:right w:val="nil"/>
            </w:tcBorders>
            <w:shd w:val="clear" w:color="auto" w:fill="auto"/>
          </w:tcPr>
          <w:p w14:paraId="4D9B61BF"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w:t>
            </w:r>
          </w:p>
        </w:tc>
        <w:tc>
          <w:tcPr>
            <w:tcW w:w="558" w:type="pct"/>
            <w:tcBorders>
              <w:left w:val="nil"/>
              <w:bottom w:val="single" w:sz="4" w:space="0" w:color="auto"/>
              <w:right w:val="nil"/>
            </w:tcBorders>
          </w:tcPr>
          <w:p w14:paraId="5D01C73C"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w:t>
            </w:r>
          </w:p>
        </w:tc>
        <w:tc>
          <w:tcPr>
            <w:tcW w:w="558" w:type="pct"/>
            <w:tcBorders>
              <w:left w:val="nil"/>
              <w:bottom w:val="single" w:sz="4" w:space="0" w:color="auto"/>
              <w:right w:val="nil"/>
            </w:tcBorders>
          </w:tcPr>
          <w:p w14:paraId="28452363"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w:t>
            </w:r>
          </w:p>
        </w:tc>
        <w:tc>
          <w:tcPr>
            <w:tcW w:w="558" w:type="pct"/>
            <w:tcBorders>
              <w:left w:val="nil"/>
              <w:bottom w:val="single" w:sz="4" w:space="0" w:color="auto"/>
              <w:right w:val="nil"/>
            </w:tcBorders>
          </w:tcPr>
          <w:p w14:paraId="7F6B5797"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w:t>
            </w:r>
          </w:p>
        </w:tc>
        <w:tc>
          <w:tcPr>
            <w:tcW w:w="558" w:type="pct"/>
            <w:tcBorders>
              <w:left w:val="nil"/>
              <w:bottom w:val="single" w:sz="4" w:space="0" w:color="auto"/>
              <w:right w:val="nil"/>
            </w:tcBorders>
          </w:tcPr>
          <w:p w14:paraId="540C38C3"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(27.2)</w:t>
            </w:r>
          </w:p>
        </w:tc>
        <w:tc>
          <w:tcPr>
            <w:tcW w:w="551" w:type="pct"/>
            <w:tcBorders>
              <w:left w:val="nil"/>
              <w:bottom w:val="single" w:sz="4" w:space="0" w:color="auto"/>
              <w:right w:val="nil"/>
            </w:tcBorders>
          </w:tcPr>
          <w:p w14:paraId="73EA62E2"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(27.2)</w:t>
            </w:r>
          </w:p>
        </w:tc>
      </w:tr>
      <w:tr w:rsidR="00794AFD" w:rsidRPr="00D13FE8" w14:paraId="021C4895" w14:textId="77777777" w:rsidTr="00794AFD">
        <w:trPr>
          <w:trHeight w:val="105"/>
        </w:trPr>
        <w:tc>
          <w:tcPr>
            <w:tcW w:w="1316" w:type="pct"/>
            <w:tcBorders>
              <w:top w:val="single" w:sz="4" w:space="0" w:color="auto"/>
              <w:bottom w:val="single" w:sz="4" w:space="0" w:color="auto"/>
              <w:right w:val="nil"/>
            </w:tcBorders>
          </w:tcPr>
          <w:p w14:paraId="1ADBC104" w14:textId="77777777" w:rsidR="00794AFD" w:rsidRPr="00D13FE8" w:rsidRDefault="00794AFD" w:rsidP="00794AFD">
            <w:pPr>
              <w:ind w:left="-90"/>
              <w:rPr>
                <w:rFonts w:asciiTheme="minorHAnsi" w:hAnsiTheme="minorHAnsi" w:cs="Times New Roman"/>
                <w:b/>
                <w:sz w:val="20"/>
                <w:szCs w:val="20"/>
              </w:rPr>
            </w:pPr>
            <w:bookmarkStart w:id="15" w:name="_Hlk31958632"/>
            <w:r w:rsidRPr="00D13FE8">
              <w:rPr>
                <w:rFonts w:asciiTheme="minorHAnsi" w:hAnsiTheme="minorHAnsi" w:cs="Times New Roman"/>
                <w:b/>
                <w:sz w:val="20"/>
                <w:szCs w:val="20"/>
              </w:rPr>
              <w:t xml:space="preserve">Operating profit </w:t>
            </w:r>
          </w:p>
        </w:tc>
        <w:tc>
          <w:tcPr>
            <w:tcW w:w="343" w:type="pct"/>
            <w:tcBorders>
              <w:top w:val="single" w:sz="4" w:space="0" w:color="auto"/>
              <w:left w:val="nil"/>
              <w:bottom w:val="single" w:sz="4" w:space="0" w:color="auto"/>
            </w:tcBorders>
          </w:tcPr>
          <w:p w14:paraId="7B886BA7" w14:textId="77777777" w:rsidR="00794AFD" w:rsidRPr="00D13FE8" w:rsidRDefault="00794AFD" w:rsidP="00794AFD">
            <w:pPr>
              <w:jc w:val="center"/>
              <w:rPr>
                <w:rFonts w:asciiTheme="minorHAnsi" w:hAnsiTheme="minorHAnsi" w:cs="Times New Roman"/>
                <w:sz w:val="20"/>
                <w:szCs w:val="20"/>
              </w:rPr>
            </w:pPr>
          </w:p>
        </w:tc>
        <w:tc>
          <w:tcPr>
            <w:tcW w:w="558" w:type="pct"/>
            <w:tcBorders>
              <w:top w:val="single" w:sz="4" w:space="0" w:color="auto"/>
              <w:left w:val="nil"/>
              <w:bottom w:val="single" w:sz="4" w:space="0" w:color="auto"/>
              <w:right w:val="nil"/>
            </w:tcBorders>
          </w:tcPr>
          <w:p w14:paraId="3B96D529"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280.6</w:t>
            </w:r>
          </w:p>
        </w:tc>
        <w:tc>
          <w:tcPr>
            <w:tcW w:w="558" w:type="pct"/>
            <w:tcBorders>
              <w:top w:val="single" w:sz="4" w:space="0" w:color="auto"/>
              <w:left w:val="nil"/>
              <w:bottom w:val="single" w:sz="4" w:space="0" w:color="auto"/>
              <w:right w:val="nil"/>
            </w:tcBorders>
          </w:tcPr>
          <w:p w14:paraId="247C6A86"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(130.7)</w:t>
            </w:r>
          </w:p>
        </w:tc>
        <w:tc>
          <w:tcPr>
            <w:tcW w:w="558" w:type="pct"/>
            <w:tcBorders>
              <w:top w:val="single" w:sz="4" w:space="0" w:color="auto"/>
              <w:left w:val="nil"/>
              <w:bottom w:val="single" w:sz="4" w:space="0" w:color="auto"/>
              <w:right w:val="nil"/>
            </w:tcBorders>
          </w:tcPr>
          <w:p w14:paraId="540F6E58"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149.9</w:t>
            </w:r>
          </w:p>
        </w:tc>
        <w:tc>
          <w:tcPr>
            <w:tcW w:w="558" w:type="pct"/>
            <w:tcBorders>
              <w:top w:val="single" w:sz="4" w:space="0" w:color="auto"/>
              <w:left w:val="nil"/>
              <w:bottom w:val="single" w:sz="4" w:space="0" w:color="auto"/>
              <w:right w:val="nil"/>
            </w:tcBorders>
          </w:tcPr>
          <w:p w14:paraId="6F0913BC"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360.5</w:t>
            </w:r>
          </w:p>
        </w:tc>
        <w:tc>
          <w:tcPr>
            <w:tcW w:w="558" w:type="pct"/>
            <w:tcBorders>
              <w:top w:val="single" w:sz="4" w:space="0" w:color="auto"/>
              <w:left w:val="nil"/>
              <w:bottom w:val="single" w:sz="4" w:space="0" w:color="auto"/>
              <w:right w:val="nil"/>
            </w:tcBorders>
          </w:tcPr>
          <w:p w14:paraId="4A471778"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(155.9)</w:t>
            </w:r>
          </w:p>
        </w:tc>
        <w:tc>
          <w:tcPr>
            <w:tcW w:w="551" w:type="pct"/>
            <w:tcBorders>
              <w:top w:val="single" w:sz="4" w:space="0" w:color="auto"/>
              <w:left w:val="nil"/>
              <w:bottom w:val="single" w:sz="4" w:space="0" w:color="auto"/>
              <w:right w:val="nil"/>
            </w:tcBorders>
          </w:tcPr>
          <w:p w14:paraId="245C4052"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204.6</w:t>
            </w:r>
          </w:p>
        </w:tc>
      </w:tr>
      <w:tr w:rsidR="00794AFD" w:rsidRPr="00D13FE8" w14:paraId="04892FE7" w14:textId="77777777" w:rsidTr="00794AFD">
        <w:trPr>
          <w:trHeight w:val="196"/>
        </w:trPr>
        <w:tc>
          <w:tcPr>
            <w:tcW w:w="1316" w:type="pct"/>
            <w:tcBorders>
              <w:top w:val="nil"/>
              <w:right w:val="nil"/>
            </w:tcBorders>
          </w:tcPr>
          <w:p w14:paraId="121937DA" w14:textId="77777777" w:rsidR="00794AFD" w:rsidRPr="00D13FE8" w:rsidRDefault="00794AFD" w:rsidP="00794AFD">
            <w:pPr>
              <w:ind w:left="-90"/>
              <w:rPr>
                <w:rFonts w:asciiTheme="minorHAnsi" w:hAnsiTheme="minorHAnsi" w:cs="Times New Roman"/>
                <w:sz w:val="20"/>
                <w:szCs w:val="20"/>
              </w:rPr>
            </w:pPr>
          </w:p>
        </w:tc>
        <w:tc>
          <w:tcPr>
            <w:tcW w:w="343" w:type="pct"/>
            <w:tcBorders>
              <w:top w:val="nil"/>
              <w:left w:val="nil"/>
            </w:tcBorders>
          </w:tcPr>
          <w:p w14:paraId="6C8050C1" w14:textId="77777777" w:rsidR="00794AFD" w:rsidRPr="00D13FE8" w:rsidRDefault="00794AFD" w:rsidP="00794AFD">
            <w:pPr>
              <w:jc w:val="center"/>
              <w:rPr>
                <w:rFonts w:asciiTheme="minorHAnsi" w:hAnsiTheme="minorHAnsi" w:cs="Times New Roman"/>
                <w:sz w:val="20"/>
                <w:szCs w:val="20"/>
              </w:rPr>
            </w:pPr>
          </w:p>
        </w:tc>
        <w:tc>
          <w:tcPr>
            <w:tcW w:w="558" w:type="pct"/>
            <w:tcBorders>
              <w:top w:val="nil"/>
              <w:left w:val="nil"/>
              <w:right w:val="nil"/>
            </w:tcBorders>
          </w:tcPr>
          <w:p w14:paraId="11A6F38D" w14:textId="77777777" w:rsidR="00794AFD" w:rsidRPr="000944E4" w:rsidRDefault="00794AFD" w:rsidP="00794AFD">
            <w:pPr>
              <w:jc w:val="right"/>
              <w:rPr>
                <w:rFonts w:asciiTheme="minorHAnsi" w:hAnsiTheme="minorHAnsi" w:cs="Times New Roman"/>
                <w:b/>
                <w:bCs/>
                <w:sz w:val="20"/>
                <w:szCs w:val="20"/>
              </w:rPr>
            </w:pPr>
          </w:p>
        </w:tc>
        <w:tc>
          <w:tcPr>
            <w:tcW w:w="558" w:type="pct"/>
            <w:tcBorders>
              <w:top w:val="nil"/>
              <w:left w:val="nil"/>
              <w:right w:val="nil"/>
            </w:tcBorders>
          </w:tcPr>
          <w:p w14:paraId="4CDA3061" w14:textId="77777777" w:rsidR="00794AFD" w:rsidRPr="003A5032" w:rsidRDefault="00794AFD" w:rsidP="00794AFD">
            <w:pPr>
              <w:jc w:val="right"/>
              <w:rPr>
                <w:rFonts w:asciiTheme="minorHAnsi" w:hAnsiTheme="minorHAnsi" w:cs="Times New Roman"/>
                <w:b/>
                <w:bCs/>
                <w:sz w:val="20"/>
                <w:szCs w:val="20"/>
              </w:rPr>
            </w:pPr>
          </w:p>
        </w:tc>
        <w:tc>
          <w:tcPr>
            <w:tcW w:w="558" w:type="pct"/>
            <w:tcBorders>
              <w:top w:val="nil"/>
              <w:left w:val="nil"/>
              <w:right w:val="nil"/>
            </w:tcBorders>
          </w:tcPr>
          <w:p w14:paraId="697ED001" w14:textId="77777777" w:rsidR="00794AFD" w:rsidRPr="000944E4" w:rsidRDefault="00794AFD" w:rsidP="00794AFD">
            <w:pPr>
              <w:jc w:val="right"/>
              <w:rPr>
                <w:rFonts w:asciiTheme="minorHAnsi" w:hAnsiTheme="minorHAnsi" w:cs="Times New Roman"/>
                <w:b/>
                <w:bCs/>
                <w:sz w:val="20"/>
                <w:szCs w:val="20"/>
              </w:rPr>
            </w:pPr>
          </w:p>
        </w:tc>
        <w:tc>
          <w:tcPr>
            <w:tcW w:w="558" w:type="pct"/>
            <w:tcBorders>
              <w:top w:val="nil"/>
              <w:left w:val="nil"/>
              <w:right w:val="nil"/>
            </w:tcBorders>
          </w:tcPr>
          <w:p w14:paraId="40FE9D3D" w14:textId="77777777" w:rsidR="00794AFD" w:rsidRPr="003A5032" w:rsidRDefault="00794AFD" w:rsidP="00794AFD">
            <w:pPr>
              <w:jc w:val="right"/>
              <w:rPr>
                <w:rFonts w:asciiTheme="minorHAnsi" w:hAnsiTheme="minorHAnsi" w:cs="Times New Roman"/>
                <w:bCs/>
                <w:sz w:val="20"/>
                <w:szCs w:val="20"/>
              </w:rPr>
            </w:pPr>
          </w:p>
        </w:tc>
        <w:tc>
          <w:tcPr>
            <w:tcW w:w="558" w:type="pct"/>
            <w:tcBorders>
              <w:top w:val="nil"/>
              <w:left w:val="nil"/>
              <w:right w:val="nil"/>
            </w:tcBorders>
          </w:tcPr>
          <w:p w14:paraId="02E31610" w14:textId="77777777" w:rsidR="00794AFD" w:rsidRPr="00D13FE8" w:rsidRDefault="00794AFD" w:rsidP="00794AFD">
            <w:pPr>
              <w:jc w:val="right"/>
              <w:rPr>
                <w:rFonts w:asciiTheme="minorHAnsi" w:hAnsiTheme="minorHAnsi" w:cs="Times New Roman"/>
                <w:bCs/>
                <w:sz w:val="20"/>
                <w:szCs w:val="20"/>
              </w:rPr>
            </w:pPr>
          </w:p>
        </w:tc>
        <w:tc>
          <w:tcPr>
            <w:tcW w:w="551" w:type="pct"/>
            <w:tcBorders>
              <w:top w:val="nil"/>
              <w:left w:val="nil"/>
              <w:right w:val="nil"/>
            </w:tcBorders>
          </w:tcPr>
          <w:p w14:paraId="5CD222AD" w14:textId="77777777" w:rsidR="00794AFD" w:rsidRPr="00D13FE8" w:rsidRDefault="00794AFD" w:rsidP="00794AFD">
            <w:pPr>
              <w:jc w:val="right"/>
              <w:rPr>
                <w:rFonts w:asciiTheme="minorHAnsi" w:hAnsiTheme="minorHAnsi" w:cs="Times New Roman"/>
                <w:bCs/>
                <w:sz w:val="20"/>
                <w:szCs w:val="20"/>
              </w:rPr>
            </w:pPr>
          </w:p>
        </w:tc>
      </w:tr>
      <w:tr w:rsidR="00794AFD" w:rsidRPr="00D13FE8" w14:paraId="238B08DF" w14:textId="77777777" w:rsidTr="00794AFD">
        <w:trPr>
          <w:trHeight w:val="211"/>
        </w:trPr>
        <w:tc>
          <w:tcPr>
            <w:tcW w:w="1316" w:type="pct"/>
            <w:tcBorders>
              <w:top w:val="nil"/>
              <w:right w:val="nil"/>
            </w:tcBorders>
          </w:tcPr>
          <w:p w14:paraId="1DFF6E5D" w14:textId="77777777" w:rsidR="00794AFD" w:rsidRPr="00D13FE8" w:rsidRDefault="00794AFD" w:rsidP="00794AFD">
            <w:pPr>
              <w:ind w:left="-90"/>
              <w:rPr>
                <w:rFonts w:asciiTheme="minorHAnsi" w:hAnsiTheme="minorHAnsi" w:cs="Times New Roman"/>
                <w:sz w:val="20"/>
                <w:szCs w:val="20"/>
              </w:rPr>
            </w:pPr>
            <w:r w:rsidRPr="00D13FE8">
              <w:rPr>
                <w:rFonts w:asciiTheme="minorHAnsi" w:hAnsiTheme="minorHAnsi" w:cs="Times New Roman"/>
                <w:sz w:val="20"/>
                <w:szCs w:val="20"/>
              </w:rPr>
              <w:t>Financial income</w:t>
            </w:r>
          </w:p>
        </w:tc>
        <w:tc>
          <w:tcPr>
            <w:tcW w:w="343" w:type="pct"/>
            <w:tcBorders>
              <w:top w:val="nil"/>
              <w:left w:val="nil"/>
            </w:tcBorders>
          </w:tcPr>
          <w:p w14:paraId="6B399729" w14:textId="77777777" w:rsidR="00794AFD" w:rsidRPr="00D13FE8" w:rsidRDefault="00794AFD" w:rsidP="00794AFD">
            <w:pPr>
              <w:jc w:val="center"/>
              <w:rPr>
                <w:rFonts w:asciiTheme="minorHAnsi" w:hAnsiTheme="minorHAnsi" w:cs="Times New Roman"/>
                <w:sz w:val="20"/>
                <w:szCs w:val="20"/>
              </w:rPr>
            </w:pPr>
          </w:p>
        </w:tc>
        <w:tc>
          <w:tcPr>
            <w:tcW w:w="558" w:type="pct"/>
            <w:tcBorders>
              <w:top w:val="nil"/>
              <w:left w:val="nil"/>
              <w:right w:val="nil"/>
            </w:tcBorders>
          </w:tcPr>
          <w:p w14:paraId="1B68F4A3"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1.0</w:t>
            </w:r>
          </w:p>
        </w:tc>
        <w:tc>
          <w:tcPr>
            <w:tcW w:w="558" w:type="pct"/>
            <w:tcBorders>
              <w:top w:val="nil"/>
              <w:left w:val="nil"/>
              <w:right w:val="nil"/>
            </w:tcBorders>
          </w:tcPr>
          <w:p w14:paraId="247DC4B1"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w:t>
            </w:r>
          </w:p>
        </w:tc>
        <w:tc>
          <w:tcPr>
            <w:tcW w:w="558" w:type="pct"/>
            <w:tcBorders>
              <w:top w:val="nil"/>
              <w:left w:val="nil"/>
              <w:right w:val="nil"/>
            </w:tcBorders>
          </w:tcPr>
          <w:p w14:paraId="07EF8BFA"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1.0</w:t>
            </w:r>
          </w:p>
        </w:tc>
        <w:tc>
          <w:tcPr>
            <w:tcW w:w="558" w:type="pct"/>
            <w:tcBorders>
              <w:top w:val="nil"/>
              <w:left w:val="nil"/>
              <w:right w:val="nil"/>
            </w:tcBorders>
          </w:tcPr>
          <w:p w14:paraId="0BD9A8DA"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3.9</w:t>
            </w:r>
          </w:p>
        </w:tc>
        <w:tc>
          <w:tcPr>
            <w:tcW w:w="558" w:type="pct"/>
            <w:tcBorders>
              <w:top w:val="nil"/>
              <w:left w:val="nil"/>
              <w:right w:val="nil"/>
            </w:tcBorders>
          </w:tcPr>
          <w:p w14:paraId="382F5B0F"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17.7</w:t>
            </w:r>
          </w:p>
        </w:tc>
        <w:tc>
          <w:tcPr>
            <w:tcW w:w="551" w:type="pct"/>
            <w:tcBorders>
              <w:top w:val="nil"/>
              <w:left w:val="nil"/>
              <w:right w:val="nil"/>
            </w:tcBorders>
          </w:tcPr>
          <w:p w14:paraId="0BC51A35"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21.6</w:t>
            </w:r>
          </w:p>
        </w:tc>
      </w:tr>
      <w:tr w:rsidR="00794AFD" w:rsidRPr="00D13FE8" w14:paraId="5DF9B208" w14:textId="77777777" w:rsidTr="00794AFD">
        <w:trPr>
          <w:trHeight w:val="211"/>
        </w:trPr>
        <w:tc>
          <w:tcPr>
            <w:tcW w:w="1316" w:type="pct"/>
            <w:tcBorders>
              <w:bottom w:val="single" w:sz="4" w:space="0" w:color="auto"/>
              <w:right w:val="nil"/>
            </w:tcBorders>
          </w:tcPr>
          <w:p w14:paraId="27E00D88" w14:textId="77777777" w:rsidR="00794AFD" w:rsidRPr="00D13FE8" w:rsidRDefault="00794AFD" w:rsidP="00794AFD">
            <w:pPr>
              <w:ind w:left="-90"/>
              <w:rPr>
                <w:rFonts w:asciiTheme="minorHAnsi" w:hAnsiTheme="minorHAnsi" w:cs="Times New Roman"/>
                <w:sz w:val="20"/>
                <w:szCs w:val="20"/>
              </w:rPr>
            </w:pPr>
            <w:r w:rsidRPr="00D13FE8">
              <w:rPr>
                <w:rFonts w:asciiTheme="minorHAnsi" w:hAnsiTheme="minorHAnsi" w:cs="Times New Roman"/>
                <w:sz w:val="20"/>
                <w:szCs w:val="20"/>
              </w:rPr>
              <w:t>Financial expense</w:t>
            </w:r>
          </w:p>
        </w:tc>
        <w:tc>
          <w:tcPr>
            <w:tcW w:w="343" w:type="pct"/>
            <w:tcBorders>
              <w:left w:val="nil"/>
              <w:bottom w:val="single" w:sz="4" w:space="0" w:color="auto"/>
            </w:tcBorders>
          </w:tcPr>
          <w:p w14:paraId="5973EEED" w14:textId="77777777" w:rsidR="00794AFD" w:rsidRPr="00D13FE8" w:rsidRDefault="00794AFD" w:rsidP="00794AFD">
            <w:pPr>
              <w:jc w:val="center"/>
              <w:rPr>
                <w:rFonts w:asciiTheme="minorHAnsi" w:hAnsiTheme="minorHAnsi" w:cs="Times New Roman"/>
                <w:iCs/>
                <w:sz w:val="20"/>
                <w:szCs w:val="20"/>
              </w:rPr>
            </w:pPr>
          </w:p>
        </w:tc>
        <w:tc>
          <w:tcPr>
            <w:tcW w:w="558" w:type="pct"/>
            <w:tcBorders>
              <w:left w:val="nil"/>
              <w:bottom w:val="single" w:sz="4" w:space="0" w:color="auto"/>
              <w:right w:val="nil"/>
            </w:tcBorders>
          </w:tcPr>
          <w:p w14:paraId="4FA1CFBD"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(15.2)</w:t>
            </w:r>
          </w:p>
        </w:tc>
        <w:tc>
          <w:tcPr>
            <w:tcW w:w="558" w:type="pct"/>
            <w:tcBorders>
              <w:left w:val="nil"/>
              <w:bottom w:val="single" w:sz="4" w:space="0" w:color="auto"/>
              <w:right w:val="nil"/>
            </w:tcBorders>
          </w:tcPr>
          <w:p w14:paraId="0DAB771B"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w:t>
            </w:r>
          </w:p>
        </w:tc>
        <w:tc>
          <w:tcPr>
            <w:tcW w:w="558" w:type="pct"/>
            <w:tcBorders>
              <w:left w:val="nil"/>
              <w:bottom w:val="single" w:sz="4" w:space="0" w:color="auto"/>
              <w:right w:val="nil"/>
            </w:tcBorders>
          </w:tcPr>
          <w:p w14:paraId="0604FA70"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(15.2)</w:t>
            </w:r>
          </w:p>
        </w:tc>
        <w:tc>
          <w:tcPr>
            <w:tcW w:w="558" w:type="pct"/>
            <w:tcBorders>
              <w:left w:val="nil"/>
              <w:bottom w:val="single" w:sz="4" w:space="0" w:color="auto"/>
              <w:right w:val="nil"/>
            </w:tcBorders>
          </w:tcPr>
          <w:p w14:paraId="080853F0"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(7.5)</w:t>
            </w:r>
          </w:p>
        </w:tc>
        <w:tc>
          <w:tcPr>
            <w:tcW w:w="558" w:type="pct"/>
            <w:tcBorders>
              <w:left w:val="nil"/>
              <w:bottom w:val="single" w:sz="4" w:space="0" w:color="auto"/>
              <w:right w:val="nil"/>
            </w:tcBorders>
          </w:tcPr>
          <w:p w14:paraId="4288C8F9"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w:t>
            </w:r>
          </w:p>
        </w:tc>
        <w:tc>
          <w:tcPr>
            <w:tcW w:w="551" w:type="pct"/>
            <w:tcBorders>
              <w:left w:val="nil"/>
              <w:bottom w:val="single" w:sz="4" w:space="0" w:color="auto"/>
              <w:right w:val="nil"/>
            </w:tcBorders>
          </w:tcPr>
          <w:p w14:paraId="1492C76F"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(7.5)</w:t>
            </w:r>
          </w:p>
        </w:tc>
      </w:tr>
      <w:tr w:rsidR="00794AFD" w:rsidRPr="00D13FE8" w14:paraId="3EE96C56" w14:textId="77777777" w:rsidTr="00794AFD">
        <w:trPr>
          <w:trHeight w:val="211"/>
        </w:trPr>
        <w:tc>
          <w:tcPr>
            <w:tcW w:w="1316" w:type="pct"/>
            <w:tcBorders>
              <w:top w:val="single" w:sz="4" w:space="0" w:color="auto"/>
              <w:bottom w:val="single" w:sz="4" w:space="0" w:color="auto"/>
              <w:right w:val="nil"/>
            </w:tcBorders>
          </w:tcPr>
          <w:p w14:paraId="4F2FCC66" w14:textId="77777777" w:rsidR="00794AFD" w:rsidRPr="00D13FE8" w:rsidRDefault="00794AFD" w:rsidP="00794AFD">
            <w:pPr>
              <w:ind w:left="-90"/>
              <w:rPr>
                <w:rFonts w:asciiTheme="minorHAnsi" w:hAnsiTheme="minorHAnsi" w:cs="Times New Roman"/>
                <w:b/>
                <w:sz w:val="20"/>
                <w:szCs w:val="20"/>
              </w:rPr>
            </w:pPr>
            <w:r w:rsidRPr="00D13FE8">
              <w:rPr>
                <w:rFonts w:asciiTheme="minorHAnsi" w:hAnsiTheme="minorHAnsi" w:cs="Times New Roman"/>
                <w:b/>
                <w:sz w:val="20"/>
                <w:szCs w:val="20"/>
              </w:rPr>
              <w:t>Profit before tax</w:t>
            </w:r>
          </w:p>
        </w:tc>
        <w:tc>
          <w:tcPr>
            <w:tcW w:w="343" w:type="pct"/>
            <w:tcBorders>
              <w:top w:val="single" w:sz="4" w:space="0" w:color="auto"/>
              <w:left w:val="nil"/>
              <w:bottom w:val="single" w:sz="4" w:space="0" w:color="auto"/>
            </w:tcBorders>
          </w:tcPr>
          <w:p w14:paraId="77C149AE" w14:textId="77777777" w:rsidR="00794AFD" w:rsidRPr="00D13FE8" w:rsidRDefault="00794AFD" w:rsidP="00794AFD">
            <w:pPr>
              <w:jc w:val="center"/>
              <w:rPr>
                <w:rFonts w:asciiTheme="minorHAnsi" w:hAnsiTheme="minorHAnsi" w:cs="Times New Roman"/>
                <w:b/>
                <w:sz w:val="20"/>
                <w:szCs w:val="20"/>
              </w:rPr>
            </w:pPr>
          </w:p>
        </w:tc>
        <w:tc>
          <w:tcPr>
            <w:tcW w:w="558" w:type="pct"/>
            <w:tcBorders>
              <w:top w:val="single" w:sz="4" w:space="0" w:color="auto"/>
              <w:left w:val="nil"/>
              <w:bottom w:val="single" w:sz="4" w:space="0" w:color="auto"/>
              <w:right w:val="nil"/>
            </w:tcBorders>
            <w:shd w:val="clear" w:color="auto" w:fill="auto"/>
          </w:tcPr>
          <w:p w14:paraId="4D34963D" w14:textId="77777777" w:rsidR="00794AFD" w:rsidRPr="00D13FE8" w:rsidRDefault="00794AFD" w:rsidP="00794AFD">
            <w:pPr>
              <w:jc w:val="right"/>
              <w:rPr>
                <w:rFonts w:asciiTheme="minorHAnsi" w:hAnsiTheme="minorHAnsi" w:cs="Times New Roman"/>
                <w:b/>
                <w:sz w:val="20"/>
                <w:szCs w:val="20"/>
              </w:rPr>
            </w:pPr>
            <w:r w:rsidRPr="00D13FE8">
              <w:rPr>
                <w:rFonts w:asciiTheme="minorHAnsi" w:hAnsiTheme="minorHAnsi" w:cs="Times New Roman"/>
                <w:b/>
                <w:sz w:val="20"/>
                <w:szCs w:val="20"/>
              </w:rPr>
              <w:t>266.4</w:t>
            </w:r>
          </w:p>
        </w:tc>
        <w:tc>
          <w:tcPr>
            <w:tcW w:w="558" w:type="pct"/>
            <w:tcBorders>
              <w:top w:val="single" w:sz="4" w:space="0" w:color="auto"/>
              <w:left w:val="nil"/>
              <w:bottom w:val="single" w:sz="4" w:space="0" w:color="auto"/>
              <w:right w:val="nil"/>
            </w:tcBorders>
            <w:shd w:val="clear" w:color="auto" w:fill="auto"/>
          </w:tcPr>
          <w:p w14:paraId="75749014" w14:textId="77777777" w:rsidR="00794AFD" w:rsidRPr="00D13FE8" w:rsidRDefault="00794AFD" w:rsidP="00794AFD">
            <w:pPr>
              <w:jc w:val="right"/>
              <w:rPr>
                <w:rFonts w:asciiTheme="minorHAnsi" w:hAnsiTheme="minorHAnsi" w:cs="Times New Roman"/>
                <w:b/>
                <w:sz w:val="20"/>
                <w:szCs w:val="20"/>
              </w:rPr>
            </w:pPr>
            <w:r w:rsidRPr="00D13FE8">
              <w:rPr>
                <w:rFonts w:asciiTheme="minorHAnsi" w:hAnsiTheme="minorHAnsi" w:cs="Times New Roman"/>
                <w:b/>
                <w:sz w:val="20"/>
                <w:szCs w:val="20"/>
              </w:rPr>
              <w:t>(130.7)</w:t>
            </w:r>
          </w:p>
        </w:tc>
        <w:tc>
          <w:tcPr>
            <w:tcW w:w="558" w:type="pct"/>
            <w:tcBorders>
              <w:top w:val="single" w:sz="4" w:space="0" w:color="auto"/>
              <w:left w:val="nil"/>
              <w:bottom w:val="single" w:sz="4" w:space="0" w:color="auto"/>
              <w:right w:val="nil"/>
            </w:tcBorders>
            <w:shd w:val="clear" w:color="auto" w:fill="auto"/>
          </w:tcPr>
          <w:p w14:paraId="13C83B04" w14:textId="77777777" w:rsidR="00794AFD" w:rsidRPr="00D13FE8" w:rsidRDefault="00794AFD" w:rsidP="00794AFD">
            <w:pPr>
              <w:jc w:val="right"/>
              <w:rPr>
                <w:rFonts w:asciiTheme="minorHAnsi" w:hAnsiTheme="minorHAnsi" w:cs="Times New Roman"/>
                <w:b/>
                <w:sz w:val="20"/>
                <w:szCs w:val="20"/>
              </w:rPr>
            </w:pPr>
            <w:r w:rsidRPr="00D13FE8">
              <w:rPr>
                <w:rFonts w:asciiTheme="minorHAnsi" w:hAnsiTheme="minorHAnsi" w:cs="Times New Roman"/>
                <w:b/>
                <w:sz w:val="20"/>
                <w:szCs w:val="20"/>
              </w:rPr>
              <w:t>135.7</w:t>
            </w:r>
          </w:p>
        </w:tc>
        <w:tc>
          <w:tcPr>
            <w:tcW w:w="558" w:type="pct"/>
            <w:tcBorders>
              <w:top w:val="single" w:sz="4" w:space="0" w:color="auto"/>
              <w:left w:val="nil"/>
              <w:bottom w:val="single" w:sz="4" w:space="0" w:color="auto"/>
              <w:right w:val="nil"/>
            </w:tcBorders>
          </w:tcPr>
          <w:p w14:paraId="038CC3BA" w14:textId="77777777" w:rsidR="00794AFD" w:rsidRPr="00D13FE8" w:rsidRDefault="00794AFD" w:rsidP="00794AFD">
            <w:pPr>
              <w:jc w:val="right"/>
              <w:rPr>
                <w:rFonts w:asciiTheme="minorHAnsi" w:hAnsiTheme="minorHAnsi" w:cs="Times New Roman"/>
                <w:sz w:val="20"/>
                <w:szCs w:val="20"/>
              </w:rPr>
            </w:pPr>
            <w:r w:rsidRPr="00D13FE8">
              <w:rPr>
                <w:rFonts w:asciiTheme="minorHAnsi" w:hAnsiTheme="minorHAnsi" w:cs="Times New Roman"/>
                <w:sz w:val="20"/>
                <w:szCs w:val="20"/>
              </w:rPr>
              <w:t>356.9</w:t>
            </w:r>
          </w:p>
        </w:tc>
        <w:tc>
          <w:tcPr>
            <w:tcW w:w="558" w:type="pct"/>
            <w:tcBorders>
              <w:top w:val="single" w:sz="4" w:space="0" w:color="auto"/>
              <w:left w:val="nil"/>
              <w:bottom w:val="single" w:sz="4" w:space="0" w:color="auto"/>
              <w:right w:val="nil"/>
            </w:tcBorders>
          </w:tcPr>
          <w:p w14:paraId="4A3D5DAF" w14:textId="77777777" w:rsidR="00794AFD" w:rsidRPr="00D13FE8" w:rsidRDefault="00794AFD" w:rsidP="00794AFD">
            <w:pPr>
              <w:jc w:val="right"/>
              <w:rPr>
                <w:rFonts w:asciiTheme="minorHAnsi" w:hAnsiTheme="minorHAnsi" w:cs="Times New Roman"/>
                <w:sz w:val="20"/>
                <w:szCs w:val="20"/>
              </w:rPr>
            </w:pPr>
            <w:r w:rsidRPr="00D13FE8">
              <w:rPr>
                <w:rFonts w:asciiTheme="minorHAnsi" w:hAnsiTheme="minorHAnsi" w:cs="Times New Roman"/>
                <w:sz w:val="20"/>
                <w:szCs w:val="20"/>
              </w:rPr>
              <w:t>(138.2)</w:t>
            </w:r>
          </w:p>
        </w:tc>
        <w:tc>
          <w:tcPr>
            <w:tcW w:w="551" w:type="pct"/>
            <w:tcBorders>
              <w:top w:val="single" w:sz="4" w:space="0" w:color="auto"/>
              <w:left w:val="nil"/>
              <w:bottom w:val="single" w:sz="4" w:space="0" w:color="auto"/>
              <w:right w:val="nil"/>
            </w:tcBorders>
          </w:tcPr>
          <w:p w14:paraId="2F3FD55F" w14:textId="77777777" w:rsidR="00794AFD" w:rsidRPr="00D13FE8" w:rsidRDefault="00794AFD" w:rsidP="00794AFD">
            <w:pPr>
              <w:jc w:val="right"/>
              <w:rPr>
                <w:rFonts w:asciiTheme="minorHAnsi" w:hAnsiTheme="minorHAnsi" w:cs="Times New Roman"/>
                <w:sz w:val="20"/>
                <w:szCs w:val="20"/>
              </w:rPr>
            </w:pPr>
            <w:r w:rsidRPr="00D13FE8">
              <w:rPr>
                <w:rFonts w:asciiTheme="minorHAnsi" w:hAnsiTheme="minorHAnsi" w:cs="Times New Roman"/>
                <w:sz w:val="20"/>
                <w:szCs w:val="20"/>
              </w:rPr>
              <w:t>218.7</w:t>
            </w:r>
          </w:p>
        </w:tc>
      </w:tr>
      <w:tr w:rsidR="00794AFD" w:rsidRPr="00D13FE8" w14:paraId="78AF7584" w14:textId="77777777" w:rsidTr="00794AFD">
        <w:trPr>
          <w:trHeight w:val="211"/>
        </w:trPr>
        <w:tc>
          <w:tcPr>
            <w:tcW w:w="1316" w:type="pct"/>
            <w:tcBorders>
              <w:top w:val="single" w:sz="4" w:space="0" w:color="auto"/>
              <w:right w:val="nil"/>
            </w:tcBorders>
          </w:tcPr>
          <w:p w14:paraId="1BEDFC61" w14:textId="77777777" w:rsidR="00794AFD" w:rsidRPr="00D13FE8" w:rsidRDefault="00794AFD" w:rsidP="00794AFD">
            <w:pPr>
              <w:ind w:left="-90"/>
              <w:rPr>
                <w:rFonts w:asciiTheme="minorHAnsi" w:hAnsiTheme="minorHAnsi" w:cs="Times New Roman"/>
                <w:sz w:val="20"/>
                <w:szCs w:val="20"/>
              </w:rPr>
            </w:pPr>
          </w:p>
        </w:tc>
        <w:tc>
          <w:tcPr>
            <w:tcW w:w="343" w:type="pct"/>
            <w:tcBorders>
              <w:top w:val="single" w:sz="4" w:space="0" w:color="auto"/>
              <w:left w:val="nil"/>
            </w:tcBorders>
          </w:tcPr>
          <w:p w14:paraId="13F7E69D" w14:textId="77777777" w:rsidR="00794AFD" w:rsidRPr="00D13FE8" w:rsidRDefault="00794AFD" w:rsidP="00794AFD">
            <w:pPr>
              <w:jc w:val="center"/>
              <w:rPr>
                <w:rFonts w:asciiTheme="minorHAnsi" w:hAnsiTheme="minorHAnsi" w:cs="Times New Roman"/>
                <w:sz w:val="20"/>
                <w:szCs w:val="20"/>
              </w:rPr>
            </w:pPr>
          </w:p>
        </w:tc>
        <w:tc>
          <w:tcPr>
            <w:tcW w:w="558" w:type="pct"/>
            <w:tcBorders>
              <w:top w:val="single" w:sz="4" w:space="0" w:color="auto"/>
              <w:left w:val="nil"/>
              <w:right w:val="nil"/>
            </w:tcBorders>
          </w:tcPr>
          <w:p w14:paraId="2856D28E" w14:textId="77777777" w:rsidR="00794AFD" w:rsidRPr="000944E4" w:rsidRDefault="00794AFD" w:rsidP="00794AFD">
            <w:pPr>
              <w:jc w:val="right"/>
              <w:rPr>
                <w:rFonts w:asciiTheme="minorHAnsi" w:hAnsiTheme="minorHAnsi" w:cs="Times New Roman"/>
                <w:b/>
                <w:bCs/>
                <w:sz w:val="20"/>
                <w:szCs w:val="20"/>
              </w:rPr>
            </w:pPr>
          </w:p>
        </w:tc>
        <w:tc>
          <w:tcPr>
            <w:tcW w:w="558" w:type="pct"/>
            <w:tcBorders>
              <w:top w:val="single" w:sz="4" w:space="0" w:color="auto"/>
              <w:left w:val="nil"/>
              <w:right w:val="nil"/>
            </w:tcBorders>
          </w:tcPr>
          <w:p w14:paraId="25D849EF" w14:textId="77777777" w:rsidR="00794AFD" w:rsidRPr="000944E4" w:rsidRDefault="00794AFD" w:rsidP="00794AFD">
            <w:pPr>
              <w:jc w:val="right"/>
              <w:rPr>
                <w:rFonts w:asciiTheme="minorHAnsi" w:hAnsiTheme="minorHAnsi" w:cs="Times New Roman"/>
                <w:b/>
                <w:bCs/>
                <w:sz w:val="20"/>
                <w:szCs w:val="20"/>
              </w:rPr>
            </w:pPr>
          </w:p>
        </w:tc>
        <w:tc>
          <w:tcPr>
            <w:tcW w:w="558" w:type="pct"/>
            <w:tcBorders>
              <w:top w:val="single" w:sz="4" w:space="0" w:color="auto"/>
              <w:left w:val="nil"/>
              <w:right w:val="nil"/>
            </w:tcBorders>
          </w:tcPr>
          <w:p w14:paraId="75992013" w14:textId="77777777" w:rsidR="00794AFD" w:rsidRPr="000944E4" w:rsidRDefault="00794AFD" w:rsidP="00794AFD">
            <w:pPr>
              <w:jc w:val="right"/>
              <w:rPr>
                <w:rFonts w:asciiTheme="minorHAnsi" w:hAnsiTheme="minorHAnsi" w:cs="Times New Roman"/>
                <w:b/>
                <w:bCs/>
                <w:sz w:val="20"/>
                <w:szCs w:val="20"/>
              </w:rPr>
            </w:pPr>
          </w:p>
        </w:tc>
        <w:tc>
          <w:tcPr>
            <w:tcW w:w="558" w:type="pct"/>
            <w:tcBorders>
              <w:top w:val="single" w:sz="4" w:space="0" w:color="auto"/>
              <w:left w:val="nil"/>
              <w:right w:val="nil"/>
            </w:tcBorders>
          </w:tcPr>
          <w:p w14:paraId="0E707955" w14:textId="77777777" w:rsidR="00794AFD" w:rsidRPr="003A5032" w:rsidRDefault="00794AFD" w:rsidP="00794AFD">
            <w:pPr>
              <w:jc w:val="right"/>
              <w:rPr>
                <w:rFonts w:asciiTheme="minorHAnsi" w:hAnsiTheme="minorHAnsi" w:cs="Times New Roman"/>
                <w:bCs/>
                <w:sz w:val="20"/>
                <w:szCs w:val="20"/>
              </w:rPr>
            </w:pPr>
          </w:p>
        </w:tc>
        <w:tc>
          <w:tcPr>
            <w:tcW w:w="558" w:type="pct"/>
            <w:tcBorders>
              <w:top w:val="single" w:sz="4" w:space="0" w:color="auto"/>
              <w:left w:val="nil"/>
              <w:right w:val="nil"/>
            </w:tcBorders>
          </w:tcPr>
          <w:p w14:paraId="0BEB723F" w14:textId="77777777" w:rsidR="00794AFD" w:rsidRPr="00D13FE8" w:rsidRDefault="00794AFD" w:rsidP="00794AFD">
            <w:pPr>
              <w:jc w:val="right"/>
              <w:rPr>
                <w:rFonts w:asciiTheme="minorHAnsi" w:hAnsiTheme="minorHAnsi" w:cs="Times New Roman"/>
                <w:bCs/>
                <w:sz w:val="20"/>
                <w:szCs w:val="20"/>
              </w:rPr>
            </w:pPr>
          </w:p>
        </w:tc>
        <w:tc>
          <w:tcPr>
            <w:tcW w:w="551" w:type="pct"/>
            <w:tcBorders>
              <w:top w:val="single" w:sz="4" w:space="0" w:color="auto"/>
              <w:left w:val="nil"/>
              <w:right w:val="nil"/>
            </w:tcBorders>
          </w:tcPr>
          <w:p w14:paraId="628A8F7C" w14:textId="77777777" w:rsidR="00794AFD" w:rsidRPr="00D13FE8" w:rsidRDefault="00794AFD" w:rsidP="00794AFD">
            <w:pPr>
              <w:jc w:val="right"/>
              <w:rPr>
                <w:rFonts w:asciiTheme="minorHAnsi" w:hAnsiTheme="minorHAnsi" w:cs="Times New Roman"/>
                <w:bCs/>
                <w:sz w:val="20"/>
                <w:szCs w:val="20"/>
              </w:rPr>
            </w:pPr>
          </w:p>
        </w:tc>
      </w:tr>
      <w:tr w:rsidR="00794AFD" w:rsidRPr="00D13FE8" w14:paraId="19353D6F" w14:textId="77777777" w:rsidTr="00794AFD">
        <w:trPr>
          <w:trHeight w:val="162"/>
        </w:trPr>
        <w:tc>
          <w:tcPr>
            <w:tcW w:w="1316" w:type="pct"/>
            <w:tcBorders>
              <w:top w:val="nil"/>
              <w:bottom w:val="single" w:sz="4" w:space="0" w:color="auto"/>
            </w:tcBorders>
          </w:tcPr>
          <w:p w14:paraId="7E3C3140" w14:textId="77777777" w:rsidR="00794AFD" w:rsidRPr="00D13FE8" w:rsidRDefault="00794AFD" w:rsidP="00794AFD">
            <w:pPr>
              <w:ind w:left="-90"/>
              <w:rPr>
                <w:rFonts w:asciiTheme="minorHAnsi" w:hAnsiTheme="minorHAnsi" w:cs="Times New Roman"/>
                <w:sz w:val="20"/>
                <w:szCs w:val="20"/>
              </w:rPr>
            </w:pPr>
            <w:r w:rsidRPr="00D13FE8">
              <w:rPr>
                <w:rFonts w:asciiTheme="minorHAnsi" w:hAnsiTheme="minorHAnsi" w:cs="Times New Roman"/>
                <w:sz w:val="20"/>
                <w:szCs w:val="20"/>
              </w:rPr>
              <w:t>Tax (expense) / credit</w:t>
            </w:r>
          </w:p>
        </w:tc>
        <w:tc>
          <w:tcPr>
            <w:tcW w:w="343" w:type="pct"/>
            <w:tcBorders>
              <w:top w:val="nil"/>
              <w:bottom w:val="single" w:sz="4" w:space="0" w:color="auto"/>
            </w:tcBorders>
          </w:tcPr>
          <w:p w14:paraId="663A5E75" w14:textId="77777777" w:rsidR="00794AFD" w:rsidRPr="00D13FE8" w:rsidRDefault="00794AFD" w:rsidP="00794AFD">
            <w:pPr>
              <w:jc w:val="center"/>
              <w:rPr>
                <w:rFonts w:asciiTheme="minorHAnsi" w:hAnsiTheme="minorHAnsi" w:cs="Times New Roman"/>
                <w:sz w:val="20"/>
                <w:szCs w:val="20"/>
              </w:rPr>
            </w:pPr>
            <w:r>
              <w:rPr>
                <w:rFonts w:asciiTheme="minorHAnsi" w:hAnsiTheme="minorHAnsi" w:cs="Times New Roman"/>
                <w:iCs/>
                <w:sz w:val="20"/>
                <w:szCs w:val="20"/>
              </w:rPr>
              <w:t>5</w:t>
            </w:r>
          </w:p>
        </w:tc>
        <w:tc>
          <w:tcPr>
            <w:tcW w:w="558" w:type="pct"/>
            <w:tcBorders>
              <w:top w:val="nil"/>
              <w:bottom w:val="single" w:sz="4" w:space="0" w:color="auto"/>
              <w:right w:val="nil"/>
            </w:tcBorders>
          </w:tcPr>
          <w:p w14:paraId="6846923B"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(42.4)</w:t>
            </w:r>
          </w:p>
        </w:tc>
        <w:tc>
          <w:tcPr>
            <w:tcW w:w="558" w:type="pct"/>
            <w:tcBorders>
              <w:top w:val="nil"/>
              <w:bottom w:val="single" w:sz="4" w:space="0" w:color="auto"/>
            </w:tcBorders>
          </w:tcPr>
          <w:p w14:paraId="7664D891"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18.6</w:t>
            </w:r>
          </w:p>
        </w:tc>
        <w:tc>
          <w:tcPr>
            <w:tcW w:w="558" w:type="pct"/>
            <w:tcBorders>
              <w:top w:val="nil"/>
              <w:bottom w:val="single" w:sz="4" w:space="0" w:color="auto"/>
            </w:tcBorders>
          </w:tcPr>
          <w:p w14:paraId="15D52B8A"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(23.8)</w:t>
            </w:r>
          </w:p>
        </w:tc>
        <w:tc>
          <w:tcPr>
            <w:tcW w:w="558" w:type="pct"/>
            <w:tcBorders>
              <w:top w:val="nil"/>
              <w:bottom w:val="single" w:sz="4" w:space="0" w:color="auto"/>
            </w:tcBorders>
          </w:tcPr>
          <w:p w14:paraId="2DF40029"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(53.1)</w:t>
            </w:r>
          </w:p>
        </w:tc>
        <w:tc>
          <w:tcPr>
            <w:tcW w:w="558" w:type="pct"/>
            <w:tcBorders>
              <w:top w:val="nil"/>
              <w:bottom w:val="single" w:sz="4" w:space="0" w:color="auto"/>
            </w:tcBorders>
          </w:tcPr>
          <w:p w14:paraId="04B6F320"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15.1</w:t>
            </w:r>
          </w:p>
        </w:tc>
        <w:tc>
          <w:tcPr>
            <w:tcW w:w="551" w:type="pct"/>
            <w:tcBorders>
              <w:top w:val="nil"/>
              <w:bottom w:val="single" w:sz="4" w:space="0" w:color="auto"/>
              <w:right w:val="nil"/>
            </w:tcBorders>
          </w:tcPr>
          <w:p w14:paraId="7999B803"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(38.0)</w:t>
            </w:r>
          </w:p>
        </w:tc>
      </w:tr>
      <w:tr w:rsidR="00794AFD" w:rsidRPr="00D13FE8" w14:paraId="343DFB2B" w14:textId="77777777" w:rsidTr="00794AFD">
        <w:trPr>
          <w:trHeight w:val="498"/>
        </w:trPr>
        <w:tc>
          <w:tcPr>
            <w:tcW w:w="1316" w:type="pct"/>
            <w:tcBorders>
              <w:top w:val="single" w:sz="4" w:space="0" w:color="auto"/>
              <w:bottom w:val="single" w:sz="4" w:space="0" w:color="auto"/>
            </w:tcBorders>
          </w:tcPr>
          <w:p w14:paraId="2A8285FF" w14:textId="77777777" w:rsidR="00794AFD" w:rsidRPr="00D13FE8" w:rsidRDefault="00794AFD" w:rsidP="00794AFD">
            <w:pPr>
              <w:ind w:left="-90"/>
              <w:rPr>
                <w:rFonts w:asciiTheme="minorHAnsi" w:hAnsiTheme="minorHAnsi" w:cs="Times New Roman"/>
                <w:b/>
                <w:bCs/>
                <w:sz w:val="20"/>
                <w:szCs w:val="20"/>
              </w:rPr>
            </w:pPr>
          </w:p>
          <w:p w14:paraId="6C5B43BA" w14:textId="77777777" w:rsidR="00794AFD" w:rsidRPr="00D13FE8" w:rsidRDefault="00794AFD" w:rsidP="00794AFD">
            <w:pPr>
              <w:ind w:left="-90"/>
              <w:rPr>
                <w:rFonts w:asciiTheme="minorHAnsi" w:hAnsiTheme="minorHAnsi" w:cs="Times New Roman"/>
                <w:b/>
                <w:bCs/>
                <w:sz w:val="20"/>
                <w:szCs w:val="20"/>
              </w:rPr>
            </w:pPr>
            <w:r w:rsidRPr="00D13FE8">
              <w:rPr>
                <w:rFonts w:asciiTheme="minorHAnsi" w:hAnsiTheme="minorHAnsi" w:cs="Times New Roman"/>
                <w:b/>
                <w:bCs/>
                <w:sz w:val="20"/>
                <w:szCs w:val="20"/>
              </w:rPr>
              <w:t xml:space="preserve">Profit / (loss) for the year </w:t>
            </w:r>
          </w:p>
        </w:tc>
        <w:tc>
          <w:tcPr>
            <w:tcW w:w="343" w:type="pct"/>
            <w:tcBorders>
              <w:top w:val="single" w:sz="4" w:space="0" w:color="auto"/>
              <w:bottom w:val="single" w:sz="4" w:space="0" w:color="auto"/>
            </w:tcBorders>
          </w:tcPr>
          <w:p w14:paraId="04422A57" w14:textId="77777777" w:rsidR="00794AFD" w:rsidRPr="00D13FE8" w:rsidRDefault="00794AFD" w:rsidP="00794AFD">
            <w:pPr>
              <w:jc w:val="center"/>
              <w:rPr>
                <w:rFonts w:asciiTheme="minorHAnsi" w:hAnsiTheme="minorHAnsi" w:cs="Times New Roman"/>
                <w:sz w:val="20"/>
                <w:szCs w:val="20"/>
              </w:rPr>
            </w:pPr>
          </w:p>
        </w:tc>
        <w:tc>
          <w:tcPr>
            <w:tcW w:w="558" w:type="pct"/>
            <w:tcBorders>
              <w:top w:val="single" w:sz="4" w:space="0" w:color="auto"/>
              <w:bottom w:val="single" w:sz="4" w:space="0" w:color="auto"/>
              <w:right w:val="nil"/>
            </w:tcBorders>
          </w:tcPr>
          <w:p w14:paraId="795EF124" w14:textId="77777777" w:rsidR="00794AFD" w:rsidRPr="00D13FE8" w:rsidRDefault="00794AFD" w:rsidP="00794AFD">
            <w:pPr>
              <w:jc w:val="right"/>
              <w:rPr>
                <w:rFonts w:asciiTheme="minorHAnsi" w:hAnsiTheme="minorHAnsi" w:cs="Times New Roman"/>
                <w:b/>
                <w:bCs/>
                <w:sz w:val="20"/>
                <w:szCs w:val="20"/>
              </w:rPr>
            </w:pPr>
          </w:p>
          <w:p w14:paraId="4A55F25B"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224.0</w:t>
            </w:r>
          </w:p>
        </w:tc>
        <w:tc>
          <w:tcPr>
            <w:tcW w:w="558" w:type="pct"/>
            <w:tcBorders>
              <w:top w:val="single" w:sz="4" w:space="0" w:color="auto"/>
              <w:bottom w:val="single" w:sz="4" w:space="0" w:color="auto"/>
            </w:tcBorders>
          </w:tcPr>
          <w:p w14:paraId="5E3F65B2" w14:textId="77777777" w:rsidR="00794AFD" w:rsidRPr="00D13FE8" w:rsidRDefault="00794AFD" w:rsidP="00794AFD">
            <w:pPr>
              <w:jc w:val="right"/>
              <w:rPr>
                <w:rFonts w:asciiTheme="minorHAnsi" w:hAnsiTheme="minorHAnsi" w:cs="Times New Roman"/>
                <w:b/>
                <w:bCs/>
                <w:sz w:val="20"/>
                <w:szCs w:val="20"/>
              </w:rPr>
            </w:pPr>
          </w:p>
          <w:p w14:paraId="412D594C"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(112.1)</w:t>
            </w:r>
          </w:p>
        </w:tc>
        <w:tc>
          <w:tcPr>
            <w:tcW w:w="558" w:type="pct"/>
            <w:tcBorders>
              <w:top w:val="single" w:sz="4" w:space="0" w:color="auto"/>
              <w:bottom w:val="single" w:sz="4" w:space="0" w:color="auto"/>
            </w:tcBorders>
          </w:tcPr>
          <w:p w14:paraId="03C78737" w14:textId="77777777" w:rsidR="00794AFD" w:rsidRPr="00D13FE8" w:rsidRDefault="00794AFD" w:rsidP="00794AFD">
            <w:pPr>
              <w:jc w:val="right"/>
              <w:rPr>
                <w:rFonts w:asciiTheme="minorHAnsi" w:hAnsiTheme="minorHAnsi" w:cs="Times New Roman"/>
                <w:b/>
                <w:bCs/>
                <w:sz w:val="20"/>
                <w:szCs w:val="20"/>
              </w:rPr>
            </w:pPr>
          </w:p>
          <w:p w14:paraId="189AEADA"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111.9</w:t>
            </w:r>
          </w:p>
        </w:tc>
        <w:tc>
          <w:tcPr>
            <w:tcW w:w="558" w:type="pct"/>
            <w:tcBorders>
              <w:top w:val="single" w:sz="4" w:space="0" w:color="auto"/>
              <w:bottom w:val="single" w:sz="4" w:space="0" w:color="auto"/>
            </w:tcBorders>
          </w:tcPr>
          <w:p w14:paraId="0A306492" w14:textId="77777777" w:rsidR="00794AFD" w:rsidRPr="00D13FE8" w:rsidRDefault="00794AFD" w:rsidP="00794AFD">
            <w:pPr>
              <w:jc w:val="right"/>
              <w:rPr>
                <w:rFonts w:asciiTheme="minorHAnsi" w:hAnsiTheme="minorHAnsi" w:cs="Times New Roman"/>
                <w:bCs/>
                <w:sz w:val="20"/>
                <w:szCs w:val="20"/>
              </w:rPr>
            </w:pPr>
          </w:p>
          <w:p w14:paraId="7D8EF16E"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303.8</w:t>
            </w:r>
          </w:p>
        </w:tc>
        <w:tc>
          <w:tcPr>
            <w:tcW w:w="558" w:type="pct"/>
            <w:tcBorders>
              <w:top w:val="single" w:sz="4" w:space="0" w:color="auto"/>
              <w:bottom w:val="single" w:sz="4" w:space="0" w:color="auto"/>
            </w:tcBorders>
          </w:tcPr>
          <w:p w14:paraId="6FD0F23C" w14:textId="77777777" w:rsidR="00794AFD" w:rsidRPr="00D13FE8" w:rsidRDefault="00794AFD" w:rsidP="00794AFD">
            <w:pPr>
              <w:jc w:val="right"/>
              <w:rPr>
                <w:rFonts w:asciiTheme="minorHAnsi" w:hAnsiTheme="minorHAnsi" w:cs="Times New Roman"/>
                <w:bCs/>
                <w:sz w:val="20"/>
                <w:szCs w:val="20"/>
              </w:rPr>
            </w:pPr>
          </w:p>
          <w:p w14:paraId="3DE9C994"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(123.1)</w:t>
            </w:r>
          </w:p>
        </w:tc>
        <w:tc>
          <w:tcPr>
            <w:tcW w:w="551" w:type="pct"/>
            <w:tcBorders>
              <w:top w:val="single" w:sz="4" w:space="0" w:color="auto"/>
              <w:bottom w:val="single" w:sz="4" w:space="0" w:color="auto"/>
              <w:right w:val="nil"/>
            </w:tcBorders>
          </w:tcPr>
          <w:p w14:paraId="4CE70E41" w14:textId="77777777" w:rsidR="00794AFD" w:rsidRPr="00D13FE8" w:rsidRDefault="00794AFD" w:rsidP="00794AFD">
            <w:pPr>
              <w:jc w:val="right"/>
              <w:rPr>
                <w:rFonts w:asciiTheme="minorHAnsi" w:hAnsiTheme="minorHAnsi" w:cs="Times New Roman"/>
                <w:bCs/>
                <w:sz w:val="20"/>
                <w:szCs w:val="20"/>
              </w:rPr>
            </w:pPr>
          </w:p>
          <w:p w14:paraId="571AA522"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180.7</w:t>
            </w:r>
          </w:p>
        </w:tc>
      </w:tr>
      <w:tr w:rsidR="00794AFD" w:rsidRPr="00D13FE8" w14:paraId="52D5F3BC" w14:textId="77777777" w:rsidTr="00794AFD">
        <w:trPr>
          <w:trHeight w:val="196"/>
        </w:trPr>
        <w:tc>
          <w:tcPr>
            <w:tcW w:w="1316" w:type="pct"/>
            <w:tcBorders>
              <w:top w:val="single" w:sz="4" w:space="0" w:color="auto"/>
            </w:tcBorders>
          </w:tcPr>
          <w:p w14:paraId="48D97717" w14:textId="77777777" w:rsidR="00794AFD" w:rsidRPr="00D13FE8" w:rsidRDefault="00794AFD" w:rsidP="00794AFD">
            <w:pPr>
              <w:ind w:left="-90"/>
              <w:rPr>
                <w:rFonts w:asciiTheme="minorHAnsi" w:hAnsiTheme="minorHAnsi" w:cs="Times New Roman"/>
                <w:b/>
                <w:bCs/>
                <w:sz w:val="20"/>
                <w:szCs w:val="20"/>
              </w:rPr>
            </w:pPr>
          </w:p>
        </w:tc>
        <w:tc>
          <w:tcPr>
            <w:tcW w:w="343" w:type="pct"/>
            <w:tcBorders>
              <w:top w:val="single" w:sz="4" w:space="0" w:color="auto"/>
            </w:tcBorders>
          </w:tcPr>
          <w:p w14:paraId="59BA785C" w14:textId="77777777" w:rsidR="00794AFD" w:rsidRPr="00D13FE8" w:rsidRDefault="00794AFD" w:rsidP="00794AFD">
            <w:pPr>
              <w:jc w:val="center"/>
              <w:rPr>
                <w:rFonts w:asciiTheme="minorHAnsi" w:hAnsiTheme="minorHAnsi" w:cs="Times New Roman"/>
                <w:sz w:val="20"/>
                <w:szCs w:val="20"/>
              </w:rPr>
            </w:pPr>
          </w:p>
        </w:tc>
        <w:tc>
          <w:tcPr>
            <w:tcW w:w="558" w:type="pct"/>
            <w:tcBorders>
              <w:top w:val="single" w:sz="4" w:space="0" w:color="auto"/>
              <w:right w:val="nil"/>
            </w:tcBorders>
          </w:tcPr>
          <w:p w14:paraId="61A83471" w14:textId="77777777" w:rsidR="00794AFD" w:rsidRPr="00D13FE8" w:rsidRDefault="00794AFD" w:rsidP="00794AFD">
            <w:pPr>
              <w:jc w:val="right"/>
              <w:rPr>
                <w:rFonts w:asciiTheme="minorHAnsi" w:hAnsiTheme="minorHAnsi" w:cs="Times New Roman"/>
                <w:b/>
                <w:bCs/>
                <w:sz w:val="20"/>
                <w:szCs w:val="20"/>
              </w:rPr>
            </w:pPr>
          </w:p>
        </w:tc>
        <w:tc>
          <w:tcPr>
            <w:tcW w:w="558" w:type="pct"/>
            <w:tcBorders>
              <w:top w:val="single" w:sz="4" w:space="0" w:color="auto"/>
            </w:tcBorders>
          </w:tcPr>
          <w:p w14:paraId="0CF0B6C9" w14:textId="77777777" w:rsidR="00794AFD" w:rsidRPr="00D13FE8" w:rsidRDefault="00794AFD" w:rsidP="00794AFD">
            <w:pPr>
              <w:jc w:val="right"/>
              <w:rPr>
                <w:rFonts w:asciiTheme="minorHAnsi" w:hAnsiTheme="minorHAnsi" w:cs="Times New Roman"/>
                <w:b/>
                <w:bCs/>
                <w:sz w:val="20"/>
                <w:szCs w:val="20"/>
              </w:rPr>
            </w:pPr>
          </w:p>
        </w:tc>
        <w:tc>
          <w:tcPr>
            <w:tcW w:w="558" w:type="pct"/>
            <w:tcBorders>
              <w:top w:val="single" w:sz="4" w:space="0" w:color="auto"/>
            </w:tcBorders>
          </w:tcPr>
          <w:p w14:paraId="09A0E76F" w14:textId="77777777" w:rsidR="00794AFD" w:rsidRPr="00D13FE8" w:rsidRDefault="00794AFD" w:rsidP="00794AFD">
            <w:pPr>
              <w:jc w:val="right"/>
              <w:rPr>
                <w:rFonts w:asciiTheme="minorHAnsi" w:hAnsiTheme="minorHAnsi" w:cs="Times New Roman"/>
                <w:b/>
                <w:bCs/>
                <w:sz w:val="20"/>
                <w:szCs w:val="20"/>
              </w:rPr>
            </w:pPr>
          </w:p>
        </w:tc>
        <w:tc>
          <w:tcPr>
            <w:tcW w:w="558" w:type="pct"/>
            <w:tcBorders>
              <w:top w:val="single" w:sz="4" w:space="0" w:color="auto"/>
            </w:tcBorders>
          </w:tcPr>
          <w:p w14:paraId="7CDB3974" w14:textId="77777777" w:rsidR="00794AFD" w:rsidRPr="00D13FE8" w:rsidRDefault="00794AFD" w:rsidP="00794AFD">
            <w:pPr>
              <w:jc w:val="right"/>
              <w:rPr>
                <w:rFonts w:asciiTheme="minorHAnsi" w:hAnsiTheme="minorHAnsi" w:cs="Times New Roman"/>
                <w:bCs/>
                <w:sz w:val="20"/>
                <w:szCs w:val="20"/>
              </w:rPr>
            </w:pPr>
          </w:p>
        </w:tc>
        <w:tc>
          <w:tcPr>
            <w:tcW w:w="558" w:type="pct"/>
            <w:tcBorders>
              <w:top w:val="single" w:sz="4" w:space="0" w:color="auto"/>
            </w:tcBorders>
          </w:tcPr>
          <w:p w14:paraId="013816D3" w14:textId="77777777" w:rsidR="00794AFD" w:rsidRPr="00D13FE8" w:rsidRDefault="00794AFD" w:rsidP="00794AFD">
            <w:pPr>
              <w:jc w:val="right"/>
              <w:rPr>
                <w:rFonts w:asciiTheme="minorHAnsi" w:hAnsiTheme="minorHAnsi" w:cs="Times New Roman"/>
                <w:bCs/>
                <w:sz w:val="20"/>
                <w:szCs w:val="20"/>
              </w:rPr>
            </w:pPr>
          </w:p>
        </w:tc>
        <w:tc>
          <w:tcPr>
            <w:tcW w:w="551" w:type="pct"/>
            <w:tcBorders>
              <w:top w:val="single" w:sz="4" w:space="0" w:color="auto"/>
              <w:right w:val="nil"/>
            </w:tcBorders>
          </w:tcPr>
          <w:p w14:paraId="5FD03D8B" w14:textId="77777777" w:rsidR="00794AFD" w:rsidRPr="00D13FE8" w:rsidRDefault="00794AFD" w:rsidP="00794AFD">
            <w:pPr>
              <w:jc w:val="right"/>
              <w:rPr>
                <w:rFonts w:asciiTheme="minorHAnsi" w:hAnsiTheme="minorHAnsi" w:cs="Times New Roman"/>
                <w:bCs/>
                <w:sz w:val="20"/>
                <w:szCs w:val="20"/>
              </w:rPr>
            </w:pPr>
          </w:p>
        </w:tc>
      </w:tr>
      <w:tr w:rsidR="00794AFD" w:rsidRPr="00D13FE8" w14:paraId="20975913" w14:textId="77777777" w:rsidTr="00794AFD">
        <w:trPr>
          <w:trHeight w:val="196"/>
        </w:trPr>
        <w:tc>
          <w:tcPr>
            <w:tcW w:w="1316" w:type="pct"/>
            <w:tcBorders>
              <w:top w:val="nil"/>
              <w:right w:val="nil"/>
            </w:tcBorders>
          </w:tcPr>
          <w:p w14:paraId="74F44A5C" w14:textId="77777777" w:rsidR="00794AFD" w:rsidRPr="00D13FE8" w:rsidRDefault="00794AFD" w:rsidP="00794AFD">
            <w:pPr>
              <w:ind w:left="-90"/>
              <w:rPr>
                <w:rFonts w:asciiTheme="minorHAnsi" w:hAnsiTheme="minorHAnsi" w:cs="Times New Roman"/>
                <w:b/>
                <w:bCs/>
                <w:sz w:val="20"/>
                <w:szCs w:val="20"/>
              </w:rPr>
            </w:pPr>
            <w:r w:rsidRPr="00D13FE8">
              <w:rPr>
                <w:rFonts w:asciiTheme="minorHAnsi" w:hAnsiTheme="minorHAnsi" w:cs="Times New Roman"/>
                <w:b/>
                <w:bCs/>
                <w:sz w:val="20"/>
                <w:szCs w:val="20"/>
              </w:rPr>
              <w:t>Attributable to:</w:t>
            </w:r>
          </w:p>
        </w:tc>
        <w:tc>
          <w:tcPr>
            <w:tcW w:w="343" w:type="pct"/>
            <w:tcBorders>
              <w:top w:val="nil"/>
              <w:left w:val="nil"/>
            </w:tcBorders>
          </w:tcPr>
          <w:p w14:paraId="5AD5AE2C" w14:textId="77777777" w:rsidR="00794AFD" w:rsidRPr="00D13FE8" w:rsidRDefault="00794AFD" w:rsidP="00794AFD">
            <w:pPr>
              <w:jc w:val="center"/>
              <w:rPr>
                <w:rFonts w:asciiTheme="minorHAnsi" w:hAnsiTheme="minorHAnsi" w:cs="Times New Roman"/>
                <w:sz w:val="20"/>
                <w:szCs w:val="20"/>
              </w:rPr>
            </w:pPr>
          </w:p>
        </w:tc>
        <w:tc>
          <w:tcPr>
            <w:tcW w:w="558" w:type="pct"/>
            <w:tcBorders>
              <w:top w:val="nil"/>
              <w:left w:val="nil"/>
              <w:right w:val="nil"/>
            </w:tcBorders>
          </w:tcPr>
          <w:p w14:paraId="5287A679" w14:textId="77777777" w:rsidR="00794AFD" w:rsidRPr="00D13FE8" w:rsidRDefault="00794AFD" w:rsidP="00794AFD">
            <w:pPr>
              <w:jc w:val="right"/>
              <w:rPr>
                <w:rFonts w:asciiTheme="minorHAnsi" w:hAnsiTheme="minorHAnsi" w:cs="Times New Roman"/>
                <w:b/>
                <w:bCs/>
                <w:sz w:val="20"/>
                <w:szCs w:val="20"/>
              </w:rPr>
            </w:pPr>
          </w:p>
        </w:tc>
        <w:tc>
          <w:tcPr>
            <w:tcW w:w="558" w:type="pct"/>
            <w:tcBorders>
              <w:top w:val="nil"/>
              <w:left w:val="nil"/>
              <w:right w:val="nil"/>
            </w:tcBorders>
          </w:tcPr>
          <w:p w14:paraId="390A5DA7" w14:textId="77777777" w:rsidR="00794AFD" w:rsidRPr="00D13FE8" w:rsidRDefault="00794AFD" w:rsidP="00794AFD">
            <w:pPr>
              <w:jc w:val="right"/>
              <w:rPr>
                <w:rFonts w:asciiTheme="minorHAnsi" w:hAnsiTheme="minorHAnsi" w:cs="Times New Roman"/>
                <w:b/>
                <w:bCs/>
                <w:sz w:val="20"/>
                <w:szCs w:val="20"/>
              </w:rPr>
            </w:pPr>
          </w:p>
        </w:tc>
        <w:tc>
          <w:tcPr>
            <w:tcW w:w="558" w:type="pct"/>
            <w:tcBorders>
              <w:top w:val="nil"/>
              <w:left w:val="nil"/>
              <w:right w:val="nil"/>
            </w:tcBorders>
          </w:tcPr>
          <w:p w14:paraId="5DB7A682" w14:textId="77777777" w:rsidR="00794AFD" w:rsidRPr="00D13FE8" w:rsidRDefault="00794AFD" w:rsidP="00794AFD">
            <w:pPr>
              <w:jc w:val="right"/>
              <w:rPr>
                <w:rFonts w:asciiTheme="minorHAnsi" w:hAnsiTheme="minorHAnsi" w:cs="Times New Roman"/>
                <w:b/>
                <w:bCs/>
                <w:sz w:val="20"/>
                <w:szCs w:val="20"/>
              </w:rPr>
            </w:pPr>
          </w:p>
        </w:tc>
        <w:tc>
          <w:tcPr>
            <w:tcW w:w="558" w:type="pct"/>
            <w:tcBorders>
              <w:top w:val="nil"/>
              <w:left w:val="nil"/>
              <w:right w:val="nil"/>
            </w:tcBorders>
          </w:tcPr>
          <w:p w14:paraId="697BB712" w14:textId="77777777" w:rsidR="00794AFD" w:rsidRPr="00D13FE8" w:rsidRDefault="00794AFD" w:rsidP="00794AFD">
            <w:pPr>
              <w:jc w:val="right"/>
              <w:rPr>
                <w:rFonts w:asciiTheme="minorHAnsi" w:hAnsiTheme="minorHAnsi" w:cs="Times New Roman"/>
                <w:bCs/>
                <w:sz w:val="20"/>
                <w:szCs w:val="20"/>
              </w:rPr>
            </w:pPr>
          </w:p>
        </w:tc>
        <w:tc>
          <w:tcPr>
            <w:tcW w:w="558" w:type="pct"/>
            <w:tcBorders>
              <w:top w:val="nil"/>
              <w:left w:val="nil"/>
              <w:right w:val="nil"/>
            </w:tcBorders>
          </w:tcPr>
          <w:p w14:paraId="4A2B1251" w14:textId="77777777" w:rsidR="00794AFD" w:rsidRPr="00D13FE8" w:rsidRDefault="00794AFD" w:rsidP="00794AFD">
            <w:pPr>
              <w:jc w:val="right"/>
              <w:rPr>
                <w:rFonts w:asciiTheme="minorHAnsi" w:hAnsiTheme="minorHAnsi" w:cs="Times New Roman"/>
                <w:bCs/>
                <w:sz w:val="20"/>
                <w:szCs w:val="20"/>
              </w:rPr>
            </w:pPr>
          </w:p>
        </w:tc>
        <w:tc>
          <w:tcPr>
            <w:tcW w:w="551" w:type="pct"/>
            <w:tcBorders>
              <w:top w:val="nil"/>
              <w:left w:val="nil"/>
              <w:right w:val="nil"/>
            </w:tcBorders>
          </w:tcPr>
          <w:p w14:paraId="716A9307" w14:textId="77777777" w:rsidR="00794AFD" w:rsidRPr="00D13FE8" w:rsidRDefault="00794AFD" w:rsidP="00794AFD">
            <w:pPr>
              <w:jc w:val="right"/>
              <w:rPr>
                <w:rFonts w:asciiTheme="minorHAnsi" w:hAnsiTheme="minorHAnsi" w:cs="Times New Roman"/>
                <w:bCs/>
                <w:sz w:val="20"/>
                <w:szCs w:val="20"/>
              </w:rPr>
            </w:pPr>
          </w:p>
        </w:tc>
      </w:tr>
      <w:tr w:rsidR="00794AFD" w:rsidRPr="00D13FE8" w14:paraId="5DFBE7C3" w14:textId="77777777" w:rsidTr="00794AFD">
        <w:trPr>
          <w:trHeight w:val="196"/>
        </w:trPr>
        <w:tc>
          <w:tcPr>
            <w:tcW w:w="1316" w:type="pct"/>
            <w:tcBorders>
              <w:top w:val="nil"/>
              <w:right w:val="nil"/>
            </w:tcBorders>
          </w:tcPr>
          <w:p w14:paraId="6940E62C" w14:textId="77777777" w:rsidR="00794AFD" w:rsidRPr="00D13FE8" w:rsidRDefault="00794AFD" w:rsidP="00794AFD">
            <w:pPr>
              <w:ind w:left="-90"/>
              <w:rPr>
                <w:rFonts w:asciiTheme="minorHAnsi" w:hAnsiTheme="minorHAnsi" w:cs="Times New Roman"/>
                <w:bCs/>
                <w:sz w:val="20"/>
                <w:szCs w:val="20"/>
              </w:rPr>
            </w:pPr>
            <w:r w:rsidRPr="00D13FE8">
              <w:rPr>
                <w:rFonts w:asciiTheme="minorHAnsi" w:hAnsiTheme="minorHAnsi" w:cs="Times New Roman"/>
                <w:bCs/>
                <w:sz w:val="20"/>
                <w:szCs w:val="20"/>
              </w:rPr>
              <w:t>Equity holders of the Company</w:t>
            </w:r>
          </w:p>
        </w:tc>
        <w:tc>
          <w:tcPr>
            <w:tcW w:w="343" w:type="pct"/>
            <w:tcBorders>
              <w:top w:val="nil"/>
              <w:left w:val="nil"/>
            </w:tcBorders>
          </w:tcPr>
          <w:p w14:paraId="79CB0FA1" w14:textId="77777777" w:rsidR="00794AFD" w:rsidRPr="00D13FE8" w:rsidRDefault="00794AFD" w:rsidP="00794AFD">
            <w:pPr>
              <w:jc w:val="center"/>
              <w:rPr>
                <w:rFonts w:asciiTheme="minorHAnsi" w:hAnsiTheme="minorHAnsi" w:cs="Times New Roman"/>
                <w:sz w:val="20"/>
                <w:szCs w:val="20"/>
              </w:rPr>
            </w:pPr>
          </w:p>
        </w:tc>
        <w:tc>
          <w:tcPr>
            <w:tcW w:w="558" w:type="pct"/>
            <w:tcBorders>
              <w:top w:val="nil"/>
              <w:left w:val="nil"/>
              <w:right w:val="nil"/>
            </w:tcBorders>
          </w:tcPr>
          <w:p w14:paraId="7E239808"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238.4</w:t>
            </w:r>
          </w:p>
        </w:tc>
        <w:tc>
          <w:tcPr>
            <w:tcW w:w="558" w:type="pct"/>
            <w:tcBorders>
              <w:top w:val="nil"/>
              <w:left w:val="nil"/>
              <w:right w:val="nil"/>
            </w:tcBorders>
          </w:tcPr>
          <w:p w14:paraId="368C778C"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(94.4)</w:t>
            </w:r>
          </w:p>
        </w:tc>
        <w:tc>
          <w:tcPr>
            <w:tcW w:w="558" w:type="pct"/>
            <w:tcBorders>
              <w:top w:val="nil"/>
              <w:left w:val="nil"/>
              <w:right w:val="nil"/>
            </w:tcBorders>
          </w:tcPr>
          <w:p w14:paraId="45D30D73"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144.0</w:t>
            </w:r>
          </w:p>
        </w:tc>
        <w:tc>
          <w:tcPr>
            <w:tcW w:w="558" w:type="pct"/>
            <w:tcBorders>
              <w:top w:val="nil"/>
              <w:left w:val="nil"/>
              <w:right w:val="nil"/>
            </w:tcBorders>
          </w:tcPr>
          <w:p w14:paraId="4CB7DB94"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316.1</w:t>
            </w:r>
          </w:p>
        </w:tc>
        <w:tc>
          <w:tcPr>
            <w:tcW w:w="558" w:type="pct"/>
            <w:tcBorders>
              <w:top w:val="nil"/>
              <w:left w:val="nil"/>
              <w:right w:val="nil"/>
            </w:tcBorders>
          </w:tcPr>
          <w:p w14:paraId="446F9EB2"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(114.7)</w:t>
            </w:r>
          </w:p>
        </w:tc>
        <w:tc>
          <w:tcPr>
            <w:tcW w:w="551" w:type="pct"/>
            <w:tcBorders>
              <w:top w:val="nil"/>
              <w:left w:val="nil"/>
              <w:right w:val="nil"/>
            </w:tcBorders>
          </w:tcPr>
          <w:p w14:paraId="0927FC04"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201.4</w:t>
            </w:r>
          </w:p>
        </w:tc>
      </w:tr>
      <w:tr w:rsidR="00794AFD" w:rsidRPr="00D13FE8" w14:paraId="603F8E63" w14:textId="77777777" w:rsidTr="00794AFD">
        <w:trPr>
          <w:trHeight w:val="196"/>
        </w:trPr>
        <w:tc>
          <w:tcPr>
            <w:tcW w:w="1316" w:type="pct"/>
            <w:tcBorders>
              <w:top w:val="nil"/>
              <w:bottom w:val="single" w:sz="4" w:space="0" w:color="auto"/>
              <w:right w:val="nil"/>
            </w:tcBorders>
          </w:tcPr>
          <w:p w14:paraId="23F71A87" w14:textId="77777777" w:rsidR="00794AFD" w:rsidRPr="00D13FE8" w:rsidRDefault="00794AFD" w:rsidP="00794AFD">
            <w:pPr>
              <w:ind w:left="-90"/>
              <w:rPr>
                <w:rFonts w:asciiTheme="minorHAnsi" w:hAnsiTheme="minorHAnsi" w:cs="Times New Roman"/>
                <w:bCs/>
                <w:sz w:val="20"/>
                <w:szCs w:val="20"/>
              </w:rPr>
            </w:pPr>
            <w:r w:rsidRPr="00D13FE8">
              <w:rPr>
                <w:rFonts w:asciiTheme="minorHAnsi" w:hAnsiTheme="minorHAnsi" w:cs="Times New Roman"/>
                <w:bCs/>
                <w:sz w:val="20"/>
                <w:szCs w:val="20"/>
              </w:rPr>
              <w:t>Non-controlling interest</w:t>
            </w:r>
          </w:p>
        </w:tc>
        <w:tc>
          <w:tcPr>
            <w:tcW w:w="343" w:type="pct"/>
            <w:tcBorders>
              <w:top w:val="nil"/>
              <w:left w:val="nil"/>
              <w:bottom w:val="single" w:sz="4" w:space="0" w:color="auto"/>
            </w:tcBorders>
          </w:tcPr>
          <w:p w14:paraId="59C17C17" w14:textId="77777777" w:rsidR="00794AFD" w:rsidRPr="00D13FE8" w:rsidRDefault="00794AFD" w:rsidP="00794AFD">
            <w:pPr>
              <w:jc w:val="center"/>
              <w:rPr>
                <w:rFonts w:asciiTheme="minorHAnsi" w:hAnsiTheme="minorHAnsi" w:cs="Times New Roman"/>
                <w:sz w:val="20"/>
                <w:szCs w:val="20"/>
              </w:rPr>
            </w:pPr>
          </w:p>
        </w:tc>
        <w:tc>
          <w:tcPr>
            <w:tcW w:w="558" w:type="pct"/>
            <w:tcBorders>
              <w:top w:val="nil"/>
              <w:left w:val="nil"/>
              <w:bottom w:val="single" w:sz="4" w:space="0" w:color="auto"/>
              <w:right w:val="nil"/>
            </w:tcBorders>
          </w:tcPr>
          <w:p w14:paraId="6EC27065"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(14.4)</w:t>
            </w:r>
          </w:p>
        </w:tc>
        <w:tc>
          <w:tcPr>
            <w:tcW w:w="558" w:type="pct"/>
            <w:tcBorders>
              <w:top w:val="nil"/>
              <w:left w:val="nil"/>
              <w:bottom w:val="single" w:sz="4" w:space="0" w:color="auto"/>
              <w:right w:val="nil"/>
            </w:tcBorders>
          </w:tcPr>
          <w:p w14:paraId="345EBE11"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(17.7)</w:t>
            </w:r>
          </w:p>
        </w:tc>
        <w:tc>
          <w:tcPr>
            <w:tcW w:w="558" w:type="pct"/>
            <w:tcBorders>
              <w:top w:val="nil"/>
              <w:left w:val="nil"/>
              <w:bottom w:val="single" w:sz="4" w:space="0" w:color="auto"/>
              <w:right w:val="nil"/>
            </w:tcBorders>
          </w:tcPr>
          <w:p w14:paraId="31AE50E4"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(32.1)</w:t>
            </w:r>
          </w:p>
        </w:tc>
        <w:tc>
          <w:tcPr>
            <w:tcW w:w="558" w:type="pct"/>
            <w:tcBorders>
              <w:top w:val="nil"/>
              <w:left w:val="nil"/>
              <w:bottom w:val="single" w:sz="4" w:space="0" w:color="auto"/>
              <w:right w:val="nil"/>
            </w:tcBorders>
          </w:tcPr>
          <w:p w14:paraId="076215F2"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(12.3)</w:t>
            </w:r>
          </w:p>
        </w:tc>
        <w:tc>
          <w:tcPr>
            <w:tcW w:w="558" w:type="pct"/>
            <w:tcBorders>
              <w:top w:val="nil"/>
              <w:left w:val="nil"/>
              <w:bottom w:val="single" w:sz="4" w:space="0" w:color="auto"/>
              <w:right w:val="nil"/>
            </w:tcBorders>
          </w:tcPr>
          <w:p w14:paraId="58F09398"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(8.4)</w:t>
            </w:r>
          </w:p>
        </w:tc>
        <w:tc>
          <w:tcPr>
            <w:tcW w:w="551" w:type="pct"/>
            <w:tcBorders>
              <w:top w:val="nil"/>
              <w:left w:val="nil"/>
              <w:bottom w:val="single" w:sz="4" w:space="0" w:color="auto"/>
              <w:right w:val="nil"/>
            </w:tcBorders>
          </w:tcPr>
          <w:p w14:paraId="205B0E47"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(20.7)</w:t>
            </w:r>
          </w:p>
        </w:tc>
      </w:tr>
      <w:tr w:rsidR="00794AFD" w:rsidRPr="00D13FE8" w14:paraId="3B1EFD02" w14:textId="77777777" w:rsidTr="00794AFD">
        <w:trPr>
          <w:trHeight w:val="196"/>
        </w:trPr>
        <w:tc>
          <w:tcPr>
            <w:tcW w:w="1316" w:type="pct"/>
            <w:tcBorders>
              <w:top w:val="single" w:sz="4" w:space="0" w:color="auto"/>
              <w:bottom w:val="single" w:sz="4" w:space="0" w:color="auto"/>
              <w:right w:val="nil"/>
            </w:tcBorders>
          </w:tcPr>
          <w:p w14:paraId="01464895" w14:textId="77777777" w:rsidR="00794AFD" w:rsidRPr="00D13FE8" w:rsidRDefault="00794AFD" w:rsidP="00794AFD">
            <w:pPr>
              <w:ind w:left="-90"/>
              <w:rPr>
                <w:rFonts w:asciiTheme="minorHAnsi" w:hAnsiTheme="minorHAnsi" w:cs="Times New Roman"/>
                <w:b/>
                <w:bCs/>
                <w:sz w:val="20"/>
                <w:szCs w:val="20"/>
              </w:rPr>
            </w:pPr>
          </w:p>
        </w:tc>
        <w:tc>
          <w:tcPr>
            <w:tcW w:w="343" w:type="pct"/>
            <w:tcBorders>
              <w:top w:val="single" w:sz="4" w:space="0" w:color="auto"/>
              <w:left w:val="nil"/>
              <w:bottom w:val="single" w:sz="4" w:space="0" w:color="auto"/>
            </w:tcBorders>
          </w:tcPr>
          <w:p w14:paraId="005B1CBA" w14:textId="77777777" w:rsidR="00794AFD" w:rsidRPr="00D13FE8" w:rsidRDefault="00794AFD" w:rsidP="00794AFD">
            <w:pPr>
              <w:jc w:val="center"/>
              <w:rPr>
                <w:rFonts w:asciiTheme="minorHAnsi" w:hAnsiTheme="minorHAnsi" w:cs="Times New Roman"/>
                <w:sz w:val="20"/>
                <w:szCs w:val="20"/>
              </w:rPr>
            </w:pPr>
          </w:p>
        </w:tc>
        <w:tc>
          <w:tcPr>
            <w:tcW w:w="558" w:type="pct"/>
            <w:tcBorders>
              <w:top w:val="single" w:sz="4" w:space="0" w:color="auto"/>
              <w:left w:val="nil"/>
              <w:bottom w:val="single" w:sz="4" w:space="0" w:color="auto"/>
              <w:right w:val="nil"/>
            </w:tcBorders>
          </w:tcPr>
          <w:p w14:paraId="4269BF92"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224.0</w:t>
            </w:r>
          </w:p>
        </w:tc>
        <w:tc>
          <w:tcPr>
            <w:tcW w:w="558" w:type="pct"/>
            <w:tcBorders>
              <w:top w:val="single" w:sz="4" w:space="0" w:color="auto"/>
              <w:left w:val="nil"/>
              <w:bottom w:val="single" w:sz="4" w:space="0" w:color="auto"/>
              <w:right w:val="nil"/>
            </w:tcBorders>
          </w:tcPr>
          <w:p w14:paraId="6DE72B9F"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(112.1)</w:t>
            </w:r>
          </w:p>
        </w:tc>
        <w:tc>
          <w:tcPr>
            <w:tcW w:w="558" w:type="pct"/>
            <w:tcBorders>
              <w:top w:val="single" w:sz="4" w:space="0" w:color="auto"/>
              <w:left w:val="nil"/>
              <w:bottom w:val="single" w:sz="4" w:space="0" w:color="auto"/>
              <w:right w:val="nil"/>
            </w:tcBorders>
          </w:tcPr>
          <w:p w14:paraId="5881768F"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111.9</w:t>
            </w:r>
          </w:p>
        </w:tc>
        <w:tc>
          <w:tcPr>
            <w:tcW w:w="558" w:type="pct"/>
            <w:tcBorders>
              <w:top w:val="single" w:sz="4" w:space="0" w:color="auto"/>
              <w:left w:val="nil"/>
              <w:bottom w:val="single" w:sz="4" w:space="0" w:color="auto"/>
              <w:right w:val="nil"/>
            </w:tcBorders>
          </w:tcPr>
          <w:p w14:paraId="79AE3944"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303.8</w:t>
            </w:r>
          </w:p>
        </w:tc>
        <w:tc>
          <w:tcPr>
            <w:tcW w:w="558" w:type="pct"/>
            <w:tcBorders>
              <w:top w:val="single" w:sz="4" w:space="0" w:color="auto"/>
              <w:left w:val="nil"/>
              <w:bottom w:val="single" w:sz="4" w:space="0" w:color="auto"/>
              <w:right w:val="nil"/>
            </w:tcBorders>
          </w:tcPr>
          <w:p w14:paraId="2BD7E66E"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(123.1)</w:t>
            </w:r>
          </w:p>
        </w:tc>
        <w:tc>
          <w:tcPr>
            <w:tcW w:w="551" w:type="pct"/>
            <w:tcBorders>
              <w:top w:val="single" w:sz="4" w:space="0" w:color="auto"/>
              <w:left w:val="nil"/>
              <w:bottom w:val="single" w:sz="4" w:space="0" w:color="auto"/>
              <w:right w:val="nil"/>
            </w:tcBorders>
          </w:tcPr>
          <w:p w14:paraId="14AFE633"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180.7</w:t>
            </w:r>
          </w:p>
        </w:tc>
      </w:tr>
      <w:bookmarkEnd w:id="15"/>
      <w:tr w:rsidR="00794AFD" w:rsidRPr="00D13FE8" w14:paraId="498CB419" w14:textId="77777777" w:rsidTr="00794AFD">
        <w:trPr>
          <w:trHeight w:val="196"/>
        </w:trPr>
        <w:tc>
          <w:tcPr>
            <w:tcW w:w="1316" w:type="pct"/>
            <w:tcBorders>
              <w:top w:val="single" w:sz="4" w:space="0" w:color="auto"/>
              <w:right w:val="nil"/>
            </w:tcBorders>
          </w:tcPr>
          <w:p w14:paraId="2EDCFE55" w14:textId="77777777" w:rsidR="00794AFD" w:rsidRPr="00D13FE8" w:rsidRDefault="00794AFD" w:rsidP="00794AFD">
            <w:pPr>
              <w:ind w:left="-90"/>
              <w:rPr>
                <w:rFonts w:asciiTheme="minorHAnsi" w:hAnsiTheme="minorHAnsi" w:cs="Times New Roman"/>
                <w:b/>
                <w:bCs/>
                <w:sz w:val="20"/>
                <w:szCs w:val="20"/>
              </w:rPr>
            </w:pPr>
          </w:p>
        </w:tc>
        <w:tc>
          <w:tcPr>
            <w:tcW w:w="343" w:type="pct"/>
            <w:tcBorders>
              <w:top w:val="single" w:sz="4" w:space="0" w:color="auto"/>
              <w:left w:val="nil"/>
            </w:tcBorders>
          </w:tcPr>
          <w:p w14:paraId="6F15DD17" w14:textId="77777777" w:rsidR="00794AFD" w:rsidRPr="00D13FE8" w:rsidRDefault="00794AFD" w:rsidP="00794AFD">
            <w:pPr>
              <w:jc w:val="center"/>
              <w:rPr>
                <w:rFonts w:asciiTheme="minorHAnsi" w:hAnsiTheme="minorHAnsi" w:cs="Times New Roman"/>
                <w:sz w:val="20"/>
                <w:szCs w:val="20"/>
              </w:rPr>
            </w:pPr>
          </w:p>
        </w:tc>
        <w:tc>
          <w:tcPr>
            <w:tcW w:w="558" w:type="pct"/>
            <w:tcBorders>
              <w:top w:val="single" w:sz="4" w:space="0" w:color="auto"/>
              <w:left w:val="nil"/>
              <w:right w:val="nil"/>
            </w:tcBorders>
          </w:tcPr>
          <w:p w14:paraId="34CFAFDF" w14:textId="77777777" w:rsidR="00794AFD" w:rsidRPr="000944E4" w:rsidRDefault="00794AFD" w:rsidP="00794AFD">
            <w:pPr>
              <w:jc w:val="right"/>
              <w:rPr>
                <w:rFonts w:asciiTheme="minorHAnsi" w:hAnsiTheme="minorHAnsi" w:cs="Times New Roman"/>
                <w:b/>
                <w:bCs/>
                <w:sz w:val="20"/>
                <w:szCs w:val="20"/>
              </w:rPr>
            </w:pPr>
          </w:p>
        </w:tc>
        <w:tc>
          <w:tcPr>
            <w:tcW w:w="558" w:type="pct"/>
            <w:tcBorders>
              <w:top w:val="single" w:sz="4" w:space="0" w:color="auto"/>
              <w:left w:val="nil"/>
              <w:right w:val="nil"/>
            </w:tcBorders>
          </w:tcPr>
          <w:p w14:paraId="1E9AC2E0" w14:textId="77777777" w:rsidR="00794AFD" w:rsidRPr="000944E4" w:rsidRDefault="00794AFD" w:rsidP="00794AFD">
            <w:pPr>
              <w:jc w:val="right"/>
              <w:rPr>
                <w:rFonts w:asciiTheme="minorHAnsi" w:hAnsiTheme="minorHAnsi" w:cs="Times New Roman"/>
                <w:b/>
                <w:bCs/>
                <w:sz w:val="20"/>
                <w:szCs w:val="20"/>
              </w:rPr>
            </w:pPr>
          </w:p>
        </w:tc>
        <w:tc>
          <w:tcPr>
            <w:tcW w:w="558" w:type="pct"/>
            <w:tcBorders>
              <w:top w:val="single" w:sz="4" w:space="0" w:color="auto"/>
              <w:left w:val="nil"/>
              <w:right w:val="nil"/>
            </w:tcBorders>
          </w:tcPr>
          <w:p w14:paraId="3232BC14" w14:textId="77777777" w:rsidR="00794AFD" w:rsidRPr="000944E4" w:rsidRDefault="00794AFD" w:rsidP="00794AFD">
            <w:pPr>
              <w:jc w:val="right"/>
              <w:rPr>
                <w:rFonts w:asciiTheme="minorHAnsi" w:hAnsiTheme="minorHAnsi" w:cs="Times New Roman"/>
                <w:b/>
                <w:bCs/>
                <w:sz w:val="20"/>
                <w:szCs w:val="20"/>
              </w:rPr>
            </w:pPr>
          </w:p>
        </w:tc>
        <w:tc>
          <w:tcPr>
            <w:tcW w:w="558" w:type="pct"/>
            <w:tcBorders>
              <w:top w:val="single" w:sz="4" w:space="0" w:color="auto"/>
              <w:left w:val="nil"/>
              <w:right w:val="nil"/>
            </w:tcBorders>
          </w:tcPr>
          <w:p w14:paraId="5F6627A7" w14:textId="77777777" w:rsidR="00794AFD" w:rsidRPr="003A5032" w:rsidRDefault="00794AFD" w:rsidP="00794AFD">
            <w:pPr>
              <w:jc w:val="right"/>
              <w:rPr>
                <w:rFonts w:asciiTheme="minorHAnsi" w:hAnsiTheme="minorHAnsi" w:cs="Times New Roman"/>
                <w:bCs/>
                <w:sz w:val="20"/>
                <w:szCs w:val="20"/>
              </w:rPr>
            </w:pPr>
          </w:p>
        </w:tc>
        <w:tc>
          <w:tcPr>
            <w:tcW w:w="558" w:type="pct"/>
            <w:tcBorders>
              <w:top w:val="single" w:sz="4" w:space="0" w:color="auto"/>
              <w:left w:val="nil"/>
              <w:right w:val="nil"/>
            </w:tcBorders>
          </w:tcPr>
          <w:p w14:paraId="6D0C0A15" w14:textId="77777777" w:rsidR="00794AFD" w:rsidRPr="00D13FE8" w:rsidRDefault="00794AFD" w:rsidP="00794AFD">
            <w:pPr>
              <w:jc w:val="right"/>
              <w:rPr>
                <w:rFonts w:asciiTheme="minorHAnsi" w:hAnsiTheme="minorHAnsi" w:cs="Times New Roman"/>
                <w:bCs/>
                <w:sz w:val="20"/>
                <w:szCs w:val="20"/>
              </w:rPr>
            </w:pPr>
          </w:p>
        </w:tc>
        <w:tc>
          <w:tcPr>
            <w:tcW w:w="551" w:type="pct"/>
            <w:tcBorders>
              <w:top w:val="single" w:sz="4" w:space="0" w:color="auto"/>
              <w:left w:val="nil"/>
              <w:right w:val="nil"/>
            </w:tcBorders>
          </w:tcPr>
          <w:p w14:paraId="01EBAE5C" w14:textId="77777777" w:rsidR="00794AFD" w:rsidRPr="00D13FE8" w:rsidRDefault="00794AFD" w:rsidP="00794AFD">
            <w:pPr>
              <w:jc w:val="right"/>
              <w:rPr>
                <w:rFonts w:asciiTheme="minorHAnsi" w:hAnsiTheme="minorHAnsi" w:cs="Times New Roman"/>
                <w:bCs/>
                <w:sz w:val="20"/>
                <w:szCs w:val="20"/>
              </w:rPr>
            </w:pPr>
          </w:p>
        </w:tc>
      </w:tr>
      <w:tr w:rsidR="00794AFD" w:rsidRPr="00D13FE8" w14:paraId="75F565FA" w14:textId="77777777" w:rsidTr="00794AFD">
        <w:trPr>
          <w:trHeight w:val="196"/>
        </w:trPr>
        <w:tc>
          <w:tcPr>
            <w:tcW w:w="1316" w:type="pct"/>
            <w:tcBorders>
              <w:top w:val="nil"/>
              <w:right w:val="nil"/>
            </w:tcBorders>
          </w:tcPr>
          <w:p w14:paraId="35E5F129" w14:textId="77777777" w:rsidR="00794AFD" w:rsidRPr="00D13FE8" w:rsidRDefault="00794AFD" w:rsidP="00794AFD">
            <w:pPr>
              <w:ind w:left="-90"/>
              <w:rPr>
                <w:rFonts w:asciiTheme="minorHAnsi" w:hAnsiTheme="minorHAnsi" w:cs="Times New Roman"/>
                <w:b/>
                <w:bCs/>
                <w:sz w:val="20"/>
                <w:szCs w:val="20"/>
              </w:rPr>
            </w:pPr>
            <w:r w:rsidRPr="00D13FE8">
              <w:rPr>
                <w:rFonts w:asciiTheme="minorHAnsi" w:hAnsiTheme="minorHAnsi" w:cs="Times New Roman"/>
                <w:b/>
                <w:bCs/>
                <w:sz w:val="20"/>
                <w:szCs w:val="20"/>
              </w:rPr>
              <w:t>Earnings per share</w:t>
            </w:r>
          </w:p>
        </w:tc>
        <w:tc>
          <w:tcPr>
            <w:tcW w:w="343" w:type="pct"/>
            <w:tcBorders>
              <w:top w:val="nil"/>
              <w:left w:val="nil"/>
            </w:tcBorders>
          </w:tcPr>
          <w:p w14:paraId="516186B6" w14:textId="77777777" w:rsidR="00794AFD" w:rsidRPr="00D13FE8" w:rsidRDefault="00794AFD" w:rsidP="00794AFD">
            <w:pPr>
              <w:jc w:val="center"/>
              <w:rPr>
                <w:rFonts w:asciiTheme="minorHAnsi" w:hAnsiTheme="minorHAnsi" w:cs="Times New Roman"/>
                <w:sz w:val="20"/>
                <w:szCs w:val="20"/>
              </w:rPr>
            </w:pPr>
          </w:p>
        </w:tc>
        <w:tc>
          <w:tcPr>
            <w:tcW w:w="558" w:type="pct"/>
            <w:tcBorders>
              <w:top w:val="nil"/>
              <w:left w:val="nil"/>
              <w:right w:val="nil"/>
            </w:tcBorders>
          </w:tcPr>
          <w:p w14:paraId="2579E5A3" w14:textId="77777777" w:rsidR="00794AFD" w:rsidRPr="000944E4" w:rsidRDefault="00794AFD" w:rsidP="00794AFD">
            <w:pPr>
              <w:jc w:val="right"/>
              <w:rPr>
                <w:rFonts w:asciiTheme="minorHAnsi" w:hAnsiTheme="minorHAnsi" w:cs="Times New Roman"/>
                <w:b/>
                <w:bCs/>
                <w:sz w:val="20"/>
                <w:szCs w:val="20"/>
              </w:rPr>
            </w:pPr>
          </w:p>
        </w:tc>
        <w:tc>
          <w:tcPr>
            <w:tcW w:w="558" w:type="pct"/>
            <w:tcBorders>
              <w:top w:val="nil"/>
              <w:left w:val="nil"/>
              <w:right w:val="nil"/>
            </w:tcBorders>
          </w:tcPr>
          <w:p w14:paraId="506B58CF" w14:textId="77777777" w:rsidR="00794AFD" w:rsidRPr="000944E4" w:rsidRDefault="00794AFD" w:rsidP="00794AFD">
            <w:pPr>
              <w:jc w:val="right"/>
              <w:rPr>
                <w:rFonts w:asciiTheme="minorHAnsi" w:hAnsiTheme="minorHAnsi" w:cs="Times New Roman"/>
                <w:b/>
                <w:bCs/>
                <w:sz w:val="20"/>
                <w:szCs w:val="20"/>
              </w:rPr>
            </w:pPr>
          </w:p>
        </w:tc>
        <w:tc>
          <w:tcPr>
            <w:tcW w:w="558" w:type="pct"/>
            <w:tcBorders>
              <w:top w:val="nil"/>
              <w:left w:val="nil"/>
              <w:right w:val="nil"/>
            </w:tcBorders>
          </w:tcPr>
          <w:p w14:paraId="413AD8B0" w14:textId="77777777" w:rsidR="00794AFD" w:rsidRPr="000944E4" w:rsidRDefault="00794AFD" w:rsidP="00794AFD">
            <w:pPr>
              <w:jc w:val="right"/>
              <w:rPr>
                <w:rFonts w:asciiTheme="minorHAnsi" w:hAnsiTheme="minorHAnsi" w:cs="Times New Roman"/>
                <w:b/>
                <w:bCs/>
                <w:sz w:val="20"/>
                <w:szCs w:val="20"/>
              </w:rPr>
            </w:pPr>
          </w:p>
        </w:tc>
        <w:tc>
          <w:tcPr>
            <w:tcW w:w="558" w:type="pct"/>
            <w:tcBorders>
              <w:top w:val="nil"/>
              <w:left w:val="nil"/>
              <w:right w:val="nil"/>
            </w:tcBorders>
          </w:tcPr>
          <w:p w14:paraId="0997A977" w14:textId="77777777" w:rsidR="00794AFD" w:rsidRPr="003A5032" w:rsidRDefault="00794AFD" w:rsidP="00794AFD">
            <w:pPr>
              <w:jc w:val="right"/>
              <w:rPr>
                <w:rFonts w:asciiTheme="minorHAnsi" w:hAnsiTheme="minorHAnsi" w:cs="Times New Roman"/>
                <w:bCs/>
                <w:sz w:val="20"/>
                <w:szCs w:val="20"/>
              </w:rPr>
            </w:pPr>
          </w:p>
        </w:tc>
        <w:tc>
          <w:tcPr>
            <w:tcW w:w="558" w:type="pct"/>
            <w:tcBorders>
              <w:top w:val="nil"/>
              <w:left w:val="nil"/>
              <w:right w:val="nil"/>
            </w:tcBorders>
          </w:tcPr>
          <w:p w14:paraId="1A4CDF53" w14:textId="77777777" w:rsidR="00794AFD" w:rsidRPr="00D13FE8" w:rsidRDefault="00794AFD" w:rsidP="00794AFD">
            <w:pPr>
              <w:jc w:val="right"/>
              <w:rPr>
                <w:rFonts w:asciiTheme="minorHAnsi" w:hAnsiTheme="minorHAnsi" w:cs="Times New Roman"/>
                <w:bCs/>
                <w:sz w:val="20"/>
                <w:szCs w:val="20"/>
              </w:rPr>
            </w:pPr>
          </w:p>
        </w:tc>
        <w:tc>
          <w:tcPr>
            <w:tcW w:w="551" w:type="pct"/>
            <w:tcBorders>
              <w:top w:val="nil"/>
              <w:left w:val="nil"/>
              <w:right w:val="nil"/>
            </w:tcBorders>
          </w:tcPr>
          <w:p w14:paraId="12202342" w14:textId="77777777" w:rsidR="00794AFD" w:rsidRPr="00D13FE8" w:rsidRDefault="00794AFD" w:rsidP="00794AFD">
            <w:pPr>
              <w:jc w:val="right"/>
              <w:rPr>
                <w:rFonts w:asciiTheme="minorHAnsi" w:hAnsiTheme="minorHAnsi" w:cs="Times New Roman"/>
                <w:bCs/>
                <w:sz w:val="20"/>
                <w:szCs w:val="20"/>
              </w:rPr>
            </w:pPr>
          </w:p>
        </w:tc>
      </w:tr>
      <w:tr w:rsidR="00794AFD" w:rsidRPr="00D13FE8" w14:paraId="79B027F6" w14:textId="77777777" w:rsidTr="00794AFD">
        <w:trPr>
          <w:trHeight w:val="211"/>
        </w:trPr>
        <w:tc>
          <w:tcPr>
            <w:tcW w:w="1316" w:type="pct"/>
            <w:tcBorders>
              <w:top w:val="nil"/>
              <w:right w:val="nil"/>
            </w:tcBorders>
          </w:tcPr>
          <w:p w14:paraId="62562134" w14:textId="77777777" w:rsidR="00794AFD" w:rsidRPr="00D13FE8" w:rsidRDefault="00794AFD" w:rsidP="00794AFD">
            <w:pPr>
              <w:ind w:left="-90"/>
              <w:rPr>
                <w:rFonts w:asciiTheme="minorHAnsi" w:hAnsiTheme="minorHAnsi" w:cs="Times New Roman"/>
                <w:sz w:val="20"/>
                <w:szCs w:val="20"/>
              </w:rPr>
            </w:pPr>
            <w:r w:rsidRPr="00D13FE8">
              <w:rPr>
                <w:rFonts w:asciiTheme="minorHAnsi" w:hAnsiTheme="minorHAnsi" w:cs="Times New Roman"/>
                <w:sz w:val="20"/>
                <w:szCs w:val="20"/>
              </w:rPr>
              <w:t>Basic</w:t>
            </w:r>
          </w:p>
        </w:tc>
        <w:tc>
          <w:tcPr>
            <w:tcW w:w="343" w:type="pct"/>
            <w:tcBorders>
              <w:top w:val="nil"/>
              <w:left w:val="nil"/>
            </w:tcBorders>
          </w:tcPr>
          <w:p w14:paraId="1D44AB9F" w14:textId="77777777" w:rsidR="00794AFD" w:rsidRPr="00D13FE8" w:rsidRDefault="00794AFD" w:rsidP="00794AFD">
            <w:pPr>
              <w:jc w:val="center"/>
              <w:rPr>
                <w:rFonts w:asciiTheme="minorHAnsi" w:hAnsiTheme="minorHAnsi" w:cs="Times New Roman"/>
                <w:iCs/>
                <w:sz w:val="20"/>
                <w:szCs w:val="20"/>
              </w:rPr>
            </w:pPr>
            <w:r>
              <w:rPr>
                <w:rFonts w:asciiTheme="minorHAnsi" w:hAnsiTheme="minorHAnsi" w:cs="Times New Roman"/>
                <w:iCs/>
                <w:sz w:val="20"/>
                <w:szCs w:val="20"/>
              </w:rPr>
              <w:t>6</w:t>
            </w:r>
          </w:p>
        </w:tc>
        <w:tc>
          <w:tcPr>
            <w:tcW w:w="558" w:type="pct"/>
            <w:tcBorders>
              <w:top w:val="nil"/>
              <w:left w:val="nil"/>
              <w:right w:val="nil"/>
            </w:tcBorders>
          </w:tcPr>
          <w:p w14:paraId="6E78C388" w14:textId="77777777" w:rsidR="00794AFD" w:rsidRPr="000944E4" w:rsidRDefault="00794AFD" w:rsidP="00794AFD">
            <w:pPr>
              <w:jc w:val="right"/>
              <w:rPr>
                <w:rFonts w:asciiTheme="minorHAnsi" w:hAnsiTheme="minorHAnsi" w:cs="Times New Roman"/>
                <w:b/>
                <w:sz w:val="20"/>
                <w:szCs w:val="20"/>
              </w:rPr>
            </w:pPr>
          </w:p>
        </w:tc>
        <w:tc>
          <w:tcPr>
            <w:tcW w:w="558" w:type="pct"/>
            <w:tcBorders>
              <w:top w:val="nil"/>
              <w:left w:val="nil"/>
              <w:right w:val="nil"/>
            </w:tcBorders>
          </w:tcPr>
          <w:p w14:paraId="29F23144" w14:textId="77777777" w:rsidR="00794AFD" w:rsidRPr="000944E4" w:rsidRDefault="00794AFD" w:rsidP="00794AFD">
            <w:pPr>
              <w:jc w:val="right"/>
              <w:rPr>
                <w:rFonts w:asciiTheme="minorHAnsi" w:hAnsiTheme="minorHAnsi" w:cs="Times New Roman"/>
                <w:b/>
                <w:sz w:val="20"/>
                <w:szCs w:val="20"/>
              </w:rPr>
            </w:pPr>
          </w:p>
        </w:tc>
        <w:tc>
          <w:tcPr>
            <w:tcW w:w="558" w:type="pct"/>
            <w:tcBorders>
              <w:top w:val="nil"/>
              <w:left w:val="nil"/>
              <w:right w:val="nil"/>
            </w:tcBorders>
          </w:tcPr>
          <w:p w14:paraId="4B58D718" w14:textId="77777777" w:rsidR="00794AFD" w:rsidRPr="000944E4" w:rsidRDefault="00794AFD" w:rsidP="00794AFD">
            <w:pPr>
              <w:jc w:val="right"/>
              <w:rPr>
                <w:rFonts w:asciiTheme="minorHAnsi" w:hAnsiTheme="minorHAnsi" w:cs="Times New Roman"/>
                <w:b/>
                <w:sz w:val="20"/>
                <w:szCs w:val="20"/>
              </w:rPr>
            </w:pPr>
            <w:r w:rsidRPr="003A5032">
              <w:rPr>
                <w:rFonts w:asciiTheme="minorHAnsi" w:hAnsiTheme="minorHAnsi" w:cs="Times New Roman"/>
                <w:b/>
                <w:sz w:val="20"/>
                <w:szCs w:val="20"/>
              </w:rPr>
              <w:t>£1.8</w:t>
            </w:r>
            <w:r w:rsidRPr="00D13FE8">
              <w:rPr>
                <w:rFonts w:asciiTheme="minorHAnsi" w:hAnsiTheme="minorHAnsi" w:cs="Times New Roman"/>
                <w:b/>
                <w:sz w:val="20"/>
                <w:szCs w:val="20"/>
              </w:rPr>
              <w:t>32</w:t>
            </w:r>
          </w:p>
        </w:tc>
        <w:tc>
          <w:tcPr>
            <w:tcW w:w="558" w:type="pct"/>
            <w:tcBorders>
              <w:top w:val="nil"/>
              <w:left w:val="nil"/>
              <w:right w:val="nil"/>
            </w:tcBorders>
          </w:tcPr>
          <w:p w14:paraId="2A4081F2" w14:textId="77777777" w:rsidR="00794AFD" w:rsidRPr="003A5032" w:rsidRDefault="00794AFD" w:rsidP="00794AFD">
            <w:pPr>
              <w:jc w:val="right"/>
              <w:rPr>
                <w:rFonts w:asciiTheme="minorHAnsi" w:hAnsiTheme="minorHAnsi" w:cs="Times New Roman"/>
                <w:sz w:val="20"/>
                <w:szCs w:val="20"/>
              </w:rPr>
            </w:pPr>
          </w:p>
        </w:tc>
        <w:tc>
          <w:tcPr>
            <w:tcW w:w="558" w:type="pct"/>
            <w:tcBorders>
              <w:top w:val="nil"/>
              <w:left w:val="nil"/>
              <w:right w:val="nil"/>
            </w:tcBorders>
          </w:tcPr>
          <w:p w14:paraId="07C5ECAC" w14:textId="77777777" w:rsidR="00794AFD" w:rsidRPr="00D13FE8" w:rsidRDefault="00794AFD" w:rsidP="00794AFD">
            <w:pPr>
              <w:jc w:val="right"/>
              <w:rPr>
                <w:rFonts w:asciiTheme="minorHAnsi" w:hAnsiTheme="minorHAnsi" w:cs="Times New Roman"/>
                <w:sz w:val="20"/>
                <w:szCs w:val="20"/>
              </w:rPr>
            </w:pPr>
          </w:p>
        </w:tc>
        <w:tc>
          <w:tcPr>
            <w:tcW w:w="551" w:type="pct"/>
            <w:tcBorders>
              <w:top w:val="nil"/>
              <w:left w:val="nil"/>
              <w:right w:val="nil"/>
            </w:tcBorders>
          </w:tcPr>
          <w:p w14:paraId="4F152819" w14:textId="77777777" w:rsidR="00794AFD" w:rsidRPr="00D13FE8" w:rsidRDefault="00794AFD" w:rsidP="00794AFD">
            <w:pPr>
              <w:jc w:val="right"/>
              <w:rPr>
                <w:rFonts w:asciiTheme="minorHAnsi" w:hAnsiTheme="minorHAnsi" w:cs="Times New Roman"/>
                <w:sz w:val="20"/>
                <w:szCs w:val="20"/>
              </w:rPr>
            </w:pPr>
            <w:r w:rsidRPr="00D13FE8">
              <w:rPr>
                <w:rFonts w:asciiTheme="minorHAnsi" w:hAnsiTheme="minorHAnsi" w:cs="Times New Roman"/>
                <w:sz w:val="20"/>
                <w:szCs w:val="20"/>
              </w:rPr>
              <w:t>£2.417</w:t>
            </w:r>
          </w:p>
        </w:tc>
      </w:tr>
      <w:tr w:rsidR="00794AFD" w:rsidRPr="00D13FE8" w14:paraId="7CE4ACF4" w14:textId="77777777" w:rsidTr="00794AFD">
        <w:trPr>
          <w:trHeight w:val="211"/>
        </w:trPr>
        <w:tc>
          <w:tcPr>
            <w:tcW w:w="1316" w:type="pct"/>
            <w:tcBorders>
              <w:top w:val="nil"/>
              <w:bottom w:val="single" w:sz="4" w:space="0" w:color="auto"/>
              <w:right w:val="nil"/>
            </w:tcBorders>
          </w:tcPr>
          <w:p w14:paraId="75FA033F" w14:textId="77777777" w:rsidR="00794AFD" w:rsidRPr="00D13FE8" w:rsidRDefault="00794AFD" w:rsidP="00794AFD">
            <w:pPr>
              <w:ind w:left="-90"/>
              <w:rPr>
                <w:rFonts w:asciiTheme="minorHAnsi" w:hAnsiTheme="minorHAnsi" w:cs="Times New Roman"/>
                <w:sz w:val="20"/>
                <w:szCs w:val="20"/>
              </w:rPr>
            </w:pPr>
            <w:r w:rsidRPr="00D13FE8">
              <w:rPr>
                <w:rFonts w:asciiTheme="minorHAnsi" w:hAnsiTheme="minorHAnsi" w:cs="Times New Roman"/>
                <w:sz w:val="20"/>
                <w:szCs w:val="20"/>
              </w:rPr>
              <w:t xml:space="preserve">Diluted </w:t>
            </w:r>
          </w:p>
        </w:tc>
        <w:tc>
          <w:tcPr>
            <w:tcW w:w="343" w:type="pct"/>
            <w:tcBorders>
              <w:top w:val="nil"/>
              <w:left w:val="nil"/>
              <w:bottom w:val="single" w:sz="4" w:space="0" w:color="auto"/>
            </w:tcBorders>
          </w:tcPr>
          <w:p w14:paraId="135B83E5" w14:textId="77777777" w:rsidR="00794AFD" w:rsidRPr="00D13FE8" w:rsidRDefault="00794AFD" w:rsidP="00794AFD">
            <w:pPr>
              <w:jc w:val="center"/>
              <w:rPr>
                <w:rFonts w:asciiTheme="minorHAnsi" w:hAnsiTheme="minorHAnsi" w:cs="Times New Roman"/>
                <w:iCs/>
                <w:sz w:val="20"/>
                <w:szCs w:val="20"/>
              </w:rPr>
            </w:pPr>
            <w:r>
              <w:rPr>
                <w:rFonts w:asciiTheme="minorHAnsi" w:hAnsiTheme="minorHAnsi" w:cs="Times New Roman"/>
                <w:iCs/>
                <w:sz w:val="20"/>
                <w:szCs w:val="20"/>
              </w:rPr>
              <w:t>6</w:t>
            </w:r>
          </w:p>
        </w:tc>
        <w:tc>
          <w:tcPr>
            <w:tcW w:w="558" w:type="pct"/>
            <w:tcBorders>
              <w:top w:val="nil"/>
              <w:left w:val="nil"/>
              <w:bottom w:val="single" w:sz="4" w:space="0" w:color="auto"/>
              <w:right w:val="nil"/>
            </w:tcBorders>
          </w:tcPr>
          <w:p w14:paraId="38DFB358" w14:textId="77777777" w:rsidR="00794AFD" w:rsidRPr="000944E4" w:rsidRDefault="00794AFD" w:rsidP="00794AFD">
            <w:pPr>
              <w:jc w:val="right"/>
              <w:rPr>
                <w:rFonts w:asciiTheme="minorHAnsi" w:hAnsiTheme="minorHAnsi" w:cs="Times New Roman"/>
                <w:b/>
                <w:sz w:val="20"/>
                <w:szCs w:val="20"/>
              </w:rPr>
            </w:pPr>
          </w:p>
        </w:tc>
        <w:tc>
          <w:tcPr>
            <w:tcW w:w="558" w:type="pct"/>
            <w:tcBorders>
              <w:top w:val="nil"/>
              <w:left w:val="nil"/>
              <w:bottom w:val="single" w:sz="4" w:space="0" w:color="auto"/>
              <w:right w:val="nil"/>
            </w:tcBorders>
          </w:tcPr>
          <w:p w14:paraId="78F017EC" w14:textId="77777777" w:rsidR="00794AFD" w:rsidRPr="000944E4" w:rsidRDefault="00794AFD" w:rsidP="00794AFD">
            <w:pPr>
              <w:jc w:val="right"/>
              <w:rPr>
                <w:rFonts w:asciiTheme="minorHAnsi" w:hAnsiTheme="minorHAnsi" w:cs="Times New Roman"/>
                <w:b/>
                <w:sz w:val="20"/>
                <w:szCs w:val="20"/>
              </w:rPr>
            </w:pPr>
          </w:p>
        </w:tc>
        <w:tc>
          <w:tcPr>
            <w:tcW w:w="558" w:type="pct"/>
            <w:tcBorders>
              <w:top w:val="nil"/>
              <w:left w:val="nil"/>
              <w:bottom w:val="single" w:sz="4" w:space="0" w:color="auto"/>
              <w:right w:val="nil"/>
            </w:tcBorders>
          </w:tcPr>
          <w:p w14:paraId="2DD2BA96" w14:textId="77777777" w:rsidR="00794AFD" w:rsidRPr="00D13FE8" w:rsidRDefault="00794AFD" w:rsidP="00794AFD">
            <w:pPr>
              <w:jc w:val="right"/>
              <w:rPr>
                <w:rFonts w:asciiTheme="minorHAnsi" w:hAnsiTheme="minorHAnsi" w:cs="Times New Roman"/>
                <w:b/>
                <w:sz w:val="20"/>
                <w:szCs w:val="20"/>
              </w:rPr>
            </w:pPr>
            <w:r w:rsidRPr="003A5032">
              <w:rPr>
                <w:rFonts w:asciiTheme="minorHAnsi" w:hAnsiTheme="minorHAnsi" w:cs="Times New Roman"/>
                <w:b/>
                <w:sz w:val="20"/>
                <w:szCs w:val="20"/>
              </w:rPr>
              <w:t>£1.822</w:t>
            </w:r>
          </w:p>
        </w:tc>
        <w:tc>
          <w:tcPr>
            <w:tcW w:w="558" w:type="pct"/>
            <w:tcBorders>
              <w:top w:val="nil"/>
              <w:left w:val="nil"/>
              <w:bottom w:val="single" w:sz="4" w:space="0" w:color="auto"/>
              <w:right w:val="nil"/>
            </w:tcBorders>
          </w:tcPr>
          <w:p w14:paraId="084CDE18" w14:textId="77777777" w:rsidR="00794AFD" w:rsidRPr="00D13FE8" w:rsidRDefault="00794AFD" w:rsidP="00794AFD">
            <w:pPr>
              <w:jc w:val="right"/>
              <w:rPr>
                <w:rFonts w:asciiTheme="minorHAnsi" w:hAnsiTheme="minorHAnsi" w:cs="Times New Roman"/>
                <w:sz w:val="20"/>
                <w:szCs w:val="20"/>
              </w:rPr>
            </w:pPr>
          </w:p>
        </w:tc>
        <w:tc>
          <w:tcPr>
            <w:tcW w:w="558" w:type="pct"/>
            <w:tcBorders>
              <w:top w:val="nil"/>
              <w:left w:val="nil"/>
              <w:bottom w:val="single" w:sz="4" w:space="0" w:color="auto"/>
              <w:right w:val="nil"/>
            </w:tcBorders>
          </w:tcPr>
          <w:p w14:paraId="07F0EAC8" w14:textId="77777777" w:rsidR="00794AFD" w:rsidRPr="00D13FE8" w:rsidRDefault="00794AFD" w:rsidP="00794AFD">
            <w:pPr>
              <w:jc w:val="right"/>
              <w:rPr>
                <w:rFonts w:asciiTheme="minorHAnsi" w:hAnsiTheme="minorHAnsi" w:cs="Times New Roman"/>
                <w:sz w:val="20"/>
                <w:szCs w:val="20"/>
              </w:rPr>
            </w:pPr>
          </w:p>
        </w:tc>
        <w:tc>
          <w:tcPr>
            <w:tcW w:w="551" w:type="pct"/>
            <w:tcBorders>
              <w:top w:val="nil"/>
              <w:left w:val="nil"/>
              <w:bottom w:val="single" w:sz="4" w:space="0" w:color="auto"/>
              <w:right w:val="nil"/>
            </w:tcBorders>
          </w:tcPr>
          <w:p w14:paraId="406BA6A4" w14:textId="77777777" w:rsidR="00794AFD" w:rsidRPr="00D13FE8" w:rsidRDefault="00794AFD" w:rsidP="00794AFD">
            <w:pPr>
              <w:jc w:val="right"/>
              <w:rPr>
                <w:rFonts w:asciiTheme="minorHAnsi" w:hAnsiTheme="minorHAnsi" w:cs="Times New Roman"/>
                <w:sz w:val="20"/>
                <w:szCs w:val="20"/>
              </w:rPr>
            </w:pPr>
            <w:r w:rsidRPr="00D13FE8">
              <w:rPr>
                <w:rFonts w:asciiTheme="minorHAnsi" w:hAnsiTheme="minorHAnsi" w:cs="Times New Roman"/>
                <w:sz w:val="20"/>
                <w:szCs w:val="20"/>
              </w:rPr>
              <w:t>£2.404</w:t>
            </w:r>
          </w:p>
        </w:tc>
      </w:tr>
    </w:tbl>
    <w:p w14:paraId="6BCC0280" w14:textId="77777777" w:rsidR="00794AFD" w:rsidRPr="00D13FE8" w:rsidRDefault="00794AFD" w:rsidP="00794AFD">
      <w:pPr>
        <w:pStyle w:val="BodyText"/>
        <w:rPr>
          <w:rFonts w:asciiTheme="minorHAnsi" w:hAnsiTheme="minorHAnsi"/>
          <w:b/>
          <w:sz w:val="20"/>
          <w:szCs w:val="20"/>
          <w:lang w:val="en-IE"/>
        </w:rPr>
      </w:pPr>
    </w:p>
    <w:tbl>
      <w:tblPr>
        <w:tblW w:w="9531" w:type="dxa"/>
        <w:tblInd w:w="108" w:type="dxa"/>
        <w:tblLook w:val="01E0" w:firstRow="1" w:lastRow="1" w:firstColumn="1" w:lastColumn="1" w:noHBand="0" w:noVBand="0"/>
      </w:tblPr>
      <w:tblGrid>
        <w:gridCol w:w="358"/>
        <w:gridCol w:w="9173"/>
      </w:tblGrid>
      <w:tr w:rsidR="00794AFD" w:rsidRPr="00D13FE8" w14:paraId="38604999" w14:textId="77777777" w:rsidTr="00794AFD">
        <w:trPr>
          <w:trHeight w:val="1075"/>
        </w:trPr>
        <w:tc>
          <w:tcPr>
            <w:tcW w:w="358" w:type="dxa"/>
            <w:shd w:val="clear" w:color="auto" w:fill="auto"/>
          </w:tcPr>
          <w:p w14:paraId="0C88DE11" w14:textId="77777777" w:rsidR="00794AFD" w:rsidRPr="00D13FE8" w:rsidRDefault="00794AFD" w:rsidP="00794AFD">
            <w:pPr>
              <w:ind w:hanging="108"/>
              <w:rPr>
                <w:rFonts w:asciiTheme="minorHAnsi" w:hAnsiTheme="minorHAnsi"/>
                <w:sz w:val="18"/>
              </w:rPr>
            </w:pPr>
            <w:r w:rsidRPr="00D13FE8">
              <w:rPr>
                <w:rFonts w:asciiTheme="minorHAnsi" w:hAnsiTheme="minorHAnsi"/>
                <w:sz w:val="18"/>
              </w:rPr>
              <w:t>1</w:t>
            </w:r>
          </w:p>
        </w:tc>
        <w:tc>
          <w:tcPr>
            <w:tcW w:w="9173" w:type="dxa"/>
            <w:shd w:val="clear" w:color="auto" w:fill="auto"/>
          </w:tcPr>
          <w:p w14:paraId="79BBE580" w14:textId="77777777" w:rsidR="00794AFD" w:rsidRPr="00D13FE8" w:rsidRDefault="00794AFD" w:rsidP="00794AFD">
            <w:pPr>
              <w:ind w:left="-108"/>
              <w:rPr>
                <w:rFonts w:asciiTheme="minorHAnsi" w:hAnsiTheme="minorHAnsi"/>
                <w:sz w:val="18"/>
              </w:rPr>
            </w:pPr>
            <w:r w:rsidRPr="00D13FE8">
              <w:rPr>
                <w:rFonts w:asciiTheme="minorHAnsi" w:hAnsiTheme="minorHAnsi"/>
                <w:sz w:val="18"/>
                <w:lang w:val="en-IE" w:eastAsia="en-IE"/>
              </w:rPr>
              <w:t xml:space="preserve">EBITDA is defined as profit for the year before depreciation, amortisation and impairment, financial income, financial expense and tax expense / credit. It is considered by the Directors to be a key measure of the Group’s financial performance. Note as a result of the adoption of </w:t>
            </w:r>
            <w:r w:rsidRPr="00D13FE8">
              <w:rPr>
                <w:rFonts w:asciiTheme="minorHAnsi" w:hAnsiTheme="minorHAnsi"/>
                <w:sz w:val="18"/>
                <w:szCs w:val="18"/>
                <w:lang w:val="en-IE"/>
              </w:rPr>
              <w:t xml:space="preserve">IFRS 16 Leases from 1 January 2019, under the modified retrospective approach, the rent expense which in 2018 was reflected in operating </w:t>
            </w:r>
            <w:r w:rsidRPr="00D13FE8">
              <w:rPr>
                <w:rFonts w:asciiTheme="minorHAnsi" w:hAnsiTheme="minorHAnsi"/>
                <w:sz w:val="18"/>
                <w:szCs w:val="18"/>
              </w:rPr>
              <w:t>costs excluding</w:t>
            </w:r>
            <w:r w:rsidRPr="00D13FE8">
              <w:rPr>
                <w:rFonts w:asciiTheme="minorHAnsi" w:hAnsiTheme="minorHAnsi"/>
                <w:sz w:val="18"/>
              </w:rPr>
              <w:t xml:space="preserve"> depreciation, amortisation and impairment, is no longer recorded as an expense in 2019 but is replaced by a depreciation charge and finance expense which are recorded after EBITDA. There is no restatement of comparative information. See Note 2 for further detail on the impact of IFRS 16.</w:t>
            </w:r>
          </w:p>
        </w:tc>
      </w:tr>
    </w:tbl>
    <w:p w14:paraId="60F45436" w14:textId="77777777" w:rsidR="00794AFD" w:rsidRPr="00D13FE8" w:rsidRDefault="00794AFD" w:rsidP="00794AFD">
      <w:pPr>
        <w:widowControl/>
        <w:autoSpaceDE/>
        <w:autoSpaceDN/>
        <w:adjustRightInd/>
        <w:rPr>
          <w:rFonts w:asciiTheme="minorHAnsi" w:hAnsiTheme="minorHAnsi" w:cs="Times New Roman"/>
          <w:sz w:val="20"/>
          <w:szCs w:val="20"/>
        </w:rPr>
      </w:pPr>
    </w:p>
    <w:p w14:paraId="184F8F76" w14:textId="77777777" w:rsidR="00794AFD" w:rsidRPr="003A5032" w:rsidRDefault="00794AFD" w:rsidP="00794AFD">
      <w:pPr>
        <w:widowControl/>
        <w:autoSpaceDE/>
        <w:autoSpaceDN/>
        <w:adjustRightInd/>
        <w:rPr>
          <w:rFonts w:asciiTheme="minorHAnsi" w:hAnsiTheme="minorHAnsi" w:cs="Times New Roman"/>
          <w:sz w:val="20"/>
          <w:szCs w:val="20"/>
        </w:rPr>
      </w:pPr>
      <w:r w:rsidRPr="00D13FE8">
        <w:rPr>
          <w:rFonts w:asciiTheme="minorHAnsi" w:hAnsiTheme="minorHAnsi" w:cs="Times New Roman"/>
          <w:sz w:val="20"/>
          <w:szCs w:val="20"/>
        </w:rPr>
        <w:t xml:space="preserve">Notes </w:t>
      </w:r>
      <w:r w:rsidRPr="000944E4">
        <w:rPr>
          <w:rFonts w:asciiTheme="minorHAnsi" w:hAnsiTheme="minorHAnsi" w:cs="Times New Roman"/>
          <w:sz w:val="20"/>
          <w:szCs w:val="20"/>
        </w:rPr>
        <w:t xml:space="preserve">1 to </w:t>
      </w:r>
      <w:r>
        <w:rPr>
          <w:rFonts w:asciiTheme="minorHAnsi" w:hAnsiTheme="minorHAnsi" w:cs="Times New Roman"/>
          <w:sz w:val="20"/>
          <w:szCs w:val="20"/>
        </w:rPr>
        <w:t>17</w:t>
      </w:r>
      <w:r w:rsidRPr="003A5032">
        <w:rPr>
          <w:rFonts w:asciiTheme="minorHAnsi" w:hAnsiTheme="minorHAnsi" w:cs="Times New Roman"/>
          <w:sz w:val="20"/>
          <w:szCs w:val="20"/>
        </w:rPr>
        <w:t xml:space="preserve"> on pages</w:t>
      </w:r>
      <w:r>
        <w:rPr>
          <w:rFonts w:asciiTheme="minorHAnsi" w:hAnsiTheme="minorHAnsi" w:cs="Times New Roman"/>
          <w:sz w:val="20"/>
          <w:szCs w:val="20"/>
        </w:rPr>
        <w:t xml:space="preserve"> 29</w:t>
      </w:r>
      <w:r w:rsidRPr="003A5032">
        <w:rPr>
          <w:rFonts w:asciiTheme="minorHAnsi" w:hAnsiTheme="minorHAnsi" w:cs="Times New Roman"/>
          <w:sz w:val="20"/>
          <w:szCs w:val="20"/>
        </w:rPr>
        <w:t xml:space="preserve"> to</w:t>
      </w:r>
      <w:r>
        <w:rPr>
          <w:rFonts w:asciiTheme="minorHAnsi" w:hAnsiTheme="minorHAnsi" w:cs="Times New Roman"/>
          <w:sz w:val="20"/>
          <w:szCs w:val="20"/>
        </w:rPr>
        <w:t xml:space="preserve"> 54</w:t>
      </w:r>
      <w:r w:rsidRPr="003A5032">
        <w:rPr>
          <w:rFonts w:asciiTheme="minorHAnsi" w:hAnsiTheme="minorHAnsi" w:cs="Times New Roman"/>
          <w:sz w:val="20"/>
          <w:szCs w:val="20"/>
        </w:rPr>
        <w:t xml:space="preserve"> form an integral part of these</w:t>
      </w:r>
      <w:r>
        <w:rPr>
          <w:rFonts w:asciiTheme="minorHAnsi" w:hAnsiTheme="minorHAnsi" w:cs="Times New Roman"/>
          <w:sz w:val="20"/>
          <w:szCs w:val="20"/>
        </w:rPr>
        <w:t xml:space="preserve"> condensed</w:t>
      </w:r>
      <w:r w:rsidRPr="003A5032">
        <w:rPr>
          <w:rFonts w:asciiTheme="minorHAnsi" w:hAnsiTheme="minorHAnsi" w:cs="Times New Roman"/>
          <w:sz w:val="20"/>
          <w:szCs w:val="20"/>
        </w:rPr>
        <w:t xml:space="preserve"> consolidated financial statements.</w:t>
      </w:r>
    </w:p>
    <w:p w14:paraId="3F3F4E4D" w14:textId="64027A0E" w:rsidR="002A6B22" w:rsidRDefault="002A6B22" w:rsidP="00794AFD">
      <w:pPr>
        <w:rPr>
          <w:rFonts w:asciiTheme="minorHAnsi" w:hAnsiTheme="minorHAnsi" w:cs="Times New Roman"/>
          <w:sz w:val="20"/>
          <w:szCs w:val="20"/>
        </w:rPr>
      </w:pPr>
    </w:p>
    <w:p w14:paraId="5973289C" w14:textId="77777777" w:rsidR="002A6B22" w:rsidRPr="002A6B22" w:rsidRDefault="002A6B22" w:rsidP="002A6B22">
      <w:pPr>
        <w:rPr>
          <w:rFonts w:asciiTheme="minorHAnsi" w:hAnsiTheme="minorHAnsi" w:cs="Times New Roman"/>
          <w:sz w:val="20"/>
          <w:szCs w:val="20"/>
        </w:rPr>
      </w:pPr>
    </w:p>
    <w:p w14:paraId="7383E2F8" w14:textId="77777777" w:rsidR="002A6B22" w:rsidRPr="002A6B22" w:rsidRDefault="002A6B22" w:rsidP="002A6B22">
      <w:pPr>
        <w:rPr>
          <w:rFonts w:asciiTheme="minorHAnsi" w:hAnsiTheme="minorHAnsi" w:cs="Times New Roman"/>
          <w:sz w:val="20"/>
          <w:szCs w:val="20"/>
        </w:rPr>
      </w:pPr>
    </w:p>
    <w:p w14:paraId="1C27D277" w14:textId="77777777" w:rsidR="002A6B22" w:rsidRPr="002A6B22" w:rsidRDefault="002A6B22">
      <w:pPr>
        <w:rPr>
          <w:rFonts w:asciiTheme="minorHAnsi" w:hAnsiTheme="minorHAnsi" w:cs="Times New Roman"/>
          <w:sz w:val="20"/>
          <w:szCs w:val="20"/>
        </w:rPr>
      </w:pPr>
    </w:p>
    <w:p w14:paraId="3046B2B0" w14:textId="77777777" w:rsidR="002A6B22" w:rsidRPr="002A6B22" w:rsidRDefault="002A6B22">
      <w:pPr>
        <w:rPr>
          <w:rFonts w:asciiTheme="minorHAnsi" w:hAnsiTheme="minorHAnsi" w:cs="Times New Roman"/>
          <w:sz w:val="20"/>
          <w:szCs w:val="20"/>
        </w:rPr>
      </w:pPr>
    </w:p>
    <w:p w14:paraId="4E11447A" w14:textId="2341E98C" w:rsidR="002A6B22" w:rsidRDefault="002A6B22" w:rsidP="00794AFD">
      <w:pPr>
        <w:rPr>
          <w:rFonts w:asciiTheme="minorHAnsi" w:hAnsiTheme="minorHAnsi" w:cs="Times New Roman"/>
          <w:sz w:val="20"/>
          <w:szCs w:val="20"/>
        </w:rPr>
      </w:pPr>
    </w:p>
    <w:p w14:paraId="32A97102" w14:textId="296128B4" w:rsidR="002A6B22" w:rsidRDefault="002A6B22" w:rsidP="00794AFD">
      <w:pPr>
        <w:rPr>
          <w:rFonts w:asciiTheme="minorHAnsi" w:hAnsiTheme="minorHAnsi" w:cs="Times New Roman"/>
          <w:sz w:val="20"/>
          <w:szCs w:val="20"/>
        </w:rPr>
      </w:pPr>
    </w:p>
    <w:p w14:paraId="0F63461A" w14:textId="77777777" w:rsidR="00794AFD" w:rsidRPr="00D13FE8" w:rsidRDefault="00794AFD" w:rsidP="00794AFD">
      <w:pPr>
        <w:rPr>
          <w:rFonts w:asciiTheme="minorHAnsi" w:hAnsiTheme="minorHAnsi" w:cs="Times New Roman"/>
          <w:b/>
          <w:sz w:val="20"/>
          <w:szCs w:val="20"/>
        </w:rPr>
      </w:pPr>
      <w:r w:rsidRPr="002A6B22">
        <w:rPr>
          <w:rFonts w:asciiTheme="minorHAnsi" w:hAnsiTheme="minorHAnsi" w:cs="Times New Roman"/>
          <w:sz w:val="20"/>
          <w:szCs w:val="20"/>
        </w:rPr>
        <w:br w:type="page"/>
      </w:r>
      <w:r w:rsidRPr="00F16276">
        <w:rPr>
          <w:rFonts w:asciiTheme="minorHAnsi" w:hAnsiTheme="minorHAnsi" w:cs="Times New Roman"/>
          <w:b/>
          <w:sz w:val="20"/>
          <w:szCs w:val="20"/>
        </w:rPr>
        <w:lastRenderedPageBreak/>
        <w:t>CONDENSED</w:t>
      </w:r>
      <w:r>
        <w:rPr>
          <w:rFonts w:asciiTheme="minorHAnsi" w:hAnsiTheme="minorHAnsi" w:cs="Times New Roman"/>
          <w:sz w:val="20"/>
          <w:szCs w:val="20"/>
        </w:rPr>
        <w:t xml:space="preserve"> </w:t>
      </w:r>
      <w:r w:rsidRPr="00D13FE8">
        <w:rPr>
          <w:rFonts w:asciiTheme="minorHAnsi" w:hAnsiTheme="minorHAnsi" w:cs="Times New Roman"/>
          <w:b/>
          <w:sz w:val="20"/>
          <w:szCs w:val="20"/>
        </w:rPr>
        <w:t>CONSOLIDATED STATEMENT OF OTHER COMPREHENSIVE INCOME</w:t>
      </w:r>
    </w:p>
    <w:p w14:paraId="7AABAECB" w14:textId="77777777" w:rsidR="00794AFD" w:rsidRPr="00D13FE8" w:rsidRDefault="00794AFD" w:rsidP="00794AFD">
      <w:pPr>
        <w:rPr>
          <w:rFonts w:asciiTheme="minorHAnsi" w:hAnsiTheme="minorHAnsi" w:cs="Times New Roman"/>
          <w:b/>
          <w:sz w:val="20"/>
          <w:szCs w:val="20"/>
        </w:rPr>
      </w:pPr>
      <w:r w:rsidRPr="00D13FE8">
        <w:rPr>
          <w:rFonts w:asciiTheme="minorHAnsi" w:hAnsiTheme="minorHAnsi" w:cs="Times New Roman"/>
          <w:b/>
          <w:sz w:val="20"/>
          <w:szCs w:val="20"/>
        </w:rPr>
        <w:t>Year ended 31 December 2019</w:t>
      </w:r>
    </w:p>
    <w:p w14:paraId="275DA53F" w14:textId="77777777" w:rsidR="00794AFD" w:rsidRPr="00D13FE8" w:rsidRDefault="00794AFD" w:rsidP="00794AFD">
      <w:pPr>
        <w:jc w:val="both"/>
        <w:rPr>
          <w:rFonts w:asciiTheme="minorHAnsi" w:hAnsiTheme="minorHAnsi" w:cs="Times New Roman"/>
          <w:sz w:val="20"/>
          <w:szCs w:val="20"/>
        </w:rPr>
      </w:pPr>
    </w:p>
    <w:p w14:paraId="4E993355" w14:textId="77777777" w:rsidR="00794AFD" w:rsidRPr="00D13FE8" w:rsidRDefault="00794AFD" w:rsidP="00794AFD">
      <w:pPr>
        <w:jc w:val="both"/>
        <w:rPr>
          <w:rFonts w:asciiTheme="minorHAnsi" w:hAnsiTheme="minorHAnsi" w:cs="Times New Roman"/>
          <w:sz w:val="20"/>
          <w:szCs w:val="20"/>
        </w:rPr>
      </w:pPr>
    </w:p>
    <w:tbl>
      <w:tblPr>
        <w:tblW w:w="10948" w:type="dxa"/>
        <w:tblInd w:w="108" w:type="dxa"/>
        <w:tblLayout w:type="fixed"/>
        <w:tblLook w:val="0000" w:firstRow="0" w:lastRow="0" w:firstColumn="0" w:lastColumn="0" w:noHBand="0" w:noVBand="0"/>
      </w:tblPr>
      <w:tblGrid>
        <w:gridCol w:w="5529"/>
        <w:gridCol w:w="742"/>
        <w:gridCol w:w="1559"/>
        <w:gridCol w:w="1559"/>
        <w:gridCol w:w="1559"/>
      </w:tblGrid>
      <w:tr w:rsidR="00794AFD" w:rsidRPr="00D13FE8" w14:paraId="29B80FB3" w14:textId="77777777" w:rsidTr="00794AFD">
        <w:trPr>
          <w:gridAfter w:val="1"/>
          <w:wAfter w:w="1559" w:type="dxa"/>
          <w:trHeight w:val="422"/>
        </w:trPr>
        <w:tc>
          <w:tcPr>
            <w:tcW w:w="5529" w:type="dxa"/>
            <w:tcBorders>
              <w:top w:val="single" w:sz="4" w:space="0" w:color="auto"/>
              <w:bottom w:val="single" w:sz="4" w:space="0" w:color="auto"/>
            </w:tcBorders>
          </w:tcPr>
          <w:p w14:paraId="66532EBA" w14:textId="77777777" w:rsidR="00794AFD" w:rsidRPr="00D13FE8" w:rsidRDefault="00794AFD" w:rsidP="00794AFD">
            <w:pPr>
              <w:ind w:left="-90"/>
              <w:jc w:val="both"/>
              <w:rPr>
                <w:rFonts w:asciiTheme="minorHAnsi" w:hAnsiTheme="minorHAnsi" w:cs="Times New Roman"/>
                <w:sz w:val="20"/>
                <w:szCs w:val="20"/>
              </w:rPr>
            </w:pPr>
          </w:p>
        </w:tc>
        <w:tc>
          <w:tcPr>
            <w:tcW w:w="742" w:type="dxa"/>
            <w:tcBorders>
              <w:top w:val="single" w:sz="4" w:space="0" w:color="auto"/>
              <w:bottom w:val="single" w:sz="4" w:space="0" w:color="auto"/>
            </w:tcBorders>
            <w:shd w:val="clear" w:color="auto" w:fill="auto"/>
          </w:tcPr>
          <w:p w14:paraId="20347029" w14:textId="77777777" w:rsidR="00794AFD" w:rsidRPr="00D13FE8" w:rsidRDefault="00794AFD" w:rsidP="00794AFD">
            <w:pPr>
              <w:jc w:val="center"/>
              <w:rPr>
                <w:rFonts w:asciiTheme="minorHAnsi" w:hAnsiTheme="minorHAnsi" w:cs="Times New Roman"/>
                <w:iCs/>
                <w:sz w:val="20"/>
                <w:szCs w:val="20"/>
              </w:rPr>
            </w:pPr>
          </w:p>
          <w:p w14:paraId="16BF9F87" w14:textId="77777777" w:rsidR="00794AFD" w:rsidRPr="00D13FE8" w:rsidRDefault="00794AFD" w:rsidP="00794AFD">
            <w:pPr>
              <w:jc w:val="center"/>
              <w:rPr>
                <w:rFonts w:asciiTheme="minorHAnsi" w:hAnsiTheme="minorHAnsi" w:cs="Times New Roman"/>
                <w:iCs/>
                <w:sz w:val="20"/>
                <w:szCs w:val="20"/>
              </w:rPr>
            </w:pPr>
          </w:p>
          <w:p w14:paraId="5057AE39" w14:textId="77777777" w:rsidR="00794AFD" w:rsidRPr="00D13FE8" w:rsidRDefault="00794AFD" w:rsidP="00794AFD">
            <w:pPr>
              <w:jc w:val="center"/>
              <w:rPr>
                <w:rFonts w:asciiTheme="minorHAnsi" w:hAnsiTheme="minorHAnsi" w:cs="Times New Roman"/>
                <w:iCs/>
                <w:sz w:val="20"/>
                <w:szCs w:val="20"/>
              </w:rPr>
            </w:pPr>
          </w:p>
        </w:tc>
        <w:tc>
          <w:tcPr>
            <w:tcW w:w="1559" w:type="dxa"/>
            <w:tcBorders>
              <w:top w:val="single" w:sz="4" w:space="0" w:color="auto"/>
              <w:bottom w:val="single" w:sz="4" w:space="0" w:color="auto"/>
            </w:tcBorders>
            <w:shd w:val="clear" w:color="auto" w:fill="auto"/>
          </w:tcPr>
          <w:p w14:paraId="4EC392AE" w14:textId="77777777" w:rsidR="00794AFD" w:rsidRPr="00D13FE8" w:rsidRDefault="00794AFD" w:rsidP="00794AFD">
            <w:pPr>
              <w:jc w:val="right"/>
              <w:rPr>
                <w:rFonts w:asciiTheme="minorHAnsi" w:hAnsiTheme="minorHAnsi" w:cs="Times New Roman"/>
                <w:b/>
                <w:bCs/>
                <w:sz w:val="20"/>
                <w:szCs w:val="20"/>
              </w:rPr>
            </w:pPr>
          </w:p>
          <w:p w14:paraId="3FDEEC1C"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2019</w:t>
            </w:r>
          </w:p>
          <w:p w14:paraId="6614D246" w14:textId="77777777" w:rsidR="00794AFD" w:rsidRPr="00D13FE8" w:rsidRDefault="00794AFD" w:rsidP="00794AFD">
            <w:pPr>
              <w:jc w:val="right"/>
              <w:rPr>
                <w:rFonts w:asciiTheme="minorHAnsi" w:hAnsiTheme="minorHAnsi" w:cs="Times New Roman"/>
                <w:sz w:val="20"/>
                <w:szCs w:val="20"/>
              </w:rPr>
            </w:pPr>
            <w:r w:rsidRPr="00D13FE8">
              <w:rPr>
                <w:rFonts w:asciiTheme="minorHAnsi" w:hAnsiTheme="minorHAnsi" w:cs="Times New Roman"/>
                <w:b/>
                <w:bCs/>
                <w:sz w:val="20"/>
                <w:szCs w:val="20"/>
              </w:rPr>
              <w:t>£m</w:t>
            </w:r>
          </w:p>
        </w:tc>
        <w:tc>
          <w:tcPr>
            <w:tcW w:w="1559" w:type="dxa"/>
            <w:tcBorders>
              <w:top w:val="single" w:sz="4" w:space="0" w:color="auto"/>
              <w:bottom w:val="single" w:sz="4" w:space="0" w:color="auto"/>
            </w:tcBorders>
            <w:shd w:val="clear" w:color="auto" w:fill="auto"/>
          </w:tcPr>
          <w:p w14:paraId="47D3BB0B" w14:textId="77777777" w:rsidR="00794AFD" w:rsidRPr="00D13FE8" w:rsidRDefault="00794AFD" w:rsidP="00794AFD">
            <w:pPr>
              <w:jc w:val="right"/>
              <w:rPr>
                <w:rFonts w:asciiTheme="minorHAnsi" w:hAnsiTheme="minorHAnsi" w:cs="Times New Roman"/>
                <w:bCs/>
                <w:sz w:val="20"/>
                <w:szCs w:val="20"/>
              </w:rPr>
            </w:pPr>
          </w:p>
          <w:p w14:paraId="20BB7941"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2018</w:t>
            </w:r>
          </w:p>
          <w:p w14:paraId="53276770" w14:textId="77777777" w:rsidR="00794AFD" w:rsidRPr="00D13FE8" w:rsidRDefault="00794AFD" w:rsidP="00794AFD">
            <w:pPr>
              <w:jc w:val="right"/>
              <w:rPr>
                <w:rFonts w:asciiTheme="minorHAnsi" w:hAnsiTheme="minorHAnsi" w:cs="Times New Roman"/>
                <w:sz w:val="20"/>
                <w:szCs w:val="20"/>
              </w:rPr>
            </w:pPr>
            <w:r w:rsidRPr="00D13FE8">
              <w:rPr>
                <w:rFonts w:asciiTheme="minorHAnsi" w:hAnsiTheme="minorHAnsi" w:cs="Times New Roman"/>
                <w:bCs/>
                <w:sz w:val="20"/>
                <w:szCs w:val="20"/>
              </w:rPr>
              <w:t>£m</w:t>
            </w:r>
          </w:p>
        </w:tc>
      </w:tr>
      <w:tr w:rsidR="00794AFD" w:rsidRPr="00D13FE8" w14:paraId="53073345" w14:textId="77777777" w:rsidTr="00794AFD">
        <w:trPr>
          <w:gridAfter w:val="1"/>
          <w:wAfter w:w="1559" w:type="dxa"/>
        </w:trPr>
        <w:tc>
          <w:tcPr>
            <w:tcW w:w="5529" w:type="dxa"/>
            <w:tcBorders>
              <w:top w:val="single" w:sz="4" w:space="0" w:color="auto"/>
            </w:tcBorders>
          </w:tcPr>
          <w:p w14:paraId="153F21F8" w14:textId="77777777" w:rsidR="00794AFD" w:rsidRPr="00D13FE8" w:rsidRDefault="00794AFD" w:rsidP="00794AFD">
            <w:pPr>
              <w:ind w:left="-90"/>
              <w:rPr>
                <w:rFonts w:asciiTheme="minorHAnsi" w:hAnsiTheme="minorHAnsi" w:cs="Times New Roman"/>
                <w:b/>
                <w:sz w:val="20"/>
                <w:szCs w:val="20"/>
              </w:rPr>
            </w:pPr>
          </w:p>
        </w:tc>
        <w:tc>
          <w:tcPr>
            <w:tcW w:w="742" w:type="dxa"/>
            <w:tcBorders>
              <w:top w:val="single" w:sz="4" w:space="0" w:color="auto"/>
            </w:tcBorders>
          </w:tcPr>
          <w:p w14:paraId="3206D5B3" w14:textId="77777777" w:rsidR="00794AFD" w:rsidRPr="00D13FE8" w:rsidDel="008E2D97" w:rsidRDefault="00794AFD" w:rsidP="00794AFD">
            <w:pPr>
              <w:jc w:val="center"/>
              <w:rPr>
                <w:rFonts w:asciiTheme="minorHAnsi" w:hAnsiTheme="minorHAnsi" w:cs="Times New Roman"/>
                <w:iCs/>
                <w:sz w:val="20"/>
                <w:szCs w:val="20"/>
              </w:rPr>
            </w:pPr>
          </w:p>
        </w:tc>
        <w:tc>
          <w:tcPr>
            <w:tcW w:w="1559" w:type="dxa"/>
            <w:tcBorders>
              <w:top w:val="single" w:sz="4" w:space="0" w:color="auto"/>
            </w:tcBorders>
          </w:tcPr>
          <w:p w14:paraId="4B410D1E" w14:textId="77777777" w:rsidR="00794AFD" w:rsidRPr="00D13FE8" w:rsidRDefault="00794AFD" w:rsidP="00794AFD">
            <w:pPr>
              <w:jc w:val="right"/>
              <w:rPr>
                <w:rFonts w:asciiTheme="minorHAnsi" w:hAnsiTheme="minorHAnsi" w:cs="Times New Roman"/>
                <w:b/>
                <w:bCs/>
                <w:sz w:val="20"/>
                <w:szCs w:val="20"/>
              </w:rPr>
            </w:pPr>
          </w:p>
        </w:tc>
        <w:tc>
          <w:tcPr>
            <w:tcW w:w="1559" w:type="dxa"/>
            <w:tcBorders>
              <w:top w:val="single" w:sz="4" w:space="0" w:color="auto"/>
            </w:tcBorders>
          </w:tcPr>
          <w:p w14:paraId="19A1109E" w14:textId="77777777" w:rsidR="00794AFD" w:rsidRPr="00D13FE8" w:rsidRDefault="00794AFD" w:rsidP="00794AFD">
            <w:pPr>
              <w:jc w:val="right"/>
              <w:rPr>
                <w:rFonts w:asciiTheme="minorHAnsi" w:hAnsiTheme="minorHAnsi" w:cs="Times New Roman"/>
                <w:bCs/>
                <w:sz w:val="20"/>
                <w:szCs w:val="20"/>
              </w:rPr>
            </w:pPr>
          </w:p>
        </w:tc>
      </w:tr>
      <w:tr w:rsidR="00794AFD" w:rsidRPr="00D13FE8" w14:paraId="27F11163" w14:textId="77777777" w:rsidTr="00794AFD">
        <w:trPr>
          <w:gridAfter w:val="1"/>
          <w:wAfter w:w="1559" w:type="dxa"/>
        </w:trPr>
        <w:tc>
          <w:tcPr>
            <w:tcW w:w="5529" w:type="dxa"/>
            <w:tcBorders>
              <w:bottom w:val="single" w:sz="4" w:space="0" w:color="auto"/>
            </w:tcBorders>
          </w:tcPr>
          <w:p w14:paraId="5646CEE8" w14:textId="77777777" w:rsidR="00794AFD" w:rsidRPr="00D13FE8" w:rsidRDefault="00794AFD" w:rsidP="00794AFD">
            <w:pPr>
              <w:ind w:left="-90"/>
              <w:rPr>
                <w:rFonts w:asciiTheme="minorHAnsi" w:hAnsiTheme="minorHAnsi" w:cs="Times New Roman"/>
                <w:sz w:val="20"/>
                <w:szCs w:val="20"/>
              </w:rPr>
            </w:pPr>
            <w:r w:rsidRPr="00D13FE8">
              <w:rPr>
                <w:rFonts w:asciiTheme="minorHAnsi" w:hAnsiTheme="minorHAnsi" w:cs="Times New Roman"/>
                <w:b/>
                <w:sz w:val="20"/>
                <w:szCs w:val="20"/>
              </w:rPr>
              <w:t xml:space="preserve">Profit for the year </w:t>
            </w:r>
          </w:p>
        </w:tc>
        <w:tc>
          <w:tcPr>
            <w:tcW w:w="742" w:type="dxa"/>
            <w:tcBorders>
              <w:bottom w:val="single" w:sz="4" w:space="0" w:color="auto"/>
            </w:tcBorders>
          </w:tcPr>
          <w:p w14:paraId="757C893F" w14:textId="77777777" w:rsidR="00794AFD" w:rsidRPr="00D13FE8" w:rsidRDefault="00794AFD" w:rsidP="00794AFD">
            <w:pPr>
              <w:jc w:val="center"/>
              <w:rPr>
                <w:rFonts w:asciiTheme="minorHAnsi" w:hAnsiTheme="minorHAnsi" w:cs="Times New Roman"/>
                <w:iCs/>
                <w:sz w:val="20"/>
                <w:szCs w:val="20"/>
              </w:rPr>
            </w:pPr>
          </w:p>
        </w:tc>
        <w:tc>
          <w:tcPr>
            <w:tcW w:w="1559" w:type="dxa"/>
            <w:tcBorders>
              <w:bottom w:val="single" w:sz="4" w:space="0" w:color="auto"/>
            </w:tcBorders>
          </w:tcPr>
          <w:p w14:paraId="45AA3677" w14:textId="77777777" w:rsidR="00794AFD" w:rsidRPr="000944E4"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111.9</w:t>
            </w:r>
          </w:p>
        </w:tc>
        <w:tc>
          <w:tcPr>
            <w:tcW w:w="1559" w:type="dxa"/>
            <w:tcBorders>
              <w:bottom w:val="single" w:sz="4" w:space="0" w:color="auto"/>
            </w:tcBorders>
          </w:tcPr>
          <w:p w14:paraId="2DF84162" w14:textId="77777777" w:rsidR="00794AFD" w:rsidRPr="003A5032" w:rsidRDefault="00794AFD" w:rsidP="00794AFD">
            <w:pPr>
              <w:jc w:val="right"/>
              <w:rPr>
                <w:rFonts w:asciiTheme="minorHAnsi" w:hAnsiTheme="minorHAnsi" w:cs="Times New Roman"/>
                <w:bCs/>
                <w:sz w:val="20"/>
                <w:szCs w:val="20"/>
              </w:rPr>
            </w:pPr>
            <w:r w:rsidRPr="003A5032">
              <w:rPr>
                <w:rFonts w:asciiTheme="minorHAnsi" w:hAnsiTheme="minorHAnsi" w:cs="Times New Roman"/>
                <w:bCs/>
                <w:sz w:val="20"/>
                <w:szCs w:val="20"/>
              </w:rPr>
              <w:t>180.7</w:t>
            </w:r>
          </w:p>
        </w:tc>
      </w:tr>
      <w:tr w:rsidR="00794AFD" w:rsidRPr="00D13FE8" w14:paraId="496616E8" w14:textId="77777777" w:rsidTr="00794AFD">
        <w:trPr>
          <w:gridAfter w:val="1"/>
          <w:wAfter w:w="1559" w:type="dxa"/>
        </w:trPr>
        <w:tc>
          <w:tcPr>
            <w:tcW w:w="5529" w:type="dxa"/>
            <w:tcBorders>
              <w:top w:val="single" w:sz="4" w:space="0" w:color="auto"/>
            </w:tcBorders>
          </w:tcPr>
          <w:p w14:paraId="6634D310" w14:textId="77777777" w:rsidR="00794AFD" w:rsidRPr="00D13FE8" w:rsidRDefault="00794AFD" w:rsidP="00794AFD">
            <w:pPr>
              <w:ind w:left="-90"/>
              <w:rPr>
                <w:rFonts w:asciiTheme="minorHAnsi" w:hAnsiTheme="minorHAnsi" w:cs="Times New Roman"/>
                <w:b/>
                <w:sz w:val="20"/>
                <w:szCs w:val="20"/>
              </w:rPr>
            </w:pPr>
          </w:p>
        </w:tc>
        <w:tc>
          <w:tcPr>
            <w:tcW w:w="742" w:type="dxa"/>
            <w:tcBorders>
              <w:top w:val="single" w:sz="4" w:space="0" w:color="auto"/>
            </w:tcBorders>
          </w:tcPr>
          <w:p w14:paraId="1391ED53" w14:textId="77777777" w:rsidR="00794AFD" w:rsidRPr="00D13FE8" w:rsidRDefault="00794AFD" w:rsidP="00794AFD">
            <w:pPr>
              <w:jc w:val="center"/>
              <w:rPr>
                <w:rFonts w:asciiTheme="minorHAnsi" w:hAnsiTheme="minorHAnsi" w:cs="Times New Roman"/>
                <w:iCs/>
                <w:sz w:val="20"/>
                <w:szCs w:val="20"/>
              </w:rPr>
            </w:pPr>
          </w:p>
        </w:tc>
        <w:tc>
          <w:tcPr>
            <w:tcW w:w="1559" w:type="dxa"/>
            <w:tcBorders>
              <w:top w:val="single" w:sz="4" w:space="0" w:color="auto"/>
            </w:tcBorders>
          </w:tcPr>
          <w:p w14:paraId="604A3AD4" w14:textId="77777777" w:rsidR="00794AFD" w:rsidRPr="000944E4" w:rsidRDefault="00794AFD" w:rsidP="00794AFD">
            <w:pPr>
              <w:jc w:val="center"/>
              <w:rPr>
                <w:rFonts w:asciiTheme="minorHAnsi" w:hAnsiTheme="minorHAnsi" w:cs="Times New Roman"/>
                <w:b/>
                <w:bCs/>
                <w:sz w:val="20"/>
                <w:szCs w:val="20"/>
              </w:rPr>
            </w:pPr>
          </w:p>
        </w:tc>
        <w:tc>
          <w:tcPr>
            <w:tcW w:w="1559" w:type="dxa"/>
            <w:tcBorders>
              <w:top w:val="single" w:sz="4" w:space="0" w:color="auto"/>
            </w:tcBorders>
          </w:tcPr>
          <w:p w14:paraId="1ABFC144" w14:textId="77777777" w:rsidR="00794AFD" w:rsidRPr="003A5032" w:rsidRDefault="00794AFD" w:rsidP="00794AFD">
            <w:pPr>
              <w:jc w:val="right"/>
              <w:rPr>
                <w:rFonts w:asciiTheme="minorHAnsi" w:hAnsiTheme="minorHAnsi" w:cs="Times New Roman"/>
                <w:bCs/>
                <w:sz w:val="20"/>
                <w:szCs w:val="20"/>
              </w:rPr>
            </w:pPr>
          </w:p>
        </w:tc>
      </w:tr>
      <w:tr w:rsidR="00794AFD" w:rsidRPr="00D13FE8" w14:paraId="270DE939" w14:textId="77777777" w:rsidTr="00794AFD">
        <w:trPr>
          <w:gridAfter w:val="1"/>
          <w:wAfter w:w="1559" w:type="dxa"/>
        </w:trPr>
        <w:tc>
          <w:tcPr>
            <w:tcW w:w="5529" w:type="dxa"/>
          </w:tcPr>
          <w:p w14:paraId="6C89ADE0" w14:textId="77777777" w:rsidR="00794AFD" w:rsidRPr="00D13FE8" w:rsidRDefault="00794AFD" w:rsidP="00794AFD">
            <w:pPr>
              <w:ind w:left="-90"/>
              <w:rPr>
                <w:rFonts w:asciiTheme="minorHAnsi" w:hAnsiTheme="minorHAnsi" w:cs="Times New Roman"/>
                <w:b/>
                <w:sz w:val="20"/>
                <w:szCs w:val="20"/>
              </w:rPr>
            </w:pPr>
            <w:r w:rsidRPr="00D13FE8">
              <w:rPr>
                <w:rFonts w:asciiTheme="minorHAnsi" w:hAnsiTheme="minorHAnsi" w:cs="Times New Roman"/>
                <w:b/>
                <w:sz w:val="20"/>
                <w:szCs w:val="20"/>
              </w:rPr>
              <w:t>Other comprehensive income / (loss)</w:t>
            </w:r>
          </w:p>
        </w:tc>
        <w:tc>
          <w:tcPr>
            <w:tcW w:w="742" w:type="dxa"/>
          </w:tcPr>
          <w:p w14:paraId="78E06448" w14:textId="77777777" w:rsidR="00794AFD" w:rsidRPr="00D13FE8" w:rsidRDefault="00794AFD" w:rsidP="00794AFD">
            <w:pPr>
              <w:jc w:val="center"/>
              <w:rPr>
                <w:rFonts w:asciiTheme="minorHAnsi" w:hAnsiTheme="minorHAnsi" w:cs="Times New Roman"/>
                <w:iCs/>
                <w:sz w:val="20"/>
                <w:szCs w:val="20"/>
              </w:rPr>
            </w:pPr>
          </w:p>
        </w:tc>
        <w:tc>
          <w:tcPr>
            <w:tcW w:w="1559" w:type="dxa"/>
          </w:tcPr>
          <w:p w14:paraId="53740C60" w14:textId="77777777" w:rsidR="00794AFD" w:rsidRPr="000944E4" w:rsidRDefault="00794AFD" w:rsidP="00794AFD">
            <w:pPr>
              <w:jc w:val="right"/>
              <w:rPr>
                <w:rFonts w:asciiTheme="minorHAnsi" w:hAnsiTheme="minorHAnsi" w:cs="Times New Roman"/>
                <w:b/>
                <w:bCs/>
                <w:sz w:val="20"/>
                <w:szCs w:val="20"/>
              </w:rPr>
            </w:pPr>
          </w:p>
        </w:tc>
        <w:tc>
          <w:tcPr>
            <w:tcW w:w="1559" w:type="dxa"/>
          </w:tcPr>
          <w:p w14:paraId="260BA035" w14:textId="77777777" w:rsidR="00794AFD" w:rsidRPr="003A5032" w:rsidRDefault="00794AFD" w:rsidP="00794AFD">
            <w:pPr>
              <w:jc w:val="right"/>
              <w:rPr>
                <w:rFonts w:asciiTheme="minorHAnsi" w:hAnsiTheme="minorHAnsi" w:cs="Times New Roman"/>
                <w:bCs/>
                <w:sz w:val="20"/>
                <w:szCs w:val="20"/>
              </w:rPr>
            </w:pPr>
          </w:p>
        </w:tc>
      </w:tr>
      <w:tr w:rsidR="00794AFD" w:rsidRPr="00D13FE8" w14:paraId="0E37B191" w14:textId="77777777" w:rsidTr="00794AFD">
        <w:trPr>
          <w:trHeight w:val="226"/>
        </w:trPr>
        <w:tc>
          <w:tcPr>
            <w:tcW w:w="6271" w:type="dxa"/>
            <w:gridSpan w:val="2"/>
          </w:tcPr>
          <w:p w14:paraId="5BB8EC9F" w14:textId="77777777" w:rsidR="00794AFD" w:rsidRPr="00D13FE8" w:rsidRDefault="00794AFD" w:rsidP="00794AFD">
            <w:pPr>
              <w:ind w:left="-90"/>
              <w:rPr>
                <w:rFonts w:asciiTheme="minorHAnsi" w:hAnsiTheme="minorHAnsi" w:cs="Times New Roman"/>
                <w:b/>
                <w:i/>
                <w:sz w:val="20"/>
                <w:szCs w:val="20"/>
              </w:rPr>
            </w:pPr>
            <w:r w:rsidRPr="00D13FE8">
              <w:rPr>
                <w:rFonts w:asciiTheme="minorHAnsi" w:hAnsiTheme="minorHAnsi" w:cs="Times New Roman"/>
                <w:b/>
                <w:i/>
                <w:sz w:val="20"/>
                <w:szCs w:val="20"/>
              </w:rPr>
              <w:t>Items that are or may be reclassified subsequently to profit or loss:</w:t>
            </w:r>
          </w:p>
        </w:tc>
        <w:tc>
          <w:tcPr>
            <w:tcW w:w="1559" w:type="dxa"/>
          </w:tcPr>
          <w:p w14:paraId="605A8373" w14:textId="77777777" w:rsidR="00794AFD" w:rsidRPr="000944E4" w:rsidRDefault="00794AFD" w:rsidP="00794AFD">
            <w:pPr>
              <w:jc w:val="right"/>
              <w:rPr>
                <w:rFonts w:asciiTheme="minorHAnsi" w:hAnsiTheme="minorHAnsi" w:cs="Times New Roman"/>
                <w:b/>
                <w:bCs/>
                <w:sz w:val="20"/>
                <w:szCs w:val="20"/>
              </w:rPr>
            </w:pPr>
          </w:p>
        </w:tc>
        <w:tc>
          <w:tcPr>
            <w:tcW w:w="1559" w:type="dxa"/>
          </w:tcPr>
          <w:p w14:paraId="0B71BE01" w14:textId="77777777" w:rsidR="00794AFD" w:rsidRPr="003A5032" w:rsidRDefault="00794AFD" w:rsidP="00794AFD">
            <w:pPr>
              <w:jc w:val="right"/>
              <w:rPr>
                <w:rFonts w:asciiTheme="minorHAnsi" w:hAnsiTheme="minorHAnsi" w:cs="Times New Roman"/>
                <w:bCs/>
                <w:sz w:val="20"/>
                <w:szCs w:val="20"/>
              </w:rPr>
            </w:pPr>
          </w:p>
        </w:tc>
        <w:tc>
          <w:tcPr>
            <w:tcW w:w="1559" w:type="dxa"/>
          </w:tcPr>
          <w:p w14:paraId="2592DD12" w14:textId="77777777" w:rsidR="00794AFD" w:rsidRPr="00D13FE8" w:rsidRDefault="00794AFD" w:rsidP="00794AFD">
            <w:pPr>
              <w:jc w:val="right"/>
              <w:rPr>
                <w:rFonts w:asciiTheme="minorHAnsi" w:hAnsiTheme="minorHAnsi" w:cs="Times New Roman"/>
                <w:bCs/>
                <w:sz w:val="20"/>
                <w:szCs w:val="20"/>
              </w:rPr>
            </w:pPr>
          </w:p>
        </w:tc>
      </w:tr>
      <w:tr w:rsidR="00794AFD" w:rsidRPr="00D13FE8" w14:paraId="01BCCE9B" w14:textId="77777777" w:rsidTr="00794AFD">
        <w:trPr>
          <w:gridAfter w:val="1"/>
          <w:wAfter w:w="1559" w:type="dxa"/>
        </w:trPr>
        <w:tc>
          <w:tcPr>
            <w:tcW w:w="5529" w:type="dxa"/>
          </w:tcPr>
          <w:p w14:paraId="09A3B9BB" w14:textId="77777777" w:rsidR="00794AFD" w:rsidRPr="00D13FE8" w:rsidRDefault="00794AFD" w:rsidP="00794AFD">
            <w:pPr>
              <w:ind w:left="-90"/>
              <w:rPr>
                <w:rFonts w:asciiTheme="minorHAnsi" w:hAnsiTheme="minorHAnsi" w:cs="Times New Roman"/>
                <w:sz w:val="20"/>
                <w:szCs w:val="20"/>
              </w:rPr>
            </w:pPr>
            <w:r w:rsidRPr="00D13FE8">
              <w:rPr>
                <w:rFonts w:asciiTheme="minorHAnsi" w:hAnsiTheme="minorHAnsi" w:cs="Times New Roman"/>
                <w:sz w:val="20"/>
                <w:szCs w:val="20"/>
              </w:rPr>
              <w:t>Effective portion of changes in fair value of cash flow hedges</w:t>
            </w:r>
          </w:p>
        </w:tc>
        <w:tc>
          <w:tcPr>
            <w:tcW w:w="742" w:type="dxa"/>
          </w:tcPr>
          <w:p w14:paraId="6918FB4B" w14:textId="77777777" w:rsidR="00794AFD" w:rsidRPr="00D13FE8" w:rsidRDefault="00794AFD" w:rsidP="00794AFD">
            <w:pPr>
              <w:jc w:val="center"/>
              <w:rPr>
                <w:rFonts w:asciiTheme="minorHAnsi" w:hAnsiTheme="minorHAnsi" w:cs="Times New Roman"/>
                <w:iCs/>
                <w:sz w:val="20"/>
                <w:szCs w:val="20"/>
              </w:rPr>
            </w:pPr>
          </w:p>
        </w:tc>
        <w:tc>
          <w:tcPr>
            <w:tcW w:w="1559" w:type="dxa"/>
          </w:tcPr>
          <w:p w14:paraId="7E6D6D92"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2.6</w:t>
            </w:r>
          </w:p>
        </w:tc>
        <w:tc>
          <w:tcPr>
            <w:tcW w:w="1559" w:type="dxa"/>
          </w:tcPr>
          <w:p w14:paraId="47116782"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w:t>
            </w:r>
          </w:p>
        </w:tc>
      </w:tr>
      <w:tr w:rsidR="00794AFD" w:rsidRPr="00D13FE8" w14:paraId="53F47F2A" w14:textId="77777777" w:rsidTr="00794AFD">
        <w:trPr>
          <w:gridAfter w:val="1"/>
          <w:wAfter w:w="1559" w:type="dxa"/>
        </w:trPr>
        <w:tc>
          <w:tcPr>
            <w:tcW w:w="5529" w:type="dxa"/>
          </w:tcPr>
          <w:p w14:paraId="434EC4C2" w14:textId="77777777" w:rsidR="00794AFD" w:rsidRPr="00D13FE8" w:rsidRDefault="00794AFD" w:rsidP="00794AFD">
            <w:pPr>
              <w:ind w:left="-90"/>
              <w:rPr>
                <w:rFonts w:asciiTheme="minorHAnsi" w:hAnsiTheme="minorHAnsi" w:cs="Times New Roman"/>
                <w:sz w:val="20"/>
                <w:szCs w:val="20"/>
              </w:rPr>
            </w:pPr>
            <w:r w:rsidRPr="00D13FE8">
              <w:rPr>
                <w:rFonts w:asciiTheme="minorHAnsi" w:hAnsiTheme="minorHAnsi" w:cs="Times New Roman"/>
                <w:sz w:val="20"/>
                <w:szCs w:val="20"/>
              </w:rPr>
              <w:t>Fair value of foreign exchange cash flow hedges transferred to income statement</w:t>
            </w:r>
          </w:p>
        </w:tc>
        <w:tc>
          <w:tcPr>
            <w:tcW w:w="742" w:type="dxa"/>
          </w:tcPr>
          <w:p w14:paraId="3FDF2603" w14:textId="77777777" w:rsidR="00794AFD" w:rsidRPr="00D13FE8" w:rsidRDefault="00794AFD" w:rsidP="00794AFD">
            <w:pPr>
              <w:jc w:val="center"/>
              <w:rPr>
                <w:rFonts w:asciiTheme="minorHAnsi" w:hAnsiTheme="minorHAnsi" w:cs="Times New Roman"/>
                <w:iCs/>
                <w:sz w:val="20"/>
                <w:szCs w:val="20"/>
              </w:rPr>
            </w:pPr>
          </w:p>
        </w:tc>
        <w:tc>
          <w:tcPr>
            <w:tcW w:w="1559" w:type="dxa"/>
          </w:tcPr>
          <w:p w14:paraId="6EC22245" w14:textId="77777777" w:rsidR="00794AFD" w:rsidRPr="00D13FE8" w:rsidRDefault="00794AFD" w:rsidP="00794AFD">
            <w:pPr>
              <w:jc w:val="right"/>
              <w:rPr>
                <w:rFonts w:asciiTheme="minorHAnsi" w:hAnsiTheme="minorHAnsi" w:cs="Times New Roman"/>
                <w:b/>
                <w:bCs/>
                <w:sz w:val="20"/>
                <w:szCs w:val="20"/>
              </w:rPr>
            </w:pPr>
          </w:p>
          <w:p w14:paraId="28A9A176"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(0.3)</w:t>
            </w:r>
          </w:p>
        </w:tc>
        <w:tc>
          <w:tcPr>
            <w:tcW w:w="1559" w:type="dxa"/>
          </w:tcPr>
          <w:p w14:paraId="0EA3F108" w14:textId="77777777" w:rsidR="00794AFD" w:rsidRDefault="00794AFD" w:rsidP="00794AFD">
            <w:pPr>
              <w:jc w:val="right"/>
              <w:rPr>
                <w:rFonts w:asciiTheme="minorHAnsi" w:hAnsiTheme="minorHAnsi" w:cs="Times New Roman"/>
                <w:bCs/>
                <w:sz w:val="20"/>
                <w:szCs w:val="20"/>
              </w:rPr>
            </w:pPr>
          </w:p>
          <w:p w14:paraId="4262661F"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w:t>
            </w:r>
          </w:p>
        </w:tc>
      </w:tr>
      <w:tr w:rsidR="00794AFD" w:rsidRPr="00D13FE8" w14:paraId="68BFC33F" w14:textId="77777777" w:rsidTr="00794AFD">
        <w:trPr>
          <w:gridAfter w:val="1"/>
          <w:wAfter w:w="1559" w:type="dxa"/>
        </w:trPr>
        <w:tc>
          <w:tcPr>
            <w:tcW w:w="5529" w:type="dxa"/>
            <w:tcBorders>
              <w:bottom w:val="single" w:sz="4" w:space="0" w:color="auto"/>
            </w:tcBorders>
          </w:tcPr>
          <w:p w14:paraId="65BF482B" w14:textId="77777777" w:rsidR="00794AFD" w:rsidRPr="00D13FE8" w:rsidRDefault="00794AFD" w:rsidP="00794AFD">
            <w:pPr>
              <w:ind w:left="-90"/>
              <w:rPr>
                <w:rFonts w:asciiTheme="minorHAnsi" w:hAnsiTheme="minorHAnsi" w:cs="Times New Roman"/>
                <w:sz w:val="20"/>
                <w:szCs w:val="20"/>
              </w:rPr>
            </w:pPr>
            <w:r w:rsidRPr="00D13FE8">
              <w:rPr>
                <w:rFonts w:asciiTheme="minorHAnsi" w:hAnsiTheme="minorHAnsi" w:cs="Times New Roman"/>
                <w:sz w:val="20"/>
                <w:szCs w:val="20"/>
              </w:rPr>
              <w:t>Foreign exchange (loss) / gain on translation of the net assets of foreign currency denominated entities</w:t>
            </w:r>
          </w:p>
        </w:tc>
        <w:tc>
          <w:tcPr>
            <w:tcW w:w="742" w:type="dxa"/>
            <w:tcBorders>
              <w:bottom w:val="single" w:sz="4" w:space="0" w:color="auto"/>
            </w:tcBorders>
          </w:tcPr>
          <w:p w14:paraId="7640989F" w14:textId="77777777" w:rsidR="00794AFD" w:rsidRPr="00D13FE8" w:rsidRDefault="00794AFD" w:rsidP="00794AFD">
            <w:pPr>
              <w:jc w:val="center"/>
              <w:rPr>
                <w:rFonts w:asciiTheme="minorHAnsi" w:hAnsiTheme="minorHAnsi" w:cs="Times New Roman"/>
                <w:iCs/>
                <w:sz w:val="20"/>
                <w:szCs w:val="20"/>
              </w:rPr>
            </w:pPr>
          </w:p>
        </w:tc>
        <w:tc>
          <w:tcPr>
            <w:tcW w:w="1559" w:type="dxa"/>
            <w:tcBorders>
              <w:bottom w:val="single" w:sz="4" w:space="0" w:color="auto"/>
            </w:tcBorders>
          </w:tcPr>
          <w:p w14:paraId="272C0765" w14:textId="77777777" w:rsidR="00794AFD" w:rsidRPr="00D13FE8" w:rsidRDefault="00794AFD" w:rsidP="00794AFD">
            <w:pPr>
              <w:jc w:val="right"/>
              <w:rPr>
                <w:rFonts w:asciiTheme="minorHAnsi" w:hAnsiTheme="minorHAnsi" w:cs="Times New Roman"/>
                <w:b/>
                <w:bCs/>
                <w:sz w:val="20"/>
                <w:szCs w:val="20"/>
              </w:rPr>
            </w:pPr>
          </w:p>
          <w:p w14:paraId="5F247C71"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(33.1)</w:t>
            </w:r>
          </w:p>
        </w:tc>
        <w:tc>
          <w:tcPr>
            <w:tcW w:w="1559" w:type="dxa"/>
            <w:tcBorders>
              <w:bottom w:val="single" w:sz="4" w:space="0" w:color="auto"/>
            </w:tcBorders>
          </w:tcPr>
          <w:p w14:paraId="15C6D139" w14:textId="77777777" w:rsidR="00794AFD" w:rsidRPr="00D13FE8" w:rsidRDefault="00794AFD" w:rsidP="00794AFD">
            <w:pPr>
              <w:jc w:val="right"/>
              <w:rPr>
                <w:rFonts w:asciiTheme="minorHAnsi" w:hAnsiTheme="minorHAnsi" w:cs="Times New Roman"/>
                <w:bCs/>
                <w:sz w:val="20"/>
                <w:szCs w:val="20"/>
              </w:rPr>
            </w:pPr>
          </w:p>
          <w:p w14:paraId="075526D7"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26.1</w:t>
            </w:r>
          </w:p>
        </w:tc>
      </w:tr>
      <w:tr w:rsidR="00794AFD" w:rsidRPr="00D13FE8" w14:paraId="16F1E6E1" w14:textId="77777777" w:rsidTr="00794AFD">
        <w:trPr>
          <w:gridAfter w:val="1"/>
          <w:wAfter w:w="1559" w:type="dxa"/>
          <w:trHeight w:val="204"/>
        </w:trPr>
        <w:tc>
          <w:tcPr>
            <w:tcW w:w="5529" w:type="dxa"/>
            <w:tcBorders>
              <w:top w:val="single" w:sz="4" w:space="0" w:color="auto"/>
              <w:bottom w:val="single" w:sz="4" w:space="0" w:color="auto"/>
            </w:tcBorders>
          </w:tcPr>
          <w:p w14:paraId="1FB22A1F" w14:textId="77777777" w:rsidR="00794AFD" w:rsidRPr="00D13FE8" w:rsidRDefault="00794AFD" w:rsidP="00794AFD">
            <w:pPr>
              <w:ind w:left="-90"/>
              <w:rPr>
                <w:rFonts w:asciiTheme="minorHAnsi" w:hAnsiTheme="minorHAnsi" w:cs="Times New Roman"/>
                <w:b/>
                <w:sz w:val="20"/>
                <w:szCs w:val="20"/>
              </w:rPr>
            </w:pPr>
            <w:r w:rsidRPr="00D13FE8">
              <w:rPr>
                <w:rFonts w:asciiTheme="minorHAnsi" w:hAnsiTheme="minorHAnsi" w:cs="Times New Roman"/>
                <w:b/>
                <w:sz w:val="20"/>
                <w:szCs w:val="20"/>
              </w:rPr>
              <w:t>Other comprehensive income / (loss)</w:t>
            </w:r>
          </w:p>
        </w:tc>
        <w:tc>
          <w:tcPr>
            <w:tcW w:w="742" w:type="dxa"/>
            <w:tcBorders>
              <w:top w:val="single" w:sz="4" w:space="0" w:color="auto"/>
              <w:bottom w:val="single" w:sz="4" w:space="0" w:color="auto"/>
            </w:tcBorders>
          </w:tcPr>
          <w:p w14:paraId="11069FC3" w14:textId="77777777" w:rsidR="00794AFD" w:rsidRPr="00D13FE8" w:rsidRDefault="00794AFD" w:rsidP="00794AFD">
            <w:pPr>
              <w:rPr>
                <w:rFonts w:asciiTheme="minorHAnsi" w:hAnsiTheme="minorHAnsi" w:cs="Times New Roman"/>
                <w:i/>
                <w:iCs/>
                <w:sz w:val="20"/>
                <w:szCs w:val="20"/>
              </w:rPr>
            </w:pPr>
          </w:p>
        </w:tc>
        <w:tc>
          <w:tcPr>
            <w:tcW w:w="1559" w:type="dxa"/>
            <w:tcBorders>
              <w:top w:val="single" w:sz="4" w:space="0" w:color="auto"/>
              <w:bottom w:val="single" w:sz="4" w:space="0" w:color="auto"/>
            </w:tcBorders>
          </w:tcPr>
          <w:p w14:paraId="462BADAB"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(30.8)</w:t>
            </w:r>
          </w:p>
        </w:tc>
        <w:tc>
          <w:tcPr>
            <w:tcW w:w="1559" w:type="dxa"/>
            <w:tcBorders>
              <w:top w:val="single" w:sz="4" w:space="0" w:color="auto"/>
              <w:bottom w:val="single" w:sz="4" w:space="0" w:color="auto"/>
            </w:tcBorders>
          </w:tcPr>
          <w:p w14:paraId="14B24AF2"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26.1</w:t>
            </w:r>
          </w:p>
        </w:tc>
      </w:tr>
      <w:tr w:rsidR="00794AFD" w:rsidRPr="00D13FE8" w14:paraId="44C6B1BE" w14:textId="77777777" w:rsidTr="00794AFD">
        <w:trPr>
          <w:gridAfter w:val="1"/>
          <w:wAfter w:w="1559" w:type="dxa"/>
          <w:trHeight w:val="204"/>
        </w:trPr>
        <w:tc>
          <w:tcPr>
            <w:tcW w:w="5529" w:type="dxa"/>
            <w:tcBorders>
              <w:top w:val="single" w:sz="4" w:space="0" w:color="auto"/>
              <w:bottom w:val="single" w:sz="4" w:space="0" w:color="auto"/>
            </w:tcBorders>
          </w:tcPr>
          <w:p w14:paraId="59330BB8" w14:textId="77777777" w:rsidR="00794AFD" w:rsidRPr="00D13FE8" w:rsidRDefault="00794AFD" w:rsidP="00794AFD">
            <w:pPr>
              <w:ind w:left="-90"/>
              <w:rPr>
                <w:rFonts w:asciiTheme="minorHAnsi" w:hAnsiTheme="minorHAnsi" w:cs="Times New Roman"/>
                <w:b/>
                <w:sz w:val="20"/>
                <w:szCs w:val="20"/>
              </w:rPr>
            </w:pPr>
            <w:r w:rsidRPr="00D13FE8">
              <w:rPr>
                <w:rFonts w:asciiTheme="minorHAnsi" w:hAnsiTheme="minorHAnsi" w:cs="Times New Roman"/>
                <w:b/>
                <w:sz w:val="20"/>
                <w:szCs w:val="20"/>
              </w:rPr>
              <w:t xml:space="preserve">Total comprehensive income for the year </w:t>
            </w:r>
          </w:p>
        </w:tc>
        <w:tc>
          <w:tcPr>
            <w:tcW w:w="742" w:type="dxa"/>
            <w:tcBorders>
              <w:top w:val="single" w:sz="4" w:space="0" w:color="auto"/>
              <w:bottom w:val="single" w:sz="4" w:space="0" w:color="auto"/>
            </w:tcBorders>
          </w:tcPr>
          <w:p w14:paraId="165584B6" w14:textId="77777777" w:rsidR="00794AFD" w:rsidRPr="00D13FE8" w:rsidRDefault="00794AFD" w:rsidP="00794AFD">
            <w:pPr>
              <w:rPr>
                <w:rFonts w:asciiTheme="minorHAnsi" w:hAnsiTheme="minorHAnsi" w:cs="Times New Roman"/>
                <w:i/>
                <w:iCs/>
                <w:sz w:val="20"/>
                <w:szCs w:val="20"/>
              </w:rPr>
            </w:pPr>
          </w:p>
        </w:tc>
        <w:tc>
          <w:tcPr>
            <w:tcW w:w="1559" w:type="dxa"/>
            <w:tcBorders>
              <w:top w:val="single" w:sz="4" w:space="0" w:color="auto"/>
              <w:bottom w:val="single" w:sz="4" w:space="0" w:color="auto"/>
            </w:tcBorders>
          </w:tcPr>
          <w:p w14:paraId="69D0FF0D"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81.1</w:t>
            </w:r>
          </w:p>
        </w:tc>
        <w:tc>
          <w:tcPr>
            <w:tcW w:w="1559" w:type="dxa"/>
            <w:tcBorders>
              <w:top w:val="single" w:sz="4" w:space="0" w:color="auto"/>
              <w:bottom w:val="single" w:sz="4" w:space="0" w:color="auto"/>
            </w:tcBorders>
          </w:tcPr>
          <w:p w14:paraId="11D573C3"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206.8</w:t>
            </w:r>
          </w:p>
        </w:tc>
      </w:tr>
      <w:tr w:rsidR="00794AFD" w:rsidRPr="00D13FE8" w14:paraId="76A9F5F4" w14:textId="77777777" w:rsidTr="00794AFD">
        <w:trPr>
          <w:gridAfter w:val="1"/>
          <w:wAfter w:w="1559" w:type="dxa"/>
          <w:trHeight w:val="204"/>
        </w:trPr>
        <w:tc>
          <w:tcPr>
            <w:tcW w:w="5529" w:type="dxa"/>
            <w:tcBorders>
              <w:top w:val="single" w:sz="4" w:space="0" w:color="auto"/>
            </w:tcBorders>
          </w:tcPr>
          <w:p w14:paraId="159D9ED1" w14:textId="77777777" w:rsidR="00794AFD" w:rsidRPr="00D13FE8" w:rsidRDefault="00794AFD" w:rsidP="00794AFD">
            <w:pPr>
              <w:ind w:left="-90"/>
              <w:rPr>
                <w:rFonts w:asciiTheme="minorHAnsi" w:hAnsiTheme="minorHAnsi" w:cs="Times New Roman"/>
                <w:b/>
                <w:sz w:val="20"/>
                <w:szCs w:val="20"/>
              </w:rPr>
            </w:pPr>
          </w:p>
        </w:tc>
        <w:tc>
          <w:tcPr>
            <w:tcW w:w="742" w:type="dxa"/>
            <w:tcBorders>
              <w:top w:val="single" w:sz="4" w:space="0" w:color="auto"/>
            </w:tcBorders>
          </w:tcPr>
          <w:p w14:paraId="5AE274C4" w14:textId="77777777" w:rsidR="00794AFD" w:rsidRPr="00D13FE8" w:rsidRDefault="00794AFD" w:rsidP="00794AFD">
            <w:pPr>
              <w:rPr>
                <w:rFonts w:asciiTheme="minorHAnsi" w:hAnsiTheme="minorHAnsi" w:cs="Times New Roman"/>
                <w:i/>
                <w:iCs/>
                <w:sz w:val="20"/>
                <w:szCs w:val="20"/>
              </w:rPr>
            </w:pPr>
          </w:p>
        </w:tc>
        <w:tc>
          <w:tcPr>
            <w:tcW w:w="1559" w:type="dxa"/>
            <w:tcBorders>
              <w:top w:val="single" w:sz="4" w:space="0" w:color="auto"/>
            </w:tcBorders>
          </w:tcPr>
          <w:p w14:paraId="3CA66FED" w14:textId="77777777" w:rsidR="00794AFD" w:rsidRPr="00D13FE8" w:rsidRDefault="00794AFD" w:rsidP="00794AFD">
            <w:pPr>
              <w:jc w:val="right"/>
              <w:rPr>
                <w:rFonts w:asciiTheme="minorHAnsi" w:hAnsiTheme="minorHAnsi" w:cs="Times New Roman"/>
                <w:b/>
                <w:bCs/>
                <w:sz w:val="20"/>
                <w:szCs w:val="20"/>
              </w:rPr>
            </w:pPr>
          </w:p>
        </w:tc>
        <w:tc>
          <w:tcPr>
            <w:tcW w:w="1559" w:type="dxa"/>
            <w:tcBorders>
              <w:top w:val="single" w:sz="4" w:space="0" w:color="auto"/>
            </w:tcBorders>
          </w:tcPr>
          <w:p w14:paraId="5820A014" w14:textId="77777777" w:rsidR="00794AFD" w:rsidRPr="00D13FE8" w:rsidRDefault="00794AFD" w:rsidP="00794AFD">
            <w:pPr>
              <w:jc w:val="right"/>
              <w:rPr>
                <w:rFonts w:asciiTheme="minorHAnsi" w:hAnsiTheme="minorHAnsi" w:cs="Times New Roman"/>
                <w:bCs/>
                <w:sz w:val="20"/>
                <w:szCs w:val="20"/>
              </w:rPr>
            </w:pPr>
          </w:p>
        </w:tc>
      </w:tr>
      <w:tr w:rsidR="00794AFD" w:rsidRPr="00D13FE8" w14:paraId="4480D6F9" w14:textId="77777777" w:rsidTr="00794AFD">
        <w:trPr>
          <w:gridAfter w:val="1"/>
          <w:wAfter w:w="1559" w:type="dxa"/>
          <w:trHeight w:val="204"/>
        </w:trPr>
        <w:tc>
          <w:tcPr>
            <w:tcW w:w="5529" w:type="dxa"/>
          </w:tcPr>
          <w:p w14:paraId="714D97E9" w14:textId="77777777" w:rsidR="00794AFD" w:rsidRPr="00D13FE8" w:rsidRDefault="00794AFD" w:rsidP="00794AFD">
            <w:pPr>
              <w:ind w:left="-90"/>
              <w:rPr>
                <w:rFonts w:asciiTheme="minorHAnsi" w:hAnsiTheme="minorHAnsi" w:cs="Times New Roman"/>
                <w:b/>
                <w:sz w:val="20"/>
                <w:szCs w:val="20"/>
              </w:rPr>
            </w:pPr>
            <w:r w:rsidRPr="00D13FE8">
              <w:rPr>
                <w:rFonts w:asciiTheme="minorHAnsi" w:hAnsiTheme="minorHAnsi" w:cs="Times New Roman"/>
                <w:b/>
                <w:sz w:val="20"/>
                <w:szCs w:val="20"/>
              </w:rPr>
              <w:t>Attributable to:</w:t>
            </w:r>
          </w:p>
        </w:tc>
        <w:tc>
          <w:tcPr>
            <w:tcW w:w="742" w:type="dxa"/>
          </w:tcPr>
          <w:p w14:paraId="48C9B2AA" w14:textId="77777777" w:rsidR="00794AFD" w:rsidRPr="00D13FE8" w:rsidRDefault="00794AFD" w:rsidP="00794AFD">
            <w:pPr>
              <w:rPr>
                <w:rFonts w:asciiTheme="minorHAnsi" w:hAnsiTheme="minorHAnsi" w:cs="Times New Roman"/>
                <w:i/>
                <w:iCs/>
                <w:sz w:val="20"/>
                <w:szCs w:val="20"/>
              </w:rPr>
            </w:pPr>
          </w:p>
        </w:tc>
        <w:tc>
          <w:tcPr>
            <w:tcW w:w="1559" w:type="dxa"/>
          </w:tcPr>
          <w:p w14:paraId="7CD808AF" w14:textId="77777777" w:rsidR="00794AFD" w:rsidRPr="00D13FE8" w:rsidRDefault="00794AFD" w:rsidP="00794AFD">
            <w:pPr>
              <w:jc w:val="right"/>
              <w:rPr>
                <w:rFonts w:asciiTheme="minorHAnsi" w:hAnsiTheme="minorHAnsi" w:cs="Times New Roman"/>
                <w:b/>
                <w:bCs/>
                <w:sz w:val="20"/>
                <w:szCs w:val="20"/>
              </w:rPr>
            </w:pPr>
          </w:p>
        </w:tc>
        <w:tc>
          <w:tcPr>
            <w:tcW w:w="1559" w:type="dxa"/>
          </w:tcPr>
          <w:p w14:paraId="06D2151E" w14:textId="77777777" w:rsidR="00794AFD" w:rsidRPr="00D13FE8" w:rsidRDefault="00794AFD" w:rsidP="00794AFD">
            <w:pPr>
              <w:jc w:val="right"/>
              <w:rPr>
                <w:rFonts w:asciiTheme="minorHAnsi" w:hAnsiTheme="minorHAnsi" w:cs="Times New Roman"/>
                <w:bCs/>
                <w:sz w:val="20"/>
                <w:szCs w:val="20"/>
              </w:rPr>
            </w:pPr>
          </w:p>
        </w:tc>
      </w:tr>
      <w:tr w:rsidR="00794AFD" w:rsidRPr="00D13FE8" w14:paraId="0246B065" w14:textId="77777777" w:rsidTr="00794AFD">
        <w:trPr>
          <w:gridAfter w:val="1"/>
          <w:wAfter w:w="1559" w:type="dxa"/>
          <w:trHeight w:val="204"/>
        </w:trPr>
        <w:tc>
          <w:tcPr>
            <w:tcW w:w="5529" w:type="dxa"/>
          </w:tcPr>
          <w:p w14:paraId="1DC3D557" w14:textId="77777777" w:rsidR="00794AFD" w:rsidRPr="00D13FE8" w:rsidRDefault="00794AFD" w:rsidP="00794AFD">
            <w:pPr>
              <w:ind w:left="-90"/>
              <w:rPr>
                <w:rFonts w:asciiTheme="minorHAnsi" w:hAnsiTheme="minorHAnsi" w:cs="Times New Roman"/>
                <w:b/>
                <w:sz w:val="20"/>
                <w:szCs w:val="20"/>
              </w:rPr>
            </w:pPr>
            <w:r w:rsidRPr="00D13FE8">
              <w:rPr>
                <w:rFonts w:asciiTheme="minorHAnsi" w:hAnsiTheme="minorHAnsi" w:cs="Times New Roman"/>
                <w:bCs/>
                <w:sz w:val="20"/>
                <w:szCs w:val="20"/>
              </w:rPr>
              <w:t>Equity holders of the Company</w:t>
            </w:r>
          </w:p>
        </w:tc>
        <w:tc>
          <w:tcPr>
            <w:tcW w:w="742" w:type="dxa"/>
          </w:tcPr>
          <w:p w14:paraId="7CDC3DFF" w14:textId="77777777" w:rsidR="00794AFD" w:rsidRPr="00D13FE8" w:rsidRDefault="00794AFD" w:rsidP="00794AFD">
            <w:pPr>
              <w:rPr>
                <w:rFonts w:asciiTheme="minorHAnsi" w:hAnsiTheme="minorHAnsi" w:cs="Times New Roman"/>
                <w:i/>
                <w:iCs/>
                <w:sz w:val="20"/>
                <w:szCs w:val="20"/>
              </w:rPr>
            </w:pPr>
          </w:p>
        </w:tc>
        <w:tc>
          <w:tcPr>
            <w:tcW w:w="1559" w:type="dxa"/>
          </w:tcPr>
          <w:p w14:paraId="28436636"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120.7</w:t>
            </w:r>
          </w:p>
        </w:tc>
        <w:tc>
          <w:tcPr>
            <w:tcW w:w="1559" w:type="dxa"/>
          </w:tcPr>
          <w:p w14:paraId="3CB4E1C9"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219.3</w:t>
            </w:r>
          </w:p>
        </w:tc>
      </w:tr>
      <w:tr w:rsidR="00794AFD" w:rsidRPr="00D13FE8" w14:paraId="657633D4" w14:textId="77777777" w:rsidTr="00794AFD">
        <w:trPr>
          <w:gridAfter w:val="1"/>
          <w:wAfter w:w="1559" w:type="dxa"/>
          <w:trHeight w:val="204"/>
        </w:trPr>
        <w:tc>
          <w:tcPr>
            <w:tcW w:w="5529" w:type="dxa"/>
            <w:tcBorders>
              <w:bottom w:val="single" w:sz="4" w:space="0" w:color="auto"/>
            </w:tcBorders>
          </w:tcPr>
          <w:p w14:paraId="6CE9B408" w14:textId="77777777" w:rsidR="00794AFD" w:rsidRPr="00D13FE8" w:rsidRDefault="00794AFD" w:rsidP="00794AFD">
            <w:pPr>
              <w:ind w:left="-90"/>
              <w:rPr>
                <w:rFonts w:asciiTheme="minorHAnsi" w:hAnsiTheme="minorHAnsi" w:cs="Times New Roman"/>
                <w:b/>
                <w:sz w:val="20"/>
                <w:szCs w:val="20"/>
              </w:rPr>
            </w:pPr>
            <w:r w:rsidRPr="00D13FE8">
              <w:rPr>
                <w:rFonts w:asciiTheme="minorHAnsi" w:hAnsiTheme="minorHAnsi" w:cs="Times New Roman"/>
                <w:bCs/>
                <w:sz w:val="20"/>
                <w:szCs w:val="20"/>
              </w:rPr>
              <w:t>Non-controlling interest</w:t>
            </w:r>
          </w:p>
        </w:tc>
        <w:tc>
          <w:tcPr>
            <w:tcW w:w="742" w:type="dxa"/>
            <w:tcBorders>
              <w:bottom w:val="single" w:sz="4" w:space="0" w:color="auto"/>
            </w:tcBorders>
          </w:tcPr>
          <w:p w14:paraId="5CAC9097" w14:textId="77777777" w:rsidR="00794AFD" w:rsidRPr="00D13FE8" w:rsidRDefault="00794AFD" w:rsidP="00794AFD">
            <w:pPr>
              <w:rPr>
                <w:rFonts w:asciiTheme="minorHAnsi" w:hAnsiTheme="minorHAnsi" w:cs="Times New Roman"/>
                <w:i/>
                <w:iCs/>
                <w:sz w:val="20"/>
                <w:szCs w:val="20"/>
              </w:rPr>
            </w:pPr>
          </w:p>
        </w:tc>
        <w:tc>
          <w:tcPr>
            <w:tcW w:w="1559" w:type="dxa"/>
            <w:tcBorders>
              <w:bottom w:val="single" w:sz="4" w:space="0" w:color="auto"/>
            </w:tcBorders>
          </w:tcPr>
          <w:p w14:paraId="6333E12C"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(39.6)</w:t>
            </w:r>
          </w:p>
        </w:tc>
        <w:tc>
          <w:tcPr>
            <w:tcW w:w="1559" w:type="dxa"/>
            <w:tcBorders>
              <w:bottom w:val="single" w:sz="4" w:space="0" w:color="auto"/>
            </w:tcBorders>
          </w:tcPr>
          <w:p w14:paraId="58523989"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(12.5)</w:t>
            </w:r>
          </w:p>
        </w:tc>
      </w:tr>
      <w:tr w:rsidR="00794AFD" w:rsidRPr="00D13FE8" w14:paraId="4D8DD93C" w14:textId="77777777" w:rsidTr="00794AFD">
        <w:trPr>
          <w:gridAfter w:val="1"/>
          <w:wAfter w:w="1559" w:type="dxa"/>
          <w:trHeight w:val="204"/>
        </w:trPr>
        <w:tc>
          <w:tcPr>
            <w:tcW w:w="5529" w:type="dxa"/>
            <w:tcBorders>
              <w:top w:val="single" w:sz="4" w:space="0" w:color="auto"/>
              <w:bottom w:val="single" w:sz="4" w:space="0" w:color="auto"/>
            </w:tcBorders>
          </w:tcPr>
          <w:p w14:paraId="02AF3DE9" w14:textId="77777777" w:rsidR="00794AFD" w:rsidRPr="00D13FE8" w:rsidRDefault="00794AFD" w:rsidP="00794AFD">
            <w:pPr>
              <w:ind w:left="-90"/>
              <w:rPr>
                <w:rFonts w:asciiTheme="minorHAnsi" w:hAnsiTheme="minorHAnsi" w:cs="Times New Roman"/>
                <w:bCs/>
                <w:sz w:val="20"/>
                <w:szCs w:val="20"/>
              </w:rPr>
            </w:pPr>
          </w:p>
        </w:tc>
        <w:tc>
          <w:tcPr>
            <w:tcW w:w="742" w:type="dxa"/>
            <w:tcBorders>
              <w:top w:val="single" w:sz="4" w:space="0" w:color="auto"/>
              <w:bottom w:val="single" w:sz="4" w:space="0" w:color="auto"/>
            </w:tcBorders>
          </w:tcPr>
          <w:p w14:paraId="17E6CAB8" w14:textId="77777777" w:rsidR="00794AFD" w:rsidRPr="00D13FE8" w:rsidRDefault="00794AFD" w:rsidP="00794AFD">
            <w:pPr>
              <w:rPr>
                <w:rFonts w:asciiTheme="minorHAnsi" w:hAnsiTheme="minorHAnsi" w:cs="Times New Roman"/>
                <w:i/>
                <w:iCs/>
                <w:sz w:val="20"/>
                <w:szCs w:val="20"/>
              </w:rPr>
            </w:pPr>
          </w:p>
        </w:tc>
        <w:tc>
          <w:tcPr>
            <w:tcW w:w="1559" w:type="dxa"/>
            <w:tcBorders>
              <w:top w:val="single" w:sz="4" w:space="0" w:color="auto"/>
              <w:bottom w:val="single" w:sz="4" w:space="0" w:color="auto"/>
            </w:tcBorders>
          </w:tcPr>
          <w:p w14:paraId="0BFBBBBB" w14:textId="77777777" w:rsidR="00794AFD" w:rsidRPr="00D13FE8" w:rsidRDefault="00794AFD" w:rsidP="00794AFD">
            <w:pPr>
              <w:jc w:val="right"/>
              <w:rPr>
                <w:rFonts w:asciiTheme="minorHAnsi" w:hAnsiTheme="minorHAnsi" w:cs="Times New Roman"/>
                <w:b/>
                <w:bCs/>
                <w:sz w:val="20"/>
                <w:szCs w:val="20"/>
              </w:rPr>
            </w:pPr>
            <w:r w:rsidRPr="00D13FE8">
              <w:rPr>
                <w:rFonts w:asciiTheme="minorHAnsi" w:hAnsiTheme="minorHAnsi" w:cs="Times New Roman"/>
                <w:b/>
                <w:bCs/>
                <w:sz w:val="20"/>
                <w:szCs w:val="20"/>
              </w:rPr>
              <w:t>81.1</w:t>
            </w:r>
          </w:p>
        </w:tc>
        <w:tc>
          <w:tcPr>
            <w:tcW w:w="1559" w:type="dxa"/>
            <w:tcBorders>
              <w:top w:val="single" w:sz="4" w:space="0" w:color="auto"/>
              <w:bottom w:val="single" w:sz="4" w:space="0" w:color="auto"/>
            </w:tcBorders>
          </w:tcPr>
          <w:p w14:paraId="535DB8F8" w14:textId="77777777" w:rsidR="00794AFD" w:rsidRPr="00D13FE8" w:rsidRDefault="00794AFD" w:rsidP="00794AFD">
            <w:pPr>
              <w:jc w:val="right"/>
              <w:rPr>
                <w:rFonts w:asciiTheme="minorHAnsi" w:hAnsiTheme="minorHAnsi" w:cs="Times New Roman"/>
                <w:bCs/>
                <w:sz w:val="20"/>
                <w:szCs w:val="20"/>
              </w:rPr>
            </w:pPr>
            <w:r w:rsidRPr="00D13FE8">
              <w:rPr>
                <w:rFonts w:asciiTheme="minorHAnsi" w:hAnsiTheme="minorHAnsi" w:cs="Times New Roman"/>
                <w:bCs/>
                <w:sz w:val="20"/>
                <w:szCs w:val="20"/>
              </w:rPr>
              <w:t>206.8</w:t>
            </w:r>
          </w:p>
        </w:tc>
      </w:tr>
    </w:tbl>
    <w:p w14:paraId="55D3B627" w14:textId="77777777" w:rsidR="00794AFD" w:rsidRPr="00D13FE8" w:rsidRDefault="00794AFD" w:rsidP="00794AFD">
      <w:pPr>
        <w:widowControl/>
        <w:autoSpaceDE/>
        <w:autoSpaceDN/>
        <w:adjustRightInd/>
        <w:rPr>
          <w:rFonts w:asciiTheme="minorHAnsi" w:hAnsiTheme="minorHAnsi" w:cs="Times New Roman"/>
          <w:sz w:val="20"/>
          <w:szCs w:val="20"/>
        </w:rPr>
      </w:pPr>
    </w:p>
    <w:p w14:paraId="35FFCA77" w14:textId="77777777" w:rsidR="00794AFD" w:rsidRPr="001C5950" w:rsidRDefault="00794AFD" w:rsidP="00794AFD">
      <w:pPr>
        <w:widowControl/>
        <w:autoSpaceDE/>
        <w:autoSpaceDN/>
        <w:adjustRightInd/>
        <w:rPr>
          <w:rFonts w:asciiTheme="minorHAnsi" w:hAnsiTheme="minorHAnsi" w:cs="Times New Roman"/>
          <w:sz w:val="20"/>
          <w:szCs w:val="20"/>
        </w:rPr>
      </w:pPr>
      <w:r w:rsidRPr="000944E4">
        <w:rPr>
          <w:rFonts w:asciiTheme="minorHAnsi" w:hAnsiTheme="minorHAnsi" w:cs="Times New Roman"/>
          <w:sz w:val="20"/>
          <w:szCs w:val="20"/>
        </w:rPr>
        <w:t xml:space="preserve">Notes 1 to </w:t>
      </w:r>
      <w:r>
        <w:rPr>
          <w:rFonts w:asciiTheme="minorHAnsi" w:hAnsiTheme="minorHAnsi" w:cs="Times New Roman"/>
          <w:sz w:val="20"/>
          <w:szCs w:val="20"/>
        </w:rPr>
        <w:t>17</w:t>
      </w:r>
      <w:r w:rsidRPr="003A5032">
        <w:rPr>
          <w:rFonts w:asciiTheme="minorHAnsi" w:hAnsiTheme="minorHAnsi" w:cs="Times New Roman"/>
          <w:sz w:val="20"/>
          <w:szCs w:val="20"/>
        </w:rPr>
        <w:t xml:space="preserve"> on pages</w:t>
      </w:r>
      <w:r>
        <w:rPr>
          <w:rFonts w:asciiTheme="minorHAnsi" w:hAnsiTheme="minorHAnsi" w:cs="Times New Roman"/>
          <w:sz w:val="20"/>
          <w:szCs w:val="20"/>
        </w:rPr>
        <w:t xml:space="preserve"> 29</w:t>
      </w:r>
      <w:r w:rsidRPr="003A5032">
        <w:rPr>
          <w:rFonts w:asciiTheme="minorHAnsi" w:hAnsiTheme="minorHAnsi" w:cs="Times New Roman"/>
          <w:sz w:val="20"/>
          <w:szCs w:val="20"/>
        </w:rPr>
        <w:t xml:space="preserve"> to</w:t>
      </w:r>
      <w:r>
        <w:rPr>
          <w:rFonts w:asciiTheme="minorHAnsi" w:hAnsiTheme="minorHAnsi" w:cs="Times New Roman"/>
          <w:sz w:val="20"/>
          <w:szCs w:val="20"/>
        </w:rPr>
        <w:t xml:space="preserve"> 54</w:t>
      </w:r>
      <w:r w:rsidRPr="003A5032">
        <w:rPr>
          <w:rFonts w:asciiTheme="minorHAnsi" w:hAnsiTheme="minorHAnsi" w:cs="Times New Roman"/>
          <w:sz w:val="20"/>
          <w:szCs w:val="20"/>
        </w:rPr>
        <w:t xml:space="preserve"> form an integral part of these</w:t>
      </w:r>
      <w:r>
        <w:rPr>
          <w:rFonts w:asciiTheme="minorHAnsi" w:hAnsiTheme="minorHAnsi" w:cs="Times New Roman"/>
          <w:sz w:val="20"/>
          <w:szCs w:val="20"/>
        </w:rPr>
        <w:t xml:space="preserve"> condensed</w:t>
      </w:r>
      <w:r w:rsidRPr="003A5032">
        <w:rPr>
          <w:rFonts w:asciiTheme="minorHAnsi" w:hAnsiTheme="minorHAnsi" w:cs="Times New Roman"/>
          <w:sz w:val="20"/>
          <w:szCs w:val="20"/>
        </w:rPr>
        <w:t xml:space="preserve"> consolidated financial statements.</w:t>
      </w:r>
    </w:p>
    <w:p w14:paraId="3106F7F8" w14:textId="77777777" w:rsidR="00794AFD" w:rsidRPr="003A5032" w:rsidRDefault="00794AFD" w:rsidP="00794AFD">
      <w:pPr>
        <w:rPr>
          <w:rFonts w:asciiTheme="minorHAnsi" w:hAnsiTheme="minorHAnsi" w:cs="Times New Roman"/>
          <w:b/>
          <w:sz w:val="20"/>
          <w:szCs w:val="20"/>
        </w:rPr>
      </w:pPr>
      <w:r w:rsidRPr="00FC3D06">
        <w:rPr>
          <w:rFonts w:asciiTheme="minorHAnsi" w:hAnsiTheme="minorHAnsi" w:cs="Times New Roman"/>
          <w:sz w:val="20"/>
          <w:szCs w:val="20"/>
        </w:rPr>
        <w:br w:type="page"/>
      </w:r>
      <w:r w:rsidRPr="00F16276">
        <w:rPr>
          <w:rFonts w:asciiTheme="minorHAnsi" w:hAnsiTheme="minorHAnsi" w:cs="Times New Roman"/>
          <w:b/>
          <w:sz w:val="20"/>
          <w:szCs w:val="20"/>
        </w:rPr>
        <w:lastRenderedPageBreak/>
        <w:t xml:space="preserve">CONDENSED </w:t>
      </w:r>
      <w:r w:rsidRPr="003A5032">
        <w:rPr>
          <w:rFonts w:asciiTheme="minorHAnsi" w:hAnsiTheme="minorHAnsi" w:cs="Times New Roman"/>
          <w:b/>
          <w:sz w:val="20"/>
          <w:szCs w:val="20"/>
        </w:rPr>
        <w:t>CONSOLIDATED STATEMENT OF FINANCIAL POSITION</w:t>
      </w:r>
    </w:p>
    <w:p w14:paraId="7363BC88" w14:textId="77777777" w:rsidR="00794AFD" w:rsidRPr="009D0BDE" w:rsidRDefault="00794AFD" w:rsidP="00794AFD">
      <w:pPr>
        <w:rPr>
          <w:rFonts w:asciiTheme="minorHAnsi" w:hAnsiTheme="minorHAnsi" w:cs="Times New Roman"/>
          <w:b/>
          <w:sz w:val="20"/>
          <w:szCs w:val="20"/>
        </w:rPr>
      </w:pPr>
      <w:r w:rsidRPr="009D0BDE">
        <w:rPr>
          <w:rFonts w:asciiTheme="minorHAnsi" w:hAnsiTheme="minorHAnsi" w:cs="Times New Roman"/>
          <w:b/>
          <w:sz w:val="20"/>
          <w:szCs w:val="20"/>
        </w:rPr>
        <w:t>As at 31 December 2019</w:t>
      </w:r>
    </w:p>
    <w:p w14:paraId="5444ACA2" w14:textId="77777777" w:rsidR="00794AFD" w:rsidRPr="009D0BDE" w:rsidRDefault="00794AFD" w:rsidP="00794AFD">
      <w:pPr>
        <w:rPr>
          <w:rFonts w:asciiTheme="minorHAnsi" w:hAnsiTheme="minorHAnsi" w:cs="Times New Roman"/>
          <w:b/>
          <w:sz w:val="10"/>
          <w:szCs w:val="10"/>
        </w:rPr>
      </w:pPr>
    </w:p>
    <w:p w14:paraId="699FAD2C" w14:textId="77777777" w:rsidR="00794AFD" w:rsidRPr="009D0BDE" w:rsidRDefault="00794AFD" w:rsidP="00794AFD">
      <w:pPr>
        <w:rPr>
          <w:rFonts w:asciiTheme="minorHAnsi" w:hAnsiTheme="minorHAnsi" w:cs="Times New Roman"/>
          <w:b/>
          <w:sz w:val="8"/>
          <w:szCs w:val="8"/>
        </w:rPr>
      </w:pPr>
    </w:p>
    <w:tbl>
      <w:tblPr>
        <w:tblW w:w="9532" w:type="dxa"/>
        <w:tblInd w:w="108" w:type="dxa"/>
        <w:tblLayout w:type="fixed"/>
        <w:tblLook w:val="0000" w:firstRow="0" w:lastRow="0" w:firstColumn="0" w:lastColumn="0" w:noHBand="0" w:noVBand="0"/>
      </w:tblPr>
      <w:tblGrid>
        <w:gridCol w:w="4995"/>
        <w:gridCol w:w="567"/>
        <w:gridCol w:w="2127"/>
        <w:gridCol w:w="1843"/>
      </w:tblGrid>
      <w:tr w:rsidR="00794AFD" w:rsidRPr="009D0BDE" w14:paraId="785B4201" w14:textId="77777777" w:rsidTr="00794AFD">
        <w:trPr>
          <w:trHeight w:val="432"/>
        </w:trPr>
        <w:tc>
          <w:tcPr>
            <w:tcW w:w="4995" w:type="dxa"/>
            <w:tcBorders>
              <w:top w:val="single" w:sz="4" w:space="0" w:color="auto"/>
              <w:left w:val="nil"/>
              <w:bottom w:val="single" w:sz="4" w:space="0" w:color="auto"/>
              <w:right w:val="nil"/>
            </w:tcBorders>
          </w:tcPr>
          <w:p w14:paraId="2DC36786" w14:textId="77777777" w:rsidR="00794AFD" w:rsidRPr="009D0BDE" w:rsidRDefault="00794AFD" w:rsidP="00794AFD">
            <w:pPr>
              <w:ind w:left="-108"/>
              <w:jc w:val="both"/>
              <w:rPr>
                <w:rFonts w:asciiTheme="minorHAnsi" w:hAnsiTheme="minorHAnsi" w:cs="Times New Roman"/>
                <w:sz w:val="20"/>
                <w:szCs w:val="20"/>
              </w:rPr>
            </w:pPr>
          </w:p>
        </w:tc>
        <w:tc>
          <w:tcPr>
            <w:tcW w:w="567" w:type="dxa"/>
            <w:tcBorders>
              <w:top w:val="single" w:sz="4" w:space="0" w:color="auto"/>
              <w:left w:val="nil"/>
              <w:bottom w:val="single" w:sz="4" w:space="0" w:color="auto"/>
              <w:right w:val="nil"/>
            </w:tcBorders>
            <w:shd w:val="clear" w:color="auto" w:fill="auto"/>
          </w:tcPr>
          <w:p w14:paraId="3C6740CB" w14:textId="77777777" w:rsidR="00794AFD" w:rsidRPr="009D0BDE" w:rsidRDefault="00794AFD" w:rsidP="00794AFD">
            <w:pPr>
              <w:ind w:left="-108"/>
              <w:jc w:val="center"/>
              <w:rPr>
                <w:rFonts w:asciiTheme="minorHAnsi" w:hAnsiTheme="minorHAnsi" w:cs="Times New Roman"/>
                <w:iCs/>
                <w:sz w:val="20"/>
                <w:szCs w:val="20"/>
              </w:rPr>
            </w:pPr>
            <w:r w:rsidRPr="009D0BDE">
              <w:rPr>
                <w:rFonts w:asciiTheme="minorHAnsi" w:hAnsiTheme="minorHAnsi" w:cs="Times New Roman"/>
                <w:iCs/>
                <w:sz w:val="20"/>
                <w:szCs w:val="20"/>
              </w:rPr>
              <w:t>Note</w:t>
            </w:r>
          </w:p>
        </w:tc>
        <w:tc>
          <w:tcPr>
            <w:tcW w:w="2127" w:type="dxa"/>
            <w:tcBorders>
              <w:top w:val="single" w:sz="4" w:space="0" w:color="auto"/>
              <w:left w:val="nil"/>
              <w:bottom w:val="single" w:sz="4" w:space="0" w:color="auto"/>
              <w:right w:val="nil"/>
            </w:tcBorders>
            <w:shd w:val="clear" w:color="auto" w:fill="auto"/>
          </w:tcPr>
          <w:p w14:paraId="602D7FAA" w14:textId="77777777" w:rsidR="00794AFD" w:rsidRPr="009D0BDE" w:rsidRDefault="00794AFD" w:rsidP="00794AFD">
            <w:pPr>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31 December 2019</w:t>
            </w:r>
          </w:p>
          <w:p w14:paraId="4C878761" w14:textId="77777777" w:rsidR="00794AFD" w:rsidRPr="009D0BDE" w:rsidRDefault="00794AFD" w:rsidP="00794AFD">
            <w:pPr>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£m</w:t>
            </w:r>
          </w:p>
        </w:tc>
        <w:tc>
          <w:tcPr>
            <w:tcW w:w="1843" w:type="dxa"/>
            <w:tcBorders>
              <w:top w:val="single" w:sz="4" w:space="0" w:color="auto"/>
              <w:left w:val="nil"/>
              <w:bottom w:val="single" w:sz="4" w:space="0" w:color="auto"/>
              <w:right w:val="nil"/>
            </w:tcBorders>
            <w:shd w:val="clear" w:color="auto" w:fill="auto"/>
          </w:tcPr>
          <w:p w14:paraId="0661804A" w14:textId="77777777" w:rsidR="00794AFD" w:rsidRPr="009D0BDE" w:rsidRDefault="00794AFD" w:rsidP="00794AFD">
            <w:pPr>
              <w:ind w:left="-108"/>
              <w:jc w:val="right"/>
              <w:rPr>
                <w:rFonts w:asciiTheme="minorHAnsi" w:hAnsiTheme="minorHAnsi" w:cs="Times New Roman"/>
                <w:bCs/>
                <w:sz w:val="20"/>
                <w:szCs w:val="20"/>
              </w:rPr>
            </w:pPr>
            <w:r w:rsidRPr="009D0BDE">
              <w:rPr>
                <w:rFonts w:asciiTheme="minorHAnsi" w:hAnsiTheme="minorHAnsi" w:cs="Times New Roman"/>
                <w:bCs/>
                <w:sz w:val="20"/>
                <w:szCs w:val="20"/>
              </w:rPr>
              <w:t>31 December 2018</w:t>
            </w:r>
            <w:r>
              <w:rPr>
                <w:rFonts w:asciiTheme="minorHAnsi" w:hAnsiTheme="minorHAnsi" w:cs="Times New Roman"/>
                <w:bCs/>
                <w:sz w:val="20"/>
                <w:szCs w:val="20"/>
              </w:rPr>
              <w:t xml:space="preserve"> </w:t>
            </w:r>
            <w:r w:rsidRPr="00F16276">
              <w:rPr>
                <w:rFonts w:asciiTheme="minorHAnsi" w:hAnsiTheme="minorHAnsi" w:cs="Times New Roman"/>
                <w:bCs/>
                <w:sz w:val="20"/>
                <w:szCs w:val="20"/>
                <w:vertAlign w:val="superscript"/>
              </w:rPr>
              <w:t>1</w:t>
            </w:r>
          </w:p>
          <w:p w14:paraId="65834782" w14:textId="77777777" w:rsidR="00794AFD" w:rsidRPr="009D0BDE" w:rsidRDefault="00794AFD" w:rsidP="00794AFD">
            <w:pPr>
              <w:ind w:left="-108"/>
              <w:jc w:val="right"/>
              <w:rPr>
                <w:rFonts w:asciiTheme="minorHAnsi" w:hAnsiTheme="minorHAnsi" w:cs="Times New Roman"/>
                <w:bCs/>
                <w:sz w:val="20"/>
                <w:szCs w:val="20"/>
              </w:rPr>
            </w:pPr>
            <w:r w:rsidRPr="009D0BDE">
              <w:rPr>
                <w:rFonts w:asciiTheme="minorHAnsi" w:hAnsiTheme="minorHAnsi" w:cs="Times New Roman"/>
                <w:bCs/>
                <w:sz w:val="20"/>
                <w:szCs w:val="20"/>
              </w:rPr>
              <w:t>£m</w:t>
            </w:r>
          </w:p>
        </w:tc>
      </w:tr>
      <w:tr w:rsidR="00794AFD" w:rsidRPr="009D0BDE" w14:paraId="7213E406" w14:textId="77777777" w:rsidTr="00794AFD">
        <w:trPr>
          <w:trHeight w:val="80"/>
        </w:trPr>
        <w:tc>
          <w:tcPr>
            <w:tcW w:w="4995" w:type="dxa"/>
            <w:tcBorders>
              <w:top w:val="single" w:sz="4" w:space="0" w:color="auto"/>
              <w:left w:val="nil"/>
              <w:bottom w:val="nil"/>
              <w:right w:val="nil"/>
            </w:tcBorders>
          </w:tcPr>
          <w:p w14:paraId="60002343" w14:textId="77777777" w:rsidR="00794AFD" w:rsidRPr="009D0BDE" w:rsidRDefault="00794AFD" w:rsidP="00794AFD">
            <w:pPr>
              <w:spacing w:after="120"/>
              <w:ind w:left="-108"/>
              <w:rPr>
                <w:rFonts w:asciiTheme="minorHAnsi" w:hAnsiTheme="minorHAnsi" w:cs="Times New Roman"/>
                <w:b/>
                <w:bCs/>
                <w:sz w:val="20"/>
                <w:szCs w:val="20"/>
              </w:rPr>
            </w:pPr>
            <w:r w:rsidRPr="009D0BDE">
              <w:rPr>
                <w:rFonts w:asciiTheme="minorHAnsi" w:hAnsiTheme="minorHAnsi" w:cs="Times New Roman"/>
                <w:b/>
                <w:bCs/>
                <w:sz w:val="20"/>
                <w:szCs w:val="20"/>
              </w:rPr>
              <w:t>Assets</w:t>
            </w:r>
          </w:p>
        </w:tc>
        <w:tc>
          <w:tcPr>
            <w:tcW w:w="567" w:type="dxa"/>
            <w:tcBorders>
              <w:top w:val="single" w:sz="4" w:space="0" w:color="auto"/>
              <w:left w:val="nil"/>
              <w:bottom w:val="nil"/>
              <w:right w:val="nil"/>
            </w:tcBorders>
          </w:tcPr>
          <w:p w14:paraId="0055A7C5"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single" w:sz="4" w:space="0" w:color="auto"/>
              <w:left w:val="nil"/>
              <w:bottom w:val="nil"/>
              <w:right w:val="nil"/>
            </w:tcBorders>
          </w:tcPr>
          <w:p w14:paraId="7111EFA7" w14:textId="77777777" w:rsidR="00794AFD" w:rsidRPr="009D0BDE" w:rsidRDefault="00794AFD" w:rsidP="00794AFD">
            <w:pPr>
              <w:ind w:left="-108"/>
              <w:jc w:val="right"/>
              <w:rPr>
                <w:rFonts w:asciiTheme="minorHAnsi" w:hAnsiTheme="minorHAnsi" w:cs="Times New Roman"/>
                <w:b/>
                <w:bCs/>
                <w:sz w:val="20"/>
                <w:szCs w:val="20"/>
              </w:rPr>
            </w:pPr>
          </w:p>
        </w:tc>
        <w:tc>
          <w:tcPr>
            <w:tcW w:w="1843" w:type="dxa"/>
            <w:tcBorders>
              <w:top w:val="single" w:sz="4" w:space="0" w:color="auto"/>
              <w:left w:val="nil"/>
              <w:bottom w:val="nil"/>
              <w:right w:val="nil"/>
            </w:tcBorders>
            <w:shd w:val="clear" w:color="auto" w:fill="auto"/>
          </w:tcPr>
          <w:p w14:paraId="5823D79F" w14:textId="77777777" w:rsidR="00794AFD" w:rsidRPr="009D0BDE" w:rsidRDefault="00794AFD" w:rsidP="00794AFD">
            <w:pPr>
              <w:ind w:left="-108"/>
              <w:jc w:val="right"/>
              <w:rPr>
                <w:rFonts w:asciiTheme="minorHAnsi" w:hAnsiTheme="minorHAnsi" w:cs="Times New Roman"/>
                <w:bCs/>
                <w:sz w:val="20"/>
                <w:szCs w:val="20"/>
              </w:rPr>
            </w:pPr>
          </w:p>
        </w:tc>
      </w:tr>
      <w:tr w:rsidR="00794AFD" w:rsidRPr="009D0BDE" w14:paraId="78055280" w14:textId="77777777" w:rsidTr="00794AFD">
        <w:tc>
          <w:tcPr>
            <w:tcW w:w="4995" w:type="dxa"/>
            <w:tcBorders>
              <w:top w:val="nil"/>
              <w:left w:val="nil"/>
              <w:bottom w:val="nil"/>
              <w:right w:val="nil"/>
            </w:tcBorders>
          </w:tcPr>
          <w:p w14:paraId="001F9E4A"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Property, plant and equipment</w:t>
            </w:r>
          </w:p>
        </w:tc>
        <w:tc>
          <w:tcPr>
            <w:tcW w:w="567" w:type="dxa"/>
            <w:tcBorders>
              <w:top w:val="nil"/>
              <w:left w:val="nil"/>
              <w:bottom w:val="nil"/>
              <w:right w:val="nil"/>
            </w:tcBorders>
          </w:tcPr>
          <w:p w14:paraId="580823C5"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nil"/>
              <w:left w:val="nil"/>
              <w:bottom w:val="nil"/>
              <w:right w:val="nil"/>
            </w:tcBorders>
          </w:tcPr>
          <w:p w14:paraId="4B5120D2" w14:textId="77777777" w:rsidR="00794AFD" w:rsidRPr="009D0BDE" w:rsidRDefault="00794AFD" w:rsidP="00794AFD">
            <w:pPr>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298.2</w:t>
            </w:r>
          </w:p>
        </w:tc>
        <w:tc>
          <w:tcPr>
            <w:tcW w:w="1843" w:type="dxa"/>
            <w:tcBorders>
              <w:top w:val="nil"/>
              <w:left w:val="nil"/>
              <w:bottom w:val="nil"/>
              <w:right w:val="nil"/>
            </w:tcBorders>
            <w:shd w:val="clear" w:color="auto" w:fill="auto"/>
          </w:tcPr>
          <w:p w14:paraId="026501DE" w14:textId="77777777" w:rsidR="00794AFD" w:rsidRPr="009D0BDE" w:rsidRDefault="00794AFD" w:rsidP="00794AFD">
            <w:pPr>
              <w:ind w:left="-108"/>
              <w:jc w:val="right"/>
              <w:rPr>
                <w:rFonts w:asciiTheme="minorHAnsi" w:hAnsiTheme="minorHAnsi" w:cs="Times New Roman"/>
                <w:bCs/>
                <w:sz w:val="20"/>
                <w:szCs w:val="20"/>
              </w:rPr>
            </w:pPr>
            <w:r w:rsidRPr="009D0BDE">
              <w:rPr>
                <w:rFonts w:asciiTheme="minorHAnsi" w:hAnsiTheme="minorHAnsi" w:cs="Times New Roman"/>
                <w:bCs/>
                <w:sz w:val="20"/>
                <w:szCs w:val="20"/>
              </w:rPr>
              <w:t>130.4</w:t>
            </w:r>
          </w:p>
        </w:tc>
      </w:tr>
      <w:tr w:rsidR="00794AFD" w:rsidRPr="009D0BDE" w14:paraId="5D5EB60B" w14:textId="77777777" w:rsidTr="00794AFD">
        <w:tc>
          <w:tcPr>
            <w:tcW w:w="4995" w:type="dxa"/>
            <w:tcBorders>
              <w:top w:val="nil"/>
              <w:left w:val="nil"/>
              <w:bottom w:val="nil"/>
              <w:right w:val="nil"/>
            </w:tcBorders>
          </w:tcPr>
          <w:p w14:paraId="7F3AE2D2"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Intangible assets</w:t>
            </w:r>
          </w:p>
        </w:tc>
        <w:tc>
          <w:tcPr>
            <w:tcW w:w="567" w:type="dxa"/>
            <w:tcBorders>
              <w:top w:val="nil"/>
              <w:left w:val="nil"/>
              <w:bottom w:val="nil"/>
              <w:right w:val="nil"/>
            </w:tcBorders>
          </w:tcPr>
          <w:p w14:paraId="111C9FD5"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nil"/>
              <w:left w:val="nil"/>
              <w:bottom w:val="nil"/>
              <w:right w:val="nil"/>
            </w:tcBorders>
          </w:tcPr>
          <w:p w14:paraId="122C6681" w14:textId="77777777" w:rsidR="00794AFD" w:rsidRPr="009D0BDE" w:rsidRDefault="00794AFD" w:rsidP="00794AFD">
            <w:pPr>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558.5</w:t>
            </w:r>
          </w:p>
        </w:tc>
        <w:tc>
          <w:tcPr>
            <w:tcW w:w="1843" w:type="dxa"/>
            <w:tcBorders>
              <w:top w:val="nil"/>
              <w:left w:val="nil"/>
              <w:bottom w:val="nil"/>
              <w:right w:val="nil"/>
            </w:tcBorders>
            <w:shd w:val="clear" w:color="auto" w:fill="auto"/>
          </w:tcPr>
          <w:p w14:paraId="4C651836" w14:textId="77777777" w:rsidR="00794AFD" w:rsidRPr="009D0BDE" w:rsidRDefault="00794AFD" w:rsidP="00794AFD">
            <w:pPr>
              <w:ind w:left="-108"/>
              <w:jc w:val="right"/>
              <w:rPr>
                <w:rFonts w:asciiTheme="minorHAnsi" w:hAnsiTheme="minorHAnsi" w:cs="Times New Roman"/>
                <w:bCs/>
                <w:sz w:val="20"/>
                <w:szCs w:val="20"/>
              </w:rPr>
            </w:pPr>
            <w:r w:rsidRPr="009D0BDE">
              <w:rPr>
                <w:rFonts w:asciiTheme="minorHAnsi" w:hAnsiTheme="minorHAnsi" w:cs="Times New Roman"/>
                <w:bCs/>
                <w:sz w:val="20"/>
                <w:szCs w:val="20"/>
              </w:rPr>
              <w:t>578.1</w:t>
            </w:r>
          </w:p>
        </w:tc>
      </w:tr>
      <w:tr w:rsidR="00794AFD" w:rsidRPr="009D0BDE" w14:paraId="3812AAAE" w14:textId="77777777" w:rsidTr="00794AFD">
        <w:trPr>
          <w:trHeight w:val="92"/>
        </w:trPr>
        <w:tc>
          <w:tcPr>
            <w:tcW w:w="4995" w:type="dxa"/>
            <w:tcBorders>
              <w:top w:val="nil"/>
              <w:left w:val="nil"/>
              <w:right w:val="nil"/>
            </w:tcBorders>
          </w:tcPr>
          <w:p w14:paraId="157AA974"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Goodwill</w:t>
            </w:r>
          </w:p>
        </w:tc>
        <w:tc>
          <w:tcPr>
            <w:tcW w:w="567" w:type="dxa"/>
            <w:tcBorders>
              <w:top w:val="nil"/>
              <w:left w:val="nil"/>
              <w:right w:val="nil"/>
            </w:tcBorders>
          </w:tcPr>
          <w:p w14:paraId="1DC3785F"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7</w:t>
            </w:r>
          </w:p>
        </w:tc>
        <w:tc>
          <w:tcPr>
            <w:tcW w:w="2127" w:type="dxa"/>
            <w:tcBorders>
              <w:top w:val="nil"/>
              <w:left w:val="nil"/>
              <w:right w:val="nil"/>
            </w:tcBorders>
          </w:tcPr>
          <w:p w14:paraId="6EED94F3" w14:textId="77777777" w:rsidR="00794AFD" w:rsidRPr="000944E4" w:rsidRDefault="00794AFD" w:rsidP="00794AFD">
            <w:pPr>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4,120.3</w:t>
            </w:r>
          </w:p>
        </w:tc>
        <w:tc>
          <w:tcPr>
            <w:tcW w:w="1843" w:type="dxa"/>
            <w:tcBorders>
              <w:top w:val="nil"/>
              <w:left w:val="nil"/>
              <w:right w:val="nil"/>
            </w:tcBorders>
            <w:shd w:val="clear" w:color="auto" w:fill="auto"/>
          </w:tcPr>
          <w:p w14:paraId="2B781036"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4,075.3</w:t>
            </w:r>
          </w:p>
        </w:tc>
      </w:tr>
      <w:tr w:rsidR="00794AFD" w:rsidRPr="009D0BDE" w14:paraId="45E186C3" w14:textId="77777777" w:rsidTr="00794AFD">
        <w:trPr>
          <w:trHeight w:val="180"/>
        </w:trPr>
        <w:tc>
          <w:tcPr>
            <w:tcW w:w="4995" w:type="dxa"/>
            <w:tcBorders>
              <w:left w:val="nil"/>
              <w:right w:val="nil"/>
            </w:tcBorders>
          </w:tcPr>
          <w:p w14:paraId="3F2A9E7E"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Deferred tax assets</w:t>
            </w:r>
          </w:p>
        </w:tc>
        <w:tc>
          <w:tcPr>
            <w:tcW w:w="567" w:type="dxa"/>
            <w:tcBorders>
              <w:left w:val="nil"/>
              <w:right w:val="nil"/>
            </w:tcBorders>
          </w:tcPr>
          <w:p w14:paraId="610F13F9"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left w:val="nil"/>
              <w:right w:val="nil"/>
            </w:tcBorders>
          </w:tcPr>
          <w:p w14:paraId="1A7E2D3F"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11.9</w:t>
            </w:r>
          </w:p>
        </w:tc>
        <w:tc>
          <w:tcPr>
            <w:tcW w:w="1843" w:type="dxa"/>
            <w:tcBorders>
              <w:left w:val="nil"/>
              <w:right w:val="nil"/>
            </w:tcBorders>
            <w:shd w:val="clear" w:color="auto" w:fill="auto"/>
          </w:tcPr>
          <w:p w14:paraId="759A920A"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10.7</w:t>
            </w:r>
          </w:p>
        </w:tc>
      </w:tr>
      <w:tr w:rsidR="00794AFD" w:rsidRPr="009D0BDE" w14:paraId="0743837B" w14:textId="77777777" w:rsidTr="00794AFD">
        <w:tc>
          <w:tcPr>
            <w:tcW w:w="4995" w:type="dxa"/>
            <w:tcBorders>
              <w:left w:val="nil"/>
              <w:right w:val="nil"/>
            </w:tcBorders>
          </w:tcPr>
          <w:p w14:paraId="77FBCDDD" w14:textId="77777777" w:rsidR="00794AFD" w:rsidRPr="009D0BDE" w:rsidRDefault="00794AFD" w:rsidP="00794AFD">
            <w:pPr>
              <w:ind w:left="-108"/>
              <w:rPr>
                <w:rFonts w:asciiTheme="minorHAnsi" w:hAnsiTheme="minorHAnsi" w:cs="Times New Roman"/>
                <w:bCs/>
                <w:sz w:val="20"/>
                <w:szCs w:val="20"/>
              </w:rPr>
            </w:pPr>
            <w:r w:rsidRPr="009D0BDE">
              <w:rPr>
                <w:rFonts w:asciiTheme="minorHAnsi" w:hAnsiTheme="minorHAnsi" w:cs="Times New Roman"/>
                <w:bCs/>
                <w:sz w:val="20"/>
                <w:szCs w:val="20"/>
              </w:rPr>
              <w:t>Investments</w:t>
            </w:r>
          </w:p>
        </w:tc>
        <w:tc>
          <w:tcPr>
            <w:tcW w:w="567" w:type="dxa"/>
            <w:tcBorders>
              <w:left w:val="nil"/>
              <w:right w:val="nil"/>
            </w:tcBorders>
          </w:tcPr>
          <w:p w14:paraId="12158E20"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9</w:t>
            </w:r>
          </w:p>
        </w:tc>
        <w:tc>
          <w:tcPr>
            <w:tcW w:w="2127" w:type="dxa"/>
            <w:tcBorders>
              <w:left w:val="nil"/>
              <w:right w:val="nil"/>
            </w:tcBorders>
          </w:tcPr>
          <w:p w14:paraId="5FFA1865" w14:textId="77777777" w:rsidR="00794AFD" w:rsidRPr="000944E4" w:rsidRDefault="00794AFD" w:rsidP="00794AFD">
            <w:pPr>
              <w:tabs>
                <w:tab w:val="center" w:pos="786"/>
                <w:tab w:val="right" w:pos="1572"/>
              </w:tabs>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0.1</w:t>
            </w:r>
          </w:p>
        </w:tc>
        <w:tc>
          <w:tcPr>
            <w:tcW w:w="1843" w:type="dxa"/>
            <w:tcBorders>
              <w:left w:val="nil"/>
              <w:right w:val="nil"/>
            </w:tcBorders>
            <w:shd w:val="clear" w:color="auto" w:fill="auto"/>
          </w:tcPr>
          <w:p w14:paraId="1886D26E" w14:textId="77777777" w:rsidR="00794AFD" w:rsidRPr="003A5032" w:rsidRDefault="00794AFD" w:rsidP="00794AFD">
            <w:pPr>
              <w:tabs>
                <w:tab w:val="center" w:pos="786"/>
                <w:tab w:val="right" w:pos="1572"/>
              </w:tabs>
              <w:ind w:left="-108"/>
              <w:jc w:val="right"/>
              <w:rPr>
                <w:rFonts w:asciiTheme="minorHAnsi" w:hAnsiTheme="minorHAnsi" w:cs="Times New Roman"/>
                <w:bCs/>
                <w:sz w:val="20"/>
                <w:szCs w:val="20"/>
              </w:rPr>
            </w:pPr>
            <w:r w:rsidRPr="003A5032">
              <w:rPr>
                <w:rFonts w:asciiTheme="minorHAnsi" w:hAnsiTheme="minorHAnsi" w:cs="Times New Roman"/>
                <w:bCs/>
                <w:sz w:val="20"/>
                <w:szCs w:val="20"/>
              </w:rPr>
              <w:t>2.4</w:t>
            </w:r>
          </w:p>
        </w:tc>
      </w:tr>
      <w:tr w:rsidR="00794AFD" w:rsidRPr="009D0BDE" w14:paraId="03A8A729" w14:textId="77777777" w:rsidTr="00794AFD">
        <w:tc>
          <w:tcPr>
            <w:tcW w:w="4995" w:type="dxa"/>
            <w:tcBorders>
              <w:left w:val="nil"/>
              <w:bottom w:val="single" w:sz="4" w:space="0" w:color="auto"/>
              <w:right w:val="nil"/>
            </w:tcBorders>
          </w:tcPr>
          <w:p w14:paraId="4417BE08" w14:textId="77777777" w:rsidR="00794AFD" w:rsidRPr="009D0BDE" w:rsidRDefault="00794AFD" w:rsidP="00794AFD">
            <w:pPr>
              <w:ind w:left="-108"/>
              <w:rPr>
                <w:rFonts w:asciiTheme="minorHAnsi" w:hAnsiTheme="minorHAnsi" w:cs="Times New Roman"/>
                <w:bCs/>
                <w:sz w:val="20"/>
                <w:szCs w:val="20"/>
              </w:rPr>
            </w:pPr>
            <w:r w:rsidRPr="009D0BDE">
              <w:rPr>
                <w:rFonts w:asciiTheme="minorHAnsi" w:hAnsiTheme="minorHAnsi" w:cs="Times New Roman"/>
                <w:bCs/>
                <w:sz w:val="20"/>
                <w:szCs w:val="20"/>
              </w:rPr>
              <w:t>Other receivables</w:t>
            </w:r>
          </w:p>
        </w:tc>
        <w:tc>
          <w:tcPr>
            <w:tcW w:w="567" w:type="dxa"/>
            <w:tcBorders>
              <w:left w:val="nil"/>
              <w:bottom w:val="single" w:sz="4" w:space="0" w:color="auto"/>
              <w:right w:val="nil"/>
            </w:tcBorders>
          </w:tcPr>
          <w:p w14:paraId="5DE20329"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9</w:t>
            </w:r>
          </w:p>
        </w:tc>
        <w:tc>
          <w:tcPr>
            <w:tcW w:w="2127" w:type="dxa"/>
            <w:tcBorders>
              <w:left w:val="nil"/>
              <w:bottom w:val="single" w:sz="4" w:space="0" w:color="auto"/>
              <w:right w:val="nil"/>
            </w:tcBorders>
            <w:shd w:val="clear" w:color="auto" w:fill="auto"/>
          </w:tcPr>
          <w:p w14:paraId="42A015F5" w14:textId="77777777" w:rsidR="00794AFD" w:rsidRPr="000944E4" w:rsidRDefault="00794AFD" w:rsidP="00794AFD">
            <w:pPr>
              <w:tabs>
                <w:tab w:val="center" w:pos="786"/>
                <w:tab w:val="right" w:pos="1572"/>
              </w:tabs>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50.4</w:t>
            </w:r>
          </w:p>
        </w:tc>
        <w:tc>
          <w:tcPr>
            <w:tcW w:w="1843" w:type="dxa"/>
            <w:tcBorders>
              <w:left w:val="nil"/>
              <w:bottom w:val="single" w:sz="4" w:space="0" w:color="auto"/>
              <w:right w:val="nil"/>
            </w:tcBorders>
            <w:shd w:val="clear" w:color="auto" w:fill="auto"/>
          </w:tcPr>
          <w:p w14:paraId="12773E95" w14:textId="77777777" w:rsidR="00794AFD" w:rsidRPr="003A5032" w:rsidRDefault="00794AFD" w:rsidP="00794AFD">
            <w:pPr>
              <w:tabs>
                <w:tab w:val="center" w:pos="786"/>
                <w:tab w:val="right" w:pos="1572"/>
              </w:tabs>
              <w:ind w:left="-108"/>
              <w:jc w:val="right"/>
              <w:rPr>
                <w:rFonts w:asciiTheme="minorHAnsi" w:hAnsiTheme="minorHAnsi" w:cs="Times New Roman"/>
                <w:bCs/>
                <w:sz w:val="20"/>
                <w:szCs w:val="20"/>
              </w:rPr>
            </w:pPr>
            <w:r w:rsidRPr="003A5032">
              <w:rPr>
                <w:rFonts w:asciiTheme="minorHAnsi" w:hAnsiTheme="minorHAnsi" w:cs="Times New Roman"/>
                <w:bCs/>
                <w:sz w:val="20"/>
                <w:szCs w:val="20"/>
              </w:rPr>
              <w:t>8.9</w:t>
            </w:r>
          </w:p>
        </w:tc>
      </w:tr>
      <w:tr w:rsidR="00794AFD" w:rsidRPr="009D0BDE" w14:paraId="6F82D487" w14:textId="77777777" w:rsidTr="00794AFD">
        <w:tc>
          <w:tcPr>
            <w:tcW w:w="4995" w:type="dxa"/>
            <w:tcBorders>
              <w:top w:val="single" w:sz="4" w:space="0" w:color="auto"/>
              <w:left w:val="nil"/>
              <w:bottom w:val="single" w:sz="4" w:space="0" w:color="auto"/>
              <w:right w:val="nil"/>
            </w:tcBorders>
          </w:tcPr>
          <w:p w14:paraId="782178E1" w14:textId="77777777" w:rsidR="00794AFD" w:rsidRPr="009D0BDE" w:rsidRDefault="00794AFD" w:rsidP="00794AFD">
            <w:pPr>
              <w:ind w:left="-108"/>
              <w:rPr>
                <w:rFonts w:asciiTheme="minorHAnsi" w:hAnsiTheme="minorHAnsi" w:cs="Times New Roman"/>
                <w:b/>
                <w:bCs/>
                <w:sz w:val="20"/>
                <w:szCs w:val="20"/>
              </w:rPr>
            </w:pPr>
            <w:r w:rsidRPr="009D0BDE">
              <w:rPr>
                <w:rFonts w:asciiTheme="minorHAnsi" w:hAnsiTheme="minorHAnsi" w:cs="Times New Roman"/>
                <w:b/>
                <w:bCs/>
                <w:sz w:val="20"/>
                <w:szCs w:val="20"/>
              </w:rPr>
              <w:t>Total non-current assets</w:t>
            </w:r>
          </w:p>
        </w:tc>
        <w:tc>
          <w:tcPr>
            <w:tcW w:w="567" w:type="dxa"/>
            <w:tcBorders>
              <w:top w:val="single" w:sz="4" w:space="0" w:color="auto"/>
              <w:left w:val="nil"/>
              <w:bottom w:val="single" w:sz="4" w:space="0" w:color="auto"/>
              <w:right w:val="nil"/>
            </w:tcBorders>
          </w:tcPr>
          <w:p w14:paraId="3727374A"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single" w:sz="4" w:space="0" w:color="auto"/>
              <w:left w:val="nil"/>
              <w:bottom w:val="single" w:sz="4" w:space="0" w:color="auto"/>
              <w:right w:val="nil"/>
            </w:tcBorders>
          </w:tcPr>
          <w:p w14:paraId="7680ECEB" w14:textId="77777777" w:rsidR="00794AFD" w:rsidRPr="000944E4" w:rsidRDefault="00794AFD" w:rsidP="00794AFD">
            <w:pPr>
              <w:tabs>
                <w:tab w:val="center" w:pos="786"/>
                <w:tab w:val="right" w:pos="1572"/>
              </w:tabs>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5,039.4</w:t>
            </w:r>
          </w:p>
        </w:tc>
        <w:tc>
          <w:tcPr>
            <w:tcW w:w="1843" w:type="dxa"/>
            <w:tcBorders>
              <w:top w:val="single" w:sz="4" w:space="0" w:color="auto"/>
              <w:left w:val="nil"/>
              <w:bottom w:val="single" w:sz="4" w:space="0" w:color="auto"/>
              <w:right w:val="nil"/>
            </w:tcBorders>
            <w:shd w:val="clear" w:color="auto" w:fill="auto"/>
          </w:tcPr>
          <w:p w14:paraId="4B0DE7CF" w14:textId="77777777" w:rsidR="00794AFD" w:rsidRPr="003A5032" w:rsidRDefault="00794AFD" w:rsidP="00794AFD">
            <w:pPr>
              <w:tabs>
                <w:tab w:val="center" w:pos="786"/>
                <w:tab w:val="right" w:pos="1572"/>
              </w:tabs>
              <w:ind w:left="-108"/>
              <w:jc w:val="right"/>
              <w:rPr>
                <w:rFonts w:asciiTheme="minorHAnsi" w:hAnsiTheme="minorHAnsi" w:cs="Times New Roman"/>
                <w:bCs/>
                <w:sz w:val="20"/>
                <w:szCs w:val="20"/>
              </w:rPr>
            </w:pPr>
            <w:r w:rsidRPr="003A5032">
              <w:rPr>
                <w:rFonts w:asciiTheme="minorHAnsi" w:hAnsiTheme="minorHAnsi" w:cs="Times New Roman"/>
                <w:bCs/>
                <w:sz w:val="20"/>
                <w:szCs w:val="20"/>
              </w:rPr>
              <w:t>4,805.8</w:t>
            </w:r>
          </w:p>
        </w:tc>
      </w:tr>
      <w:tr w:rsidR="00794AFD" w:rsidRPr="009D0BDE" w14:paraId="751F3F88" w14:textId="77777777" w:rsidTr="00794AFD">
        <w:trPr>
          <w:trHeight w:val="331"/>
        </w:trPr>
        <w:tc>
          <w:tcPr>
            <w:tcW w:w="4995" w:type="dxa"/>
            <w:tcBorders>
              <w:top w:val="single" w:sz="4" w:space="0" w:color="auto"/>
              <w:left w:val="nil"/>
              <w:right w:val="nil"/>
            </w:tcBorders>
          </w:tcPr>
          <w:p w14:paraId="09202134" w14:textId="77777777" w:rsidR="00794AFD" w:rsidRPr="009D0BDE" w:rsidRDefault="00794AFD" w:rsidP="00794AFD">
            <w:pPr>
              <w:ind w:left="-108"/>
              <w:rPr>
                <w:rFonts w:asciiTheme="minorHAnsi" w:hAnsiTheme="minorHAnsi" w:cs="Times New Roman"/>
                <w:sz w:val="20"/>
                <w:szCs w:val="20"/>
              </w:rPr>
            </w:pPr>
          </w:p>
          <w:p w14:paraId="30A67992"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Trade and other receivables</w:t>
            </w:r>
          </w:p>
        </w:tc>
        <w:tc>
          <w:tcPr>
            <w:tcW w:w="567" w:type="dxa"/>
            <w:tcBorders>
              <w:top w:val="single" w:sz="4" w:space="0" w:color="auto"/>
              <w:left w:val="nil"/>
              <w:right w:val="nil"/>
            </w:tcBorders>
          </w:tcPr>
          <w:p w14:paraId="7D9299EC" w14:textId="77777777" w:rsidR="00794AFD" w:rsidRDefault="00794AFD" w:rsidP="00794AFD">
            <w:pPr>
              <w:ind w:left="-108"/>
              <w:jc w:val="center"/>
              <w:rPr>
                <w:rFonts w:asciiTheme="minorHAnsi" w:hAnsiTheme="minorHAnsi" w:cs="Times New Roman"/>
                <w:iCs/>
                <w:sz w:val="20"/>
                <w:szCs w:val="20"/>
              </w:rPr>
            </w:pPr>
          </w:p>
          <w:p w14:paraId="7C27E24D"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9</w:t>
            </w:r>
          </w:p>
        </w:tc>
        <w:tc>
          <w:tcPr>
            <w:tcW w:w="2127" w:type="dxa"/>
            <w:tcBorders>
              <w:top w:val="single" w:sz="4" w:space="0" w:color="auto"/>
              <w:left w:val="nil"/>
              <w:right w:val="nil"/>
            </w:tcBorders>
            <w:shd w:val="clear" w:color="auto" w:fill="auto"/>
          </w:tcPr>
          <w:p w14:paraId="21218FA6" w14:textId="77777777" w:rsidR="00794AFD" w:rsidRPr="000944E4" w:rsidRDefault="00794AFD" w:rsidP="00794AFD">
            <w:pPr>
              <w:ind w:left="-108"/>
              <w:jc w:val="right"/>
              <w:rPr>
                <w:rFonts w:asciiTheme="minorHAnsi" w:hAnsiTheme="minorHAnsi" w:cs="Times New Roman"/>
                <w:b/>
                <w:bCs/>
                <w:sz w:val="20"/>
                <w:szCs w:val="20"/>
              </w:rPr>
            </w:pPr>
          </w:p>
          <w:p w14:paraId="1F908788"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64.6</w:t>
            </w:r>
          </w:p>
        </w:tc>
        <w:tc>
          <w:tcPr>
            <w:tcW w:w="1843" w:type="dxa"/>
            <w:tcBorders>
              <w:top w:val="single" w:sz="4" w:space="0" w:color="auto"/>
              <w:left w:val="nil"/>
              <w:right w:val="nil"/>
            </w:tcBorders>
            <w:shd w:val="clear" w:color="auto" w:fill="auto"/>
          </w:tcPr>
          <w:p w14:paraId="06AC370A" w14:textId="77777777" w:rsidR="00794AFD" w:rsidRPr="003A5032" w:rsidRDefault="00794AFD" w:rsidP="00794AFD">
            <w:pPr>
              <w:ind w:left="-108"/>
              <w:jc w:val="right"/>
              <w:rPr>
                <w:rFonts w:asciiTheme="minorHAnsi" w:hAnsiTheme="minorHAnsi" w:cs="Times New Roman"/>
                <w:bCs/>
                <w:sz w:val="20"/>
                <w:szCs w:val="20"/>
              </w:rPr>
            </w:pPr>
          </w:p>
          <w:p w14:paraId="17C82AD1" w14:textId="77777777" w:rsidR="00794AFD" w:rsidRPr="009D0BDE" w:rsidRDefault="00794AFD" w:rsidP="00794AFD">
            <w:pPr>
              <w:ind w:left="-108"/>
              <w:jc w:val="right"/>
              <w:rPr>
                <w:rFonts w:asciiTheme="minorHAnsi" w:hAnsiTheme="minorHAnsi" w:cs="Times New Roman"/>
                <w:bCs/>
                <w:sz w:val="20"/>
                <w:szCs w:val="20"/>
              </w:rPr>
            </w:pPr>
            <w:r w:rsidRPr="009D0BDE">
              <w:rPr>
                <w:rFonts w:asciiTheme="minorHAnsi" w:hAnsiTheme="minorHAnsi" w:cs="Times New Roman"/>
                <w:bCs/>
                <w:sz w:val="20"/>
                <w:szCs w:val="20"/>
              </w:rPr>
              <w:t>81.8</w:t>
            </w:r>
          </w:p>
        </w:tc>
      </w:tr>
      <w:tr w:rsidR="00794AFD" w:rsidRPr="009D0BDE" w14:paraId="441D9263" w14:textId="77777777" w:rsidTr="00794AFD">
        <w:trPr>
          <w:trHeight w:val="198"/>
        </w:trPr>
        <w:tc>
          <w:tcPr>
            <w:tcW w:w="4995" w:type="dxa"/>
            <w:tcBorders>
              <w:left w:val="nil"/>
              <w:bottom w:val="nil"/>
              <w:right w:val="nil"/>
            </w:tcBorders>
          </w:tcPr>
          <w:p w14:paraId="4AD539AB"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Financial assets – restricted cash</w:t>
            </w:r>
          </w:p>
        </w:tc>
        <w:tc>
          <w:tcPr>
            <w:tcW w:w="567" w:type="dxa"/>
            <w:tcBorders>
              <w:left w:val="nil"/>
              <w:bottom w:val="nil"/>
              <w:right w:val="nil"/>
            </w:tcBorders>
          </w:tcPr>
          <w:p w14:paraId="7112394C"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10</w:t>
            </w:r>
          </w:p>
        </w:tc>
        <w:tc>
          <w:tcPr>
            <w:tcW w:w="2127" w:type="dxa"/>
            <w:tcBorders>
              <w:left w:val="nil"/>
              <w:right w:val="nil"/>
            </w:tcBorders>
            <w:shd w:val="clear" w:color="auto" w:fill="auto"/>
          </w:tcPr>
          <w:p w14:paraId="632D1331" w14:textId="77777777" w:rsidR="00794AFD" w:rsidRPr="009D0BDE" w:rsidRDefault="00794AFD" w:rsidP="00794AFD">
            <w:pPr>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189.1</w:t>
            </w:r>
          </w:p>
        </w:tc>
        <w:tc>
          <w:tcPr>
            <w:tcW w:w="1843" w:type="dxa"/>
            <w:tcBorders>
              <w:left w:val="nil"/>
              <w:right w:val="nil"/>
            </w:tcBorders>
            <w:shd w:val="clear" w:color="auto" w:fill="auto"/>
          </w:tcPr>
          <w:p w14:paraId="53461EEF" w14:textId="77777777" w:rsidR="00794AFD" w:rsidRPr="009D0BDE" w:rsidRDefault="00794AFD" w:rsidP="00794AFD">
            <w:pPr>
              <w:ind w:left="-108"/>
              <w:jc w:val="right"/>
              <w:rPr>
                <w:rFonts w:asciiTheme="minorHAnsi" w:hAnsiTheme="minorHAnsi" w:cs="Times New Roman"/>
                <w:bCs/>
                <w:sz w:val="20"/>
                <w:szCs w:val="20"/>
              </w:rPr>
            </w:pPr>
            <w:r w:rsidRPr="009D0BDE">
              <w:rPr>
                <w:rFonts w:asciiTheme="minorHAnsi" w:hAnsiTheme="minorHAnsi" w:cs="Times New Roman"/>
                <w:bCs/>
                <w:sz w:val="20"/>
                <w:szCs w:val="20"/>
              </w:rPr>
              <w:t>167.2</w:t>
            </w:r>
          </w:p>
        </w:tc>
      </w:tr>
      <w:tr w:rsidR="00794AFD" w:rsidRPr="009D0BDE" w14:paraId="21B3BD3D" w14:textId="77777777" w:rsidTr="00794AFD">
        <w:trPr>
          <w:trHeight w:val="198"/>
        </w:trPr>
        <w:tc>
          <w:tcPr>
            <w:tcW w:w="4995" w:type="dxa"/>
            <w:tcBorders>
              <w:top w:val="nil"/>
              <w:left w:val="nil"/>
              <w:bottom w:val="single" w:sz="4" w:space="0" w:color="auto"/>
              <w:right w:val="nil"/>
            </w:tcBorders>
          </w:tcPr>
          <w:p w14:paraId="3D85B875"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Cash and cash equivalents</w:t>
            </w:r>
          </w:p>
        </w:tc>
        <w:tc>
          <w:tcPr>
            <w:tcW w:w="567" w:type="dxa"/>
            <w:tcBorders>
              <w:top w:val="nil"/>
              <w:left w:val="nil"/>
              <w:bottom w:val="single" w:sz="4" w:space="0" w:color="auto"/>
              <w:right w:val="nil"/>
            </w:tcBorders>
          </w:tcPr>
          <w:p w14:paraId="4E0227D6"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10</w:t>
            </w:r>
          </w:p>
        </w:tc>
        <w:tc>
          <w:tcPr>
            <w:tcW w:w="2127" w:type="dxa"/>
            <w:tcBorders>
              <w:top w:val="nil"/>
              <w:left w:val="nil"/>
              <w:bottom w:val="single" w:sz="4" w:space="0" w:color="auto"/>
              <w:right w:val="nil"/>
            </w:tcBorders>
            <w:shd w:val="clear" w:color="auto" w:fill="auto"/>
          </w:tcPr>
          <w:p w14:paraId="43BF1396" w14:textId="77777777" w:rsidR="00794AFD" w:rsidRPr="009D0BDE" w:rsidRDefault="00794AFD" w:rsidP="00794AFD">
            <w:pPr>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108.1</w:t>
            </w:r>
          </w:p>
        </w:tc>
        <w:tc>
          <w:tcPr>
            <w:tcW w:w="1843" w:type="dxa"/>
            <w:tcBorders>
              <w:top w:val="nil"/>
              <w:left w:val="nil"/>
              <w:bottom w:val="single" w:sz="4" w:space="0" w:color="auto"/>
              <w:right w:val="nil"/>
            </w:tcBorders>
            <w:shd w:val="clear" w:color="auto" w:fill="auto"/>
          </w:tcPr>
          <w:p w14:paraId="145F28FA" w14:textId="77777777" w:rsidR="00794AFD" w:rsidRPr="009D0BDE" w:rsidRDefault="00794AFD" w:rsidP="00794AFD">
            <w:pPr>
              <w:ind w:left="-108"/>
              <w:jc w:val="right"/>
              <w:rPr>
                <w:rFonts w:asciiTheme="minorHAnsi" w:hAnsiTheme="minorHAnsi" w:cs="Times New Roman"/>
                <w:bCs/>
                <w:sz w:val="20"/>
                <w:szCs w:val="20"/>
              </w:rPr>
            </w:pPr>
            <w:r w:rsidRPr="009D0BDE">
              <w:rPr>
                <w:rFonts w:asciiTheme="minorHAnsi" w:hAnsiTheme="minorHAnsi" w:cs="Times New Roman"/>
                <w:bCs/>
                <w:sz w:val="20"/>
                <w:szCs w:val="20"/>
              </w:rPr>
              <w:t>123.7</w:t>
            </w:r>
          </w:p>
        </w:tc>
      </w:tr>
      <w:tr w:rsidR="00794AFD" w:rsidRPr="009D0BDE" w14:paraId="4DA1FDB4" w14:textId="77777777" w:rsidTr="00794AFD">
        <w:trPr>
          <w:trHeight w:val="215"/>
        </w:trPr>
        <w:tc>
          <w:tcPr>
            <w:tcW w:w="4995" w:type="dxa"/>
            <w:tcBorders>
              <w:top w:val="single" w:sz="4" w:space="0" w:color="auto"/>
              <w:left w:val="nil"/>
              <w:bottom w:val="single" w:sz="4" w:space="0" w:color="auto"/>
              <w:right w:val="nil"/>
            </w:tcBorders>
          </w:tcPr>
          <w:p w14:paraId="076F8C67" w14:textId="77777777" w:rsidR="00794AFD" w:rsidRPr="009D0BDE" w:rsidRDefault="00794AFD" w:rsidP="00794AFD">
            <w:pPr>
              <w:ind w:left="-108"/>
              <w:rPr>
                <w:rFonts w:asciiTheme="minorHAnsi" w:hAnsiTheme="minorHAnsi" w:cs="Times New Roman"/>
                <w:b/>
                <w:bCs/>
                <w:sz w:val="20"/>
                <w:szCs w:val="20"/>
              </w:rPr>
            </w:pPr>
            <w:r w:rsidRPr="009D0BDE">
              <w:rPr>
                <w:rFonts w:asciiTheme="minorHAnsi" w:hAnsiTheme="minorHAnsi" w:cs="Times New Roman"/>
                <w:b/>
                <w:bCs/>
                <w:sz w:val="20"/>
                <w:szCs w:val="20"/>
              </w:rPr>
              <w:t>Total current assets</w:t>
            </w:r>
          </w:p>
        </w:tc>
        <w:tc>
          <w:tcPr>
            <w:tcW w:w="567" w:type="dxa"/>
            <w:tcBorders>
              <w:top w:val="single" w:sz="4" w:space="0" w:color="auto"/>
              <w:left w:val="nil"/>
              <w:bottom w:val="single" w:sz="4" w:space="0" w:color="auto"/>
              <w:right w:val="nil"/>
            </w:tcBorders>
          </w:tcPr>
          <w:p w14:paraId="5D6A0A95"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single" w:sz="4" w:space="0" w:color="auto"/>
              <w:left w:val="nil"/>
              <w:bottom w:val="single" w:sz="4" w:space="0" w:color="auto"/>
              <w:right w:val="nil"/>
            </w:tcBorders>
          </w:tcPr>
          <w:p w14:paraId="4824D4B0" w14:textId="77777777" w:rsidR="00794AFD" w:rsidRPr="009D0BDE" w:rsidRDefault="00794AFD" w:rsidP="00794AFD">
            <w:pPr>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361.8</w:t>
            </w:r>
          </w:p>
        </w:tc>
        <w:tc>
          <w:tcPr>
            <w:tcW w:w="1843" w:type="dxa"/>
            <w:tcBorders>
              <w:top w:val="single" w:sz="4" w:space="0" w:color="auto"/>
              <w:left w:val="nil"/>
              <w:bottom w:val="single" w:sz="4" w:space="0" w:color="auto"/>
              <w:right w:val="nil"/>
            </w:tcBorders>
            <w:shd w:val="clear" w:color="auto" w:fill="auto"/>
          </w:tcPr>
          <w:p w14:paraId="4800469E" w14:textId="77777777" w:rsidR="00794AFD" w:rsidRPr="009D0BDE" w:rsidRDefault="00794AFD" w:rsidP="00794AFD">
            <w:pPr>
              <w:ind w:left="-108"/>
              <w:jc w:val="right"/>
              <w:rPr>
                <w:rFonts w:asciiTheme="minorHAnsi" w:hAnsiTheme="minorHAnsi" w:cs="Times New Roman"/>
                <w:bCs/>
                <w:sz w:val="20"/>
                <w:szCs w:val="20"/>
              </w:rPr>
            </w:pPr>
            <w:r w:rsidRPr="009D0BDE">
              <w:rPr>
                <w:rFonts w:asciiTheme="minorHAnsi" w:hAnsiTheme="minorHAnsi" w:cs="Times New Roman"/>
                <w:bCs/>
                <w:sz w:val="20"/>
                <w:szCs w:val="20"/>
              </w:rPr>
              <w:t>372.7</w:t>
            </w:r>
          </w:p>
        </w:tc>
      </w:tr>
      <w:tr w:rsidR="00794AFD" w:rsidRPr="009D0BDE" w14:paraId="4E07E6F1" w14:textId="77777777" w:rsidTr="00794AFD">
        <w:trPr>
          <w:trHeight w:val="261"/>
        </w:trPr>
        <w:tc>
          <w:tcPr>
            <w:tcW w:w="4995" w:type="dxa"/>
            <w:tcBorders>
              <w:top w:val="single" w:sz="4" w:space="0" w:color="auto"/>
              <w:left w:val="nil"/>
              <w:bottom w:val="single" w:sz="4" w:space="0" w:color="auto"/>
              <w:right w:val="nil"/>
            </w:tcBorders>
          </w:tcPr>
          <w:p w14:paraId="5A8EC838" w14:textId="77777777" w:rsidR="00794AFD" w:rsidRPr="009D0BDE" w:rsidRDefault="00794AFD" w:rsidP="00794AFD">
            <w:pPr>
              <w:ind w:left="-108"/>
              <w:rPr>
                <w:rFonts w:asciiTheme="minorHAnsi" w:hAnsiTheme="minorHAnsi" w:cs="Times New Roman"/>
                <w:b/>
                <w:bCs/>
                <w:sz w:val="20"/>
                <w:szCs w:val="20"/>
              </w:rPr>
            </w:pPr>
          </w:p>
          <w:p w14:paraId="32A3E06A" w14:textId="77777777" w:rsidR="00794AFD" w:rsidRPr="009D0BDE" w:rsidRDefault="00794AFD" w:rsidP="00794AFD">
            <w:pPr>
              <w:ind w:left="-108"/>
              <w:rPr>
                <w:rFonts w:asciiTheme="minorHAnsi" w:hAnsiTheme="minorHAnsi" w:cs="Times New Roman"/>
                <w:b/>
                <w:bCs/>
                <w:sz w:val="20"/>
                <w:szCs w:val="20"/>
              </w:rPr>
            </w:pPr>
            <w:r w:rsidRPr="009D0BDE">
              <w:rPr>
                <w:rFonts w:asciiTheme="minorHAnsi" w:hAnsiTheme="minorHAnsi" w:cs="Times New Roman"/>
                <w:b/>
                <w:bCs/>
                <w:sz w:val="20"/>
                <w:szCs w:val="20"/>
              </w:rPr>
              <w:t>Total assets</w:t>
            </w:r>
          </w:p>
        </w:tc>
        <w:tc>
          <w:tcPr>
            <w:tcW w:w="567" w:type="dxa"/>
            <w:tcBorders>
              <w:top w:val="single" w:sz="4" w:space="0" w:color="auto"/>
              <w:left w:val="nil"/>
              <w:bottom w:val="single" w:sz="4" w:space="0" w:color="auto"/>
              <w:right w:val="nil"/>
            </w:tcBorders>
          </w:tcPr>
          <w:p w14:paraId="53E514B4"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single" w:sz="4" w:space="0" w:color="auto"/>
              <w:left w:val="nil"/>
              <w:bottom w:val="single" w:sz="4" w:space="0" w:color="auto"/>
              <w:right w:val="nil"/>
            </w:tcBorders>
          </w:tcPr>
          <w:p w14:paraId="16582133" w14:textId="77777777" w:rsidR="00794AFD" w:rsidRPr="009D0BDE" w:rsidRDefault="00794AFD" w:rsidP="00794AFD">
            <w:pPr>
              <w:ind w:left="-108"/>
              <w:jc w:val="right"/>
              <w:rPr>
                <w:rFonts w:asciiTheme="minorHAnsi" w:hAnsiTheme="minorHAnsi" w:cs="Times New Roman"/>
                <w:b/>
                <w:bCs/>
                <w:sz w:val="20"/>
                <w:szCs w:val="20"/>
              </w:rPr>
            </w:pPr>
          </w:p>
          <w:p w14:paraId="4DFE52E8" w14:textId="77777777" w:rsidR="00794AFD" w:rsidRPr="009D0BDE" w:rsidRDefault="00794AFD" w:rsidP="00794AFD">
            <w:pPr>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5,401.2</w:t>
            </w:r>
          </w:p>
        </w:tc>
        <w:tc>
          <w:tcPr>
            <w:tcW w:w="1843" w:type="dxa"/>
            <w:tcBorders>
              <w:top w:val="single" w:sz="4" w:space="0" w:color="auto"/>
              <w:left w:val="nil"/>
              <w:bottom w:val="single" w:sz="4" w:space="0" w:color="auto"/>
              <w:right w:val="nil"/>
            </w:tcBorders>
            <w:shd w:val="clear" w:color="auto" w:fill="auto"/>
          </w:tcPr>
          <w:p w14:paraId="30BF5CA8" w14:textId="77777777" w:rsidR="00794AFD" w:rsidRPr="009D0BDE" w:rsidRDefault="00794AFD" w:rsidP="00794AFD">
            <w:pPr>
              <w:ind w:left="-108"/>
              <w:jc w:val="right"/>
              <w:rPr>
                <w:rFonts w:asciiTheme="minorHAnsi" w:hAnsiTheme="minorHAnsi" w:cs="Times New Roman"/>
                <w:bCs/>
                <w:sz w:val="20"/>
                <w:szCs w:val="20"/>
              </w:rPr>
            </w:pPr>
          </w:p>
          <w:p w14:paraId="385272B9" w14:textId="77777777" w:rsidR="00794AFD" w:rsidRPr="009D0BDE" w:rsidRDefault="00794AFD" w:rsidP="00794AFD">
            <w:pPr>
              <w:ind w:left="-108"/>
              <w:jc w:val="right"/>
              <w:rPr>
                <w:rFonts w:asciiTheme="minorHAnsi" w:hAnsiTheme="minorHAnsi" w:cs="Times New Roman"/>
                <w:bCs/>
                <w:sz w:val="20"/>
                <w:szCs w:val="20"/>
              </w:rPr>
            </w:pPr>
            <w:r w:rsidRPr="009D0BDE">
              <w:rPr>
                <w:rFonts w:asciiTheme="minorHAnsi" w:hAnsiTheme="minorHAnsi" w:cs="Times New Roman"/>
                <w:bCs/>
                <w:sz w:val="20"/>
                <w:szCs w:val="20"/>
              </w:rPr>
              <w:t>5,178.5</w:t>
            </w:r>
          </w:p>
        </w:tc>
      </w:tr>
      <w:tr w:rsidR="00794AFD" w:rsidRPr="009D0BDE" w14:paraId="68D05A9D" w14:textId="77777777" w:rsidTr="00794AFD">
        <w:trPr>
          <w:trHeight w:val="561"/>
        </w:trPr>
        <w:tc>
          <w:tcPr>
            <w:tcW w:w="4995" w:type="dxa"/>
            <w:tcBorders>
              <w:top w:val="single" w:sz="4" w:space="0" w:color="auto"/>
              <w:left w:val="nil"/>
              <w:bottom w:val="nil"/>
              <w:right w:val="nil"/>
            </w:tcBorders>
          </w:tcPr>
          <w:p w14:paraId="20338D2F" w14:textId="77777777" w:rsidR="00794AFD" w:rsidRPr="009D0BDE" w:rsidRDefault="00794AFD" w:rsidP="00794AFD">
            <w:pPr>
              <w:ind w:left="-108"/>
              <w:rPr>
                <w:rFonts w:asciiTheme="minorHAnsi" w:hAnsiTheme="minorHAnsi" w:cs="Times New Roman"/>
                <w:b/>
                <w:bCs/>
                <w:sz w:val="20"/>
                <w:szCs w:val="20"/>
              </w:rPr>
            </w:pPr>
          </w:p>
          <w:p w14:paraId="74BC118C" w14:textId="77777777" w:rsidR="00794AFD" w:rsidRPr="009D0BDE" w:rsidRDefault="00794AFD" w:rsidP="00794AFD">
            <w:pPr>
              <w:spacing w:after="120"/>
              <w:ind w:left="-108"/>
              <w:rPr>
                <w:rFonts w:asciiTheme="minorHAnsi" w:hAnsiTheme="minorHAnsi" w:cs="Times New Roman"/>
                <w:b/>
                <w:bCs/>
                <w:sz w:val="20"/>
                <w:szCs w:val="20"/>
              </w:rPr>
            </w:pPr>
            <w:r w:rsidRPr="009D0BDE">
              <w:rPr>
                <w:rFonts w:asciiTheme="minorHAnsi" w:hAnsiTheme="minorHAnsi" w:cs="Times New Roman"/>
                <w:b/>
                <w:bCs/>
                <w:sz w:val="20"/>
                <w:szCs w:val="20"/>
              </w:rPr>
              <w:t>Equity</w:t>
            </w:r>
          </w:p>
        </w:tc>
        <w:tc>
          <w:tcPr>
            <w:tcW w:w="567" w:type="dxa"/>
            <w:tcBorders>
              <w:top w:val="single" w:sz="4" w:space="0" w:color="auto"/>
              <w:left w:val="nil"/>
              <w:bottom w:val="nil"/>
              <w:right w:val="nil"/>
            </w:tcBorders>
          </w:tcPr>
          <w:p w14:paraId="6DFA2104"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single" w:sz="4" w:space="0" w:color="auto"/>
              <w:left w:val="nil"/>
              <w:bottom w:val="nil"/>
              <w:right w:val="nil"/>
            </w:tcBorders>
          </w:tcPr>
          <w:p w14:paraId="2FD18BB8" w14:textId="77777777" w:rsidR="00794AFD" w:rsidRPr="000944E4" w:rsidRDefault="00794AFD" w:rsidP="00794AFD">
            <w:pPr>
              <w:ind w:left="-108"/>
              <w:jc w:val="right"/>
              <w:rPr>
                <w:rFonts w:asciiTheme="minorHAnsi" w:hAnsiTheme="minorHAnsi" w:cs="Times New Roman"/>
                <w:b/>
                <w:bCs/>
                <w:sz w:val="20"/>
                <w:szCs w:val="20"/>
              </w:rPr>
            </w:pPr>
          </w:p>
        </w:tc>
        <w:tc>
          <w:tcPr>
            <w:tcW w:w="1843" w:type="dxa"/>
            <w:tcBorders>
              <w:top w:val="single" w:sz="4" w:space="0" w:color="auto"/>
              <w:left w:val="nil"/>
              <w:bottom w:val="nil"/>
              <w:right w:val="nil"/>
            </w:tcBorders>
            <w:shd w:val="clear" w:color="auto" w:fill="auto"/>
          </w:tcPr>
          <w:p w14:paraId="14E9CFAA" w14:textId="77777777" w:rsidR="00794AFD" w:rsidRPr="003A5032" w:rsidRDefault="00794AFD" w:rsidP="00794AFD">
            <w:pPr>
              <w:ind w:left="-108"/>
              <w:jc w:val="right"/>
              <w:rPr>
                <w:rFonts w:asciiTheme="minorHAnsi" w:hAnsiTheme="minorHAnsi" w:cs="Times New Roman"/>
                <w:bCs/>
                <w:sz w:val="20"/>
                <w:szCs w:val="20"/>
              </w:rPr>
            </w:pPr>
          </w:p>
        </w:tc>
      </w:tr>
      <w:tr w:rsidR="00794AFD" w:rsidRPr="009D0BDE" w14:paraId="5BC38291" w14:textId="77777777" w:rsidTr="00794AFD">
        <w:trPr>
          <w:trHeight w:val="162"/>
        </w:trPr>
        <w:tc>
          <w:tcPr>
            <w:tcW w:w="4995" w:type="dxa"/>
            <w:tcBorders>
              <w:top w:val="nil"/>
              <w:left w:val="nil"/>
              <w:bottom w:val="nil"/>
              <w:right w:val="nil"/>
            </w:tcBorders>
          </w:tcPr>
          <w:p w14:paraId="1C31192C" w14:textId="77777777" w:rsidR="00794AFD" w:rsidRPr="009D0BDE" w:rsidRDefault="00794AFD" w:rsidP="00794AFD">
            <w:pPr>
              <w:ind w:left="-108"/>
              <w:rPr>
                <w:rFonts w:asciiTheme="minorHAnsi" w:hAnsiTheme="minorHAnsi" w:cs="Times New Roman"/>
                <w:sz w:val="20"/>
                <w:szCs w:val="20"/>
              </w:rPr>
            </w:pPr>
            <w:bookmarkStart w:id="16" w:name="_Hlk2579123"/>
            <w:r w:rsidRPr="009D0BDE">
              <w:rPr>
                <w:rFonts w:asciiTheme="minorHAnsi" w:hAnsiTheme="minorHAnsi" w:cs="Times New Roman"/>
                <w:sz w:val="20"/>
                <w:szCs w:val="20"/>
              </w:rPr>
              <w:t>Issued share capital and share premium</w:t>
            </w:r>
          </w:p>
        </w:tc>
        <w:tc>
          <w:tcPr>
            <w:tcW w:w="567" w:type="dxa"/>
            <w:tcBorders>
              <w:top w:val="nil"/>
              <w:left w:val="nil"/>
              <w:bottom w:val="nil"/>
              <w:right w:val="nil"/>
            </w:tcBorders>
          </w:tcPr>
          <w:p w14:paraId="229F6230"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nil"/>
              <w:left w:val="nil"/>
              <w:bottom w:val="nil"/>
              <w:right w:val="nil"/>
            </w:tcBorders>
            <w:shd w:val="clear" w:color="auto" w:fill="auto"/>
          </w:tcPr>
          <w:p w14:paraId="57867D90" w14:textId="77777777" w:rsidR="00794AFD" w:rsidRPr="009D0BDE" w:rsidRDefault="00794AFD" w:rsidP="00794AFD">
            <w:pPr>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428.3</w:t>
            </w:r>
          </w:p>
        </w:tc>
        <w:tc>
          <w:tcPr>
            <w:tcW w:w="1843" w:type="dxa"/>
            <w:tcBorders>
              <w:top w:val="nil"/>
              <w:left w:val="nil"/>
              <w:bottom w:val="nil"/>
              <w:right w:val="nil"/>
            </w:tcBorders>
            <w:shd w:val="clear" w:color="auto" w:fill="auto"/>
          </w:tcPr>
          <w:p w14:paraId="5D8BEB02" w14:textId="77777777" w:rsidR="00794AFD" w:rsidRPr="009D0BDE" w:rsidRDefault="00794AFD" w:rsidP="00794AFD">
            <w:pPr>
              <w:ind w:left="-108"/>
              <w:jc w:val="right"/>
              <w:rPr>
                <w:rFonts w:asciiTheme="minorHAnsi" w:hAnsiTheme="minorHAnsi" w:cs="Times New Roman"/>
                <w:bCs/>
                <w:sz w:val="20"/>
                <w:szCs w:val="20"/>
              </w:rPr>
            </w:pPr>
            <w:r w:rsidRPr="009D0BDE">
              <w:rPr>
                <w:rFonts w:asciiTheme="minorHAnsi" w:hAnsiTheme="minorHAnsi" w:cs="Times New Roman"/>
                <w:bCs/>
                <w:sz w:val="20"/>
                <w:szCs w:val="20"/>
              </w:rPr>
              <w:t>424.8</w:t>
            </w:r>
          </w:p>
        </w:tc>
      </w:tr>
      <w:tr w:rsidR="00794AFD" w:rsidRPr="009D0BDE" w14:paraId="1F51EDC0" w14:textId="77777777" w:rsidTr="00794AFD">
        <w:trPr>
          <w:trHeight w:val="207"/>
        </w:trPr>
        <w:tc>
          <w:tcPr>
            <w:tcW w:w="4995" w:type="dxa"/>
            <w:tcBorders>
              <w:top w:val="nil"/>
              <w:left w:val="nil"/>
              <w:bottom w:val="nil"/>
              <w:right w:val="nil"/>
            </w:tcBorders>
          </w:tcPr>
          <w:p w14:paraId="7674E285"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Treasury shares</w:t>
            </w:r>
          </w:p>
        </w:tc>
        <w:tc>
          <w:tcPr>
            <w:tcW w:w="567" w:type="dxa"/>
            <w:tcBorders>
              <w:top w:val="nil"/>
              <w:left w:val="nil"/>
              <w:bottom w:val="nil"/>
              <w:right w:val="nil"/>
            </w:tcBorders>
          </w:tcPr>
          <w:p w14:paraId="7D22ED17"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11</w:t>
            </w:r>
          </w:p>
        </w:tc>
        <w:tc>
          <w:tcPr>
            <w:tcW w:w="2127" w:type="dxa"/>
            <w:tcBorders>
              <w:top w:val="nil"/>
              <w:left w:val="nil"/>
              <w:bottom w:val="nil"/>
              <w:right w:val="nil"/>
            </w:tcBorders>
            <w:shd w:val="clear" w:color="auto" w:fill="auto"/>
          </w:tcPr>
          <w:p w14:paraId="3FEE9766" w14:textId="77777777" w:rsidR="00794AFD" w:rsidRPr="009D0BDE" w:rsidRDefault="00794AFD" w:rsidP="00794AFD">
            <w:pPr>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(40.7)</w:t>
            </w:r>
          </w:p>
        </w:tc>
        <w:tc>
          <w:tcPr>
            <w:tcW w:w="1843" w:type="dxa"/>
            <w:tcBorders>
              <w:top w:val="nil"/>
              <w:left w:val="nil"/>
              <w:bottom w:val="nil"/>
              <w:right w:val="nil"/>
            </w:tcBorders>
            <w:shd w:val="clear" w:color="auto" w:fill="auto"/>
          </w:tcPr>
          <w:p w14:paraId="3F32EA43" w14:textId="77777777" w:rsidR="00794AFD" w:rsidRPr="009D0BDE" w:rsidRDefault="00794AFD" w:rsidP="00794AFD">
            <w:pPr>
              <w:ind w:left="-108"/>
              <w:jc w:val="right"/>
              <w:rPr>
                <w:rFonts w:asciiTheme="minorHAnsi" w:hAnsiTheme="minorHAnsi" w:cs="Times New Roman"/>
                <w:bCs/>
                <w:sz w:val="20"/>
                <w:szCs w:val="20"/>
              </w:rPr>
            </w:pPr>
            <w:r w:rsidRPr="009D0BDE">
              <w:rPr>
                <w:rFonts w:asciiTheme="minorHAnsi" w:hAnsiTheme="minorHAnsi" w:cs="Times New Roman"/>
                <w:bCs/>
                <w:sz w:val="20"/>
                <w:szCs w:val="20"/>
              </w:rPr>
              <w:t>(40.7)</w:t>
            </w:r>
          </w:p>
        </w:tc>
      </w:tr>
      <w:tr w:rsidR="00794AFD" w:rsidRPr="009D0BDE" w14:paraId="32D43B24" w14:textId="77777777" w:rsidTr="00794AFD">
        <w:trPr>
          <w:trHeight w:val="109"/>
        </w:trPr>
        <w:tc>
          <w:tcPr>
            <w:tcW w:w="4995" w:type="dxa"/>
            <w:tcBorders>
              <w:top w:val="nil"/>
              <w:left w:val="nil"/>
              <w:bottom w:val="nil"/>
              <w:right w:val="nil"/>
            </w:tcBorders>
          </w:tcPr>
          <w:p w14:paraId="251A9753"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Shares held by employee benefit trust</w:t>
            </w:r>
          </w:p>
        </w:tc>
        <w:tc>
          <w:tcPr>
            <w:tcW w:w="567" w:type="dxa"/>
            <w:tcBorders>
              <w:top w:val="nil"/>
              <w:left w:val="nil"/>
              <w:bottom w:val="nil"/>
              <w:right w:val="nil"/>
            </w:tcBorders>
          </w:tcPr>
          <w:p w14:paraId="082C03F4"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11</w:t>
            </w:r>
          </w:p>
        </w:tc>
        <w:tc>
          <w:tcPr>
            <w:tcW w:w="2127" w:type="dxa"/>
            <w:tcBorders>
              <w:top w:val="nil"/>
              <w:left w:val="nil"/>
              <w:bottom w:val="nil"/>
              <w:right w:val="nil"/>
            </w:tcBorders>
            <w:shd w:val="clear" w:color="auto" w:fill="auto"/>
          </w:tcPr>
          <w:p w14:paraId="1BA04EFB" w14:textId="77777777" w:rsidR="00794AFD" w:rsidRPr="009D0BDE" w:rsidRDefault="00794AFD" w:rsidP="00794AFD">
            <w:pPr>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(6.1)</w:t>
            </w:r>
          </w:p>
        </w:tc>
        <w:tc>
          <w:tcPr>
            <w:tcW w:w="1843" w:type="dxa"/>
            <w:tcBorders>
              <w:top w:val="nil"/>
              <w:left w:val="nil"/>
              <w:bottom w:val="nil"/>
              <w:right w:val="nil"/>
            </w:tcBorders>
            <w:shd w:val="clear" w:color="auto" w:fill="auto"/>
          </w:tcPr>
          <w:p w14:paraId="7002B485" w14:textId="77777777" w:rsidR="00794AFD" w:rsidRPr="009D0BDE" w:rsidRDefault="00794AFD" w:rsidP="00794AFD">
            <w:pPr>
              <w:ind w:left="-108"/>
              <w:jc w:val="right"/>
              <w:rPr>
                <w:rFonts w:asciiTheme="minorHAnsi" w:hAnsiTheme="minorHAnsi" w:cs="Times New Roman"/>
                <w:bCs/>
                <w:sz w:val="20"/>
                <w:szCs w:val="20"/>
              </w:rPr>
            </w:pPr>
            <w:r w:rsidRPr="009D0BDE">
              <w:rPr>
                <w:rFonts w:asciiTheme="minorHAnsi" w:hAnsiTheme="minorHAnsi" w:cs="Times New Roman"/>
                <w:bCs/>
                <w:sz w:val="20"/>
                <w:szCs w:val="20"/>
              </w:rPr>
              <w:t>(8.6)</w:t>
            </w:r>
          </w:p>
        </w:tc>
      </w:tr>
      <w:tr w:rsidR="00794AFD" w:rsidRPr="009D0BDE" w14:paraId="7DEB52B1" w14:textId="77777777" w:rsidTr="00794AFD">
        <w:trPr>
          <w:trHeight w:val="109"/>
        </w:trPr>
        <w:tc>
          <w:tcPr>
            <w:tcW w:w="4995" w:type="dxa"/>
            <w:tcBorders>
              <w:top w:val="nil"/>
              <w:left w:val="nil"/>
              <w:right w:val="nil"/>
            </w:tcBorders>
          </w:tcPr>
          <w:p w14:paraId="12EDB26A"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Other reserves</w:t>
            </w:r>
          </w:p>
        </w:tc>
        <w:tc>
          <w:tcPr>
            <w:tcW w:w="567" w:type="dxa"/>
            <w:tcBorders>
              <w:top w:val="nil"/>
              <w:left w:val="nil"/>
              <w:right w:val="nil"/>
            </w:tcBorders>
          </w:tcPr>
          <w:p w14:paraId="43E25A49"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nil"/>
              <w:left w:val="nil"/>
              <w:right w:val="nil"/>
            </w:tcBorders>
            <w:shd w:val="clear" w:color="auto" w:fill="auto"/>
          </w:tcPr>
          <w:p w14:paraId="5DAE6AD3" w14:textId="77777777" w:rsidR="00794AFD" w:rsidRPr="003A5032"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63.7</w:t>
            </w:r>
          </w:p>
        </w:tc>
        <w:tc>
          <w:tcPr>
            <w:tcW w:w="1843" w:type="dxa"/>
            <w:tcBorders>
              <w:top w:val="nil"/>
              <w:left w:val="nil"/>
              <w:right w:val="nil"/>
            </w:tcBorders>
            <w:shd w:val="clear" w:color="auto" w:fill="auto"/>
          </w:tcPr>
          <w:p w14:paraId="0745055C" w14:textId="77777777" w:rsidR="00794AFD" w:rsidRPr="009D0BDE" w:rsidRDefault="00794AFD" w:rsidP="00794AFD">
            <w:pPr>
              <w:ind w:left="-108"/>
              <w:jc w:val="right"/>
              <w:rPr>
                <w:rFonts w:asciiTheme="minorHAnsi" w:hAnsiTheme="minorHAnsi" w:cs="Times New Roman"/>
                <w:bCs/>
                <w:sz w:val="20"/>
                <w:szCs w:val="20"/>
              </w:rPr>
            </w:pPr>
            <w:r w:rsidRPr="009D0BDE">
              <w:rPr>
                <w:rFonts w:asciiTheme="minorHAnsi" w:hAnsiTheme="minorHAnsi" w:cs="Times New Roman"/>
                <w:bCs/>
                <w:sz w:val="20"/>
                <w:szCs w:val="20"/>
              </w:rPr>
              <w:t>92.4</w:t>
            </w:r>
          </w:p>
        </w:tc>
      </w:tr>
      <w:tr w:rsidR="00794AFD" w:rsidRPr="009D0BDE" w14:paraId="35E5556E" w14:textId="77777777" w:rsidTr="00794AFD">
        <w:trPr>
          <w:trHeight w:val="225"/>
        </w:trPr>
        <w:tc>
          <w:tcPr>
            <w:tcW w:w="4995" w:type="dxa"/>
            <w:tcBorders>
              <w:top w:val="nil"/>
              <w:left w:val="nil"/>
              <w:bottom w:val="single" w:sz="4" w:space="0" w:color="auto"/>
              <w:right w:val="nil"/>
            </w:tcBorders>
          </w:tcPr>
          <w:p w14:paraId="47D039F3"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Retained earnings</w:t>
            </w:r>
          </w:p>
        </w:tc>
        <w:tc>
          <w:tcPr>
            <w:tcW w:w="567" w:type="dxa"/>
            <w:tcBorders>
              <w:top w:val="nil"/>
              <w:left w:val="nil"/>
              <w:bottom w:val="single" w:sz="4" w:space="0" w:color="auto"/>
              <w:right w:val="nil"/>
            </w:tcBorders>
          </w:tcPr>
          <w:p w14:paraId="1A4BFD9D"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nil"/>
              <w:left w:val="nil"/>
              <w:bottom w:val="single" w:sz="4" w:space="0" w:color="auto"/>
              <w:right w:val="nil"/>
            </w:tcBorders>
          </w:tcPr>
          <w:p w14:paraId="704D3DCF"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3,539.5</w:t>
            </w:r>
          </w:p>
        </w:tc>
        <w:tc>
          <w:tcPr>
            <w:tcW w:w="1843" w:type="dxa"/>
            <w:tcBorders>
              <w:top w:val="nil"/>
              <w:left w:val="nil"/>
              <w:bottom w:val="single" w:sz="4" w:space="0" w:color="auto"/>
              <w:right w:val="nil"/>
            </w:tcBorders>
            <w:shd w:val="clear" w:color="auto" w:fill="auto"/>
          </w:tcPr>
          <w:p w14:paraId="5E491CDE"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3,530.1</w:t>
            </w:r>
          </w:p>
        </w:tc>
      </w:tr>
      <w:tr w:rsidR="00794AFD" w:rsidRPr="009D0BDE" w14:paraId="4D9DDF11" w14:textId="77777777" w:rsidTr="00794AFD">
        <w:trPr>
          <w:trHeight w:val="225"/>
        </w:trPr>
        <w:tc>
          <w:tcPr>
            <w:tcW w:w="4995" w:type="dxa"/>
            <w:tcBorders>
              <w:top w:val="single" w:sz="4" w:space="0" w:color="auto"/>
              <w:left w:val="nil"/>
              <w:right w:val="nil"/>
            </w:tcBorders>
          </w:tcPr>
          <w:p w14:paraId="3A0B1C33" w14:textId="77777777" w:rsidR="00794AFD" w:rsidRPr="009D0BDE" w:rsidRDefault="00794AFD" w:rsidP="00794AFD">
            <w:pPr>
              <w:ind w:left="-108"/>
              <w:rPr>
                <w:rFonts w:asciiTheme="minorHAnsi" w:hAnsiTheme="minorHAnsi" w:cs="Times New Roman"/>
                <w:b/>
                <w:sz w:val="20"/>
                <w:szCs w:val="20"/>
              </w:rPr>
            </w:pPr>
            <w:r w:rsidRPr="009D0BDE">
              <w:rPr>
                <w:rFonts w:asciiTheme="minorHAnsi" w:hAnsiTheme="minorHAnsi" w:cs="Times New Roman"/>
                <w:b/>
                <w:sz w:val="20"/>
                <w:szCs w:val="20"/>
              </w:rPr>
              <w:t>Equity attributable to owners of the parent</w:t>
            </w:r>
          </w:p>
        </w:tc>
        <w:tc>
          <w:tcPr>
            <w:tcW w:w="567" w:type="dxa"/>
            <w:tcBorders>
              <w:top w:val="single" w:sz="4" w:space="0" w:color="auto"/>
              <w:left w:val="nil"/>
              <w:right w:val="nil"/>
            </w:tcBorders>
          </w:tcPr>
          <w:p w14:paraId="5745B60E"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single" w:sz="4" w:space="0" w:color="auto"/>
              <w:left w:val="nil"/>
              <w:right w:val="nil"/>
            </w:tcBorders>
          </w:tcPr>
          <w:p w14:paraId="286615A6"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3,984.7</w:t>
            </w:r>
          </w:p>
        </w:tc>
        <w:tc>
          <w:tcPr>
            <w:tcW w:w="1843" w:type="dxa"/>
            <w:tcBorders>
              <w:top w:val="single" w:sz="4" w:space="0" w:color="auto"/>
              <w:left w:val="nil"/>
              <w:right w:val="nil"/>
            </w:tcBorders>
            <w:shd w:val="clear" w:color="auto" w:fill="auto"/>
          </w:tcPr>
          <w:p w14:paraId="6F593D9F"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3,998.0</w:t>
            </w:r>
          </w:p>
        </w:tc>
      </w:tr>
      <w:tr w:rsidR="00794AFD" w:rsidRPr="009D0BDE" w14:paraId="0DE44202" w14:textId="77777777" w:rsidTr="00794AFD">
        <w:trPr>
          <w:trHeight w:val="109"/>
        </w:trPr>
        <w:tc>
          <w:tcPr>
            <w:tcW w:w="4995" w:type="dxa"/>
            <w:tcBorders>
              <w:top w:val="nil"/>
              <w:left w:val="nil"/>
              <w:bottom w:val="nil"/>
              <w:right w:val="nil"/>
            </w:tcBorders>
          </w:tcPr>
          <w:p w14:paraId="3C837501"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Non-controlling interest</w:t>
            </w:r>
          </w:p>
        </w:tc>
        <w:tc>
          <w:tcPr>
            <w:tcW w:w="567" w:type="dxa"/>
            <w:tcBorders>
              <w:top w:val="nil"/>
              <w:left w:val="nil"/>
              <w:bottom w:val="nil"/>
              <w:right w:val="nil"/>
            </w:tcBorders>
          </w:tcPr>
          <w:p w14:paraId="1A2C7B6F"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nil"/>
              <w:left w:val="nil"/>
              <w:bottom w:val="nil"/>
              <w:right w:val="nil"/>
            </w:tcBorders>
            <w:shd w:val="clear" w:color="auto" w:fill="auto"/>
          </w:tcPr>
          <w:p w14:paraId="37882385"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204.9</w:t>
            </w:r>
          </w:p>
        </w:tc>
        <w:tc>
          <w:tcPr>
            <w:tcW w:w="1843" w:type="dxa"/>
            <w:tcBorders>
              <w:top w:val="nil"/>
              <w:left w:val="nil"/>
              <w:bottom w:val="nil"/>
              <w:right w:val="nil"/>
            </w:tcBorders>
            <w:shd w:val="clear" w:color="auto" w:fill="auto"/>
          </w:tcPr>
          <w:p w14:paraId="7CC7891E"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213.3</w:t>
            </w:r>
          </w:p>
        </w:tc>
      </w:tr>
      <w:tr w:rsidR="00794AFD" w:rsidRPr="009D0BDE" w14:paraId="5ACF9F10" w14:textId="77777777" w:rsidTr="00794AFD">
        <w:trPr>
          <w:trHeight w:val="241"/>
        </w:trPr>
        <w:tc>
          <w:tcPr>
            <w:tcW w:w="4995" w:type="dxa"/>
            <w:tcBorders>
              <w:top w:val="single" w:sz="4" w:space="0" w:color="auto"/>
              <w:left w:val="nil"/>
              <w:right w:val="nil"/>
            </w:tcBorders>
          </w:tcPr>
          <w:p w14:paraId="08C4EED1"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b/>
                <w:bCs/>
                <w:sz w:val="20"/>
                <w:szCs w:val="20"/>
              </w:rPr>
              <w:t xml:space="preserve">Total equity </w:t>
            </w:r>
          </w:p>
        </w:tc>
        <w:tc>
          <w:tcPr>
            <w:tcW w:w="567" w:type="dxa"/>
            <w:tcBorders>
              <w:top w:val="single" w:sz="4" w:space="0" w:color="auto"/>
              <w:left w:val="nil"/>
              <w:right w:val="nil"/>
            </w:tcBorders>
          </w:tcPr>
          <w:p w14:paraId="060A8239"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single" w:sz="4" w:space="0" w:color="auto"/>
              <w:left w:val="nil"/>
              <w:right w:val="nil"/>
            </w:tcBorders>
          </w:tcPr>
          <w:p w14:paraId="5C328452"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4,189.6</w:t>
            </w:r>
          </w:p>
        </w:tc>
        <w:tc>
          <w:tcPr>
            <w:tcW w:w="1843" w:type="dxa"/>
            <w:tcBorders>
              <w:top w:val="single" w:sz="4" w:space="0" w:color="auto"/>
              <w:left w:val="nil"/>
              <w:right w:val="nil"/>
            </w:tcBorders>
            <w:shd w:val="clear" w:color="auto" w:fill="auto"/>
          </w:tcPr>
          <w:p w14:paraId="190B1FCC"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4,211.3</w:t>
            </w:r>
          </w:p>
        </w:tc>
      </w:tr>
      <w:bookmarkEnd w:id="16"/>
      <w:tr w:rsidR="00794AFD" w:rsidRPr="009D0BDE" w14:paraId="63506D61" w14:textId="77777777" w:rsidTr="00794AFD">
        <w:trPr>
          <w:trHeight w:val="576"/>
        </w:trPr>
        <w:tc>
          <w:tcPr>
            <w:tcW w:w="4995" w:type="dxa"/>
            <w:tcBorders>
              <w:top w:val="single" w:sz="4" w:space="0" w:color="auto"/>
              <w:left w:val="nil"/>
              <w:bottom w:val="nil"/>
              <w:right w:val="nil"/>
            </w:tcBorders>
            <w:shd w:val="clear" w:color="auto" w:fill="auto"/>
          </w:tcPr>
          <w:p w14:paraId="6A160D5D" w14:textId="77777777" w:rsidR="00794AFD" w:rsidRPr="009D0BDE" w:rsidRDefault="00794AFD" w:rsidP="00794AFD">
            <w:pPr>
              <w:ind w:left="-108"/>
              <w:rPr>
                <w:rFonts w:asciiTheme="minorHAnsi" w:hAnsiTheme="minorHAnsi" w:cs="Times New Roman"/>
                <w:b/>
                <w:bCs/>
                <w:sz w:val="20"/>
                <w:szCs w:val="20"/>
              </w:rPr>
            </w:pPr>
          </w:p>
          <w:p w14:paraId="6B0B9FD8" w14:textId="77777777" w:rsidR="00794AFD" w:rsidRPr="009D0BDE" w:rsidRDefault="00794AFD" w:rsidP="00794AFD">
            <w:pPr>
              <w:ind w:left="-108"/>
              <w:rPr>
                <w:rFonts w:asciiTheme="minorHAnsi" w:hAnsiTheme="minorHAnsi" w:cs="Times New Roman"/>
                <w:b/>
                <w:bCs/>
                <w:sz w:val="20"/>
                <w:szCs w:val="20"/>
              </w:rPr>
            </w:pPr>
            <w:r w:rsidRPr="009D0BDE">
              <w:rPr>
                <w:rFonts w:asciiTheme="minorHAnsi" w:hAnsiTheme="minorHAnsi" w:cs="Times New Roman"/>
                <w:b/>
                <w:bCs/>
                <w:sz w:val="20"/>
                <w:szCs w:val="20"/>
              </w:rPr>
              <w:t>Liabilities</w:t>
            </w:r>
          </w:p>
        </w:tc>
        <w:tc>
          <w:tcPr>
            <w:tcW w:w="567" w:type="dxa"/>
            <w:tcBorders>
              <w:top w:val="single" w:sz="4" w:space="0" w:color="auto"/>
              <w:left w:val="nil"/>
              <w:bottom w:val="nil"/>
              <w:right w:val="nil"/>
            </w:tcBorders>
          </w:tcPr>
          <w:p w14:paraId="3800135C"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single" w:sz="4" w:space="0" w:color="auto"/>
              <w:left w:val="nil"/>
              <w:right w:val="nil"/>
            </w:tcBorders>
          </w:tcPr>
          <w:p w14:paraId="75F38DDB" w14:textId="77777777" w:rsidR="00794AFD" w:rsidRPr="000944E4" w:rsidRDefault="00794AFD" w:rsidP="00794AFD">
            <w:pPr>
              <w:ind w:left="-108"/>
              <w:jc w:val="right"/>
              <w:rPr>
                <w:rFonts w:asciiTheme="minorHAnsi" w:hAnsiTheme="minorHAnsi" w:cs="Times New Roman"/>
                <w:b/>
                <w:bCs/>
                <w:sz w:val="20"/>
                <w:szCs w:val="20"/>
              </w:rPr>
            </w:pPr>
          </w:p>
        </w:tc>
        <w:tc>
          <w:tcPr>
            <w:tcW w:w="1843" w:type="dxa"/>
            <w:tcBorders>
              <w:top w:val="single" w:sz="4" w:space="0" w:color="auto"/>
              <w:left w:val="nil"/>
              <w:right w:val="nil"/>
            </w:tcBorders>
            <w:shd w:val="clear" w:color="auto" w:fill="auto"/>
          </w:tcPr>
          <w:p w14:paraId="1B95F7CE" w14:textId="77777777" w:rsidR="00794AFD" w:rsidRPr="003A5032" w:rsidRDefault="00794AFD" w:rsidP="00794AFD">
            <w:pPr>
              <w:ind w:left="-108"/>
              <w:jc w:val="right"/>
              <w:rPr>
                <w:rFonts w:asciiTheme="minorHAnsi" w:hAnsiTheme="minorHAnsi" w:cs="Times New Roman"/>
                <w:bCs/>
                <w:sz w:val="20"/>
                <w:szCs w:val="20"/>
              </w:rPr>
            </w:pPr>
          </w:p>
        </w:tc>
      </w:tr>
      <w:tr w:rsidR="00794AFD" w:rsidRPr="009D0BDE" w14:paraId="2ED2241A" w14:textId="77777777" w:rsidTr="00794AFD">
        <w:trPr>
          <w:trHeight w:val="185"/>
        </w:trPr>
        <w:tc>
          <w:tcPr>
            <w:tcW w:w="4995" w:type="dxa"/>
            <w:tcBorders>
              <w:top w:val="nil"/>
              <w:left w:val="nil"/>
              <w:bottom w:val="nil"/>
              <w:right w:val="nil"/>
            </w:tcBorders>
            <w:shd w:val="clear" w:color="auto" w:fill="auto"/>
          </w:tcPr>
          <w:p w14:paraId="1F811063"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Trade and other payables</w:t>
            </w:r>
          </w:p>
        </w:tc>
        <w:tc>
          <w:tcPr>
            <w:tcW w:w="567" w:type="dxa"/>
            <w:tcBorders>
              <w:top w:val="nil"/>
              <w:left w:val="nil"/>
              <w:bottom w:val="nil"/>
              <w:right w:val="nil"/>
            </w:tcBorders>
          </w:tcPr>
          <w:p w14:paraId="355E59E4"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13</w:t>
            </w:r>
          </w:p>
        </w:tc>
        <w:tc>
          <w:tcPr>
            <w:tcW w:w="2127" w:type="dxa"/>
            <w:tcBorders>
              <w:left w:val="nil"/>
              <w:right w:val="nil"/>
            </w:tcBorders>
          </w:tcPr>
          <w:p w14:paraId="7FAB54F1"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548.8</w:t>
            </w:r>
          </w:p>
        </w:tc>
        <w:tc>
          <w:tcPr>
            <w:tcW w:w="1843" w:type="dxa"/>
            <w:tcBorders>
              <w:left w:val="nil"/>
              <w:right w:val="nil"/>
            </w:tcBorders>
            <w:shd w:val="clear" w:color="auto" w:fill="auto"/>
          </w:tcPr>
          <w:p w14:paraId="6AE6AEF0"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532.8</w:t>
            </w:r>
          </w:p>
        </w:tc>
      </w:tr>
      <w:tr w:rsidR="00794AFD" w:rsidRPr="009D0BDE" w14:paraId="4255D98E" w14:textId="77777777" w:rsidTr="00794AFD">
        <w:trPr>
          <w:trHeight w:val="80"/>
        </w:trPr>
        <w:tc>
          <w:tcPr>
            <w:tcW w:w="4995" w:type="dxa"/>
            <w:tcBorders>
              <w:top w:val="nil"/>
              <w:left w:val="nil"/>
              <w:bottom w:val="nil"/>
              <w:right w:val="nil"/>
            </w:tcBorders>
            <w:shd w:val="clear" w:color="auto" w:fill="auto"/>
          </w:tcPr>
          <w:p w14:paraId="4EBFB71C"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Derivative financial liabilities</w:t>
            </w:r>
          </w:p>
        </w:tc>
        <w:tc>
          <w:tcPr>
            <w:tcW w:w="567" w:type="dxa"/>
            <w:tcBorders>
              <w:top w:val="nil"/>
              <w:left w:val="nil"/>
              <w:bottom w:val="nil"/>
              <w:right w:val="nil"/>
            </w:tcBorders>
          </w:tcPr>
          <w:p w14:paraId="2BE099D2"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13</w:t>
            </w:r>
          </w:p>
        </w:tc>
        <w:tc>
          <w:tcPr>
            <w:tcW w:w="2127" w:type="dxa"/>
            <w:tcBorders>
              <w:top w:val="nil"/>
              <w:left w:val="nil"/>
              <w:right w:val="nil"/>
            </w:tcBorders>
          </w:tcPr>
          <w:p w14:paraId="6279CF4D"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20.4</w:t>
            </w:r>
          </w:p>
        </w:tc>
        <w:tc>
          <w:tcPr>
            <w:tcW w:w="1843" w:type="dxa"/>
            <w:tcBorders>
              <w:top w:val="nil"/>
              <w:left w:val="nil"/>
              <w:right w:val="nil"/>
            </w:tcBorders>
            <w:shd w:val="clear" w:color="auto" w:fill="auto"/>
          </w:tcPr>
          <w:p w14:paraId="761297C8"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20.1</w:t>
            </w:r>
          </w:p>
        </w:tc>
      </w:tr>
      <w:tr w:rsidR="00794AFD" w:rsidRPr="009D0BDE" w14:paraId="0B782FB8" w14:textId="77777777" w:rsidTr="00794AFD">
        <w:trPr>
          <w:trHeight w:val="80"/>
        </w:trPr>
        <w:tc>
          <w:tcPr>
            <w:tcW w:w="4995" w:type="dxa"/>
            <w:tcBorders>
              <w:top w:val="nil"/>
              <w:left w:val="nil"/>
              <w:bottom w:val="nil"/>
              <w:right w:val="nil"/>
            </w:tcBorders>
            <w:shd w:val="clear" w:color="auto" w:fill="auto"/>
          </w:tcPr>
          <w:p w14:paraId="7287E6D6"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Provisions</w:t>
            </w:r>
          </w:p>
        </w:tc>
        <w:tc>
          <w:tcPr>
            <w:tcW w:w="567" w:type="dxa"/>
            <w:tcBorders>
              <w:top w:val="nil"/>
              <w:left w:val="nil"/>
              <w:bottom w:val="nil"/>
              <w:right w:val="nil"/>
            </w:tcBorders>
          </w:tcPr>
          <w:p w14:paraId="62AFA02B"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nil"/>
              <w:left w:val="nil"/>
              <w:right w:val="nil"/>
            </w:tcBorders>
          </w:tcPr>
          <w:p w14:paraId="06A0785A"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2.9</w:t>
            </w:r>
          </w:p>
        </w:tc>
        <w:tc>
          <w:tcPr>
            <w:tcW w:w="1843" w:type="dxa"/>
            <w:tcBorders>
              <w:top w:val="nil"/>
              <w:left w:val="nil"/>
              <w:right w:val="nil"/>
            </w:tcBorders>
            <w:shd w:val="clear" w:color="auto" w:fill="auto"/>
          </w:tcPr>
          <w:p w14:paraId="5535C94B"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4.3</w:t>
            </w:r>
          </w:p>
        </w:tc>
      </w:tr>
      <w:tr w:rsidR="00794AFD" w:rsidRPr="009D0BDE" w14:paraId="75CA96EE" w14:textId="77777777" w:rsidTr="00794AFD">
        <w:trPr>
          <w:trHeight w:val="225"/>
        </w:trPr>
        <w:tc>
          <w:tcPr>
            <w:tcW w:w="4995" w:type="dxa"/>
            <w:tcBorders>
              <w:top w:val="nil"/>
              <w:left w:val="nil"/>
              <w:right w:val="nil"/>
            </w:tcBorders>
            <w:shd w:val="clear" w:color="auto" w:fill="auto"/>
          </w:tcPr>
          <w:p w14:paraId="1CCB67C8" w14:textId="77777777" w:rsidR="00794AFD" w:rsidRPr="009D0BDE" w:rsidRDefault="00794AFD" w:rsidP="00794AFD">
            <w:pPr>
              <w:ind w:left="-108"/>
              <w:rPr>
                <w:rFonts w:asciiTheme="minorHAnsi" w:hAnsiTheme="minorHAnsi" w:cs="Times New Roman"/>
                <w:b/>
                <w:bCs/>
                <w:sz w:val="20"/>
                <w:szCs w:val="20"/>
              </w:rPr>
            </w:pPr>
            <w:r w:rsidRPr="009D0BDE">
              <w:rPr>
                <w:rFonts w:asciiTheme="minorHAnsi" w:hAnsiTheme="minorHAnsi" w:cs="Times New Roman"/>
                <w:sz w:val="20"/>
                <w:szCs w:val="20"/>
              </w:rPr>
              <w:t>Current tax payable</w:t>
            </w:r>
          </w:p>
        </w:tc>
        <w:tc>
          <w:tcPr>
            <w:tcW w:w="567" w:type="dxa"/>
            <w:tcBorders>
              <w:top w:val="nil"/>
              <w:left w:val="nil"/>
              <w:right w:val="nil"/>
            </w:tcBorders>
          </w:tcPr>
          <w:p w14:paraId="42593780"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left w:val="nil"/>
              <w:right w:val="nil"/>
            </w:tcBorders>
          </w:tcPr>
          <w:p w14:paraId="73B30D27"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20.0</w:t>
            </w:r>
          </w:p>
        </w:tc>
        <w:tc>
          <w:tcPr>
            <w:tcW w:w="1843" w:type="dxa"/>
            <w:tcBorders>
              <w:left w:val="nil"/>
              <w:right w:val="nil"/>
            </w:tcBorders>
            <w:shd w:val="clear" w:color="auto" w:fill="auto"/>
          </w:tcPr>
          <w:p w14:paraId="370C8156"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20.8</w:t>
            </w:r>
          </w:p>
        </w:tc>
      </w:tr>
      <w:tr w:rsidR="00794AFD" w:rsidRPr="009D0BDE" w14:paraId="4FD97644" w14:textId="77777777" w:rsidTr="00794AFD">
        <w:trPr>
          <w:trHeight w:val="227"/>
        </w:trPr>
        <w:tc>
          <w:tcPr>
            <w:tcW w:w="4995" w:type="dxa"/>
            <w:tcBorders>
              <w:left w:val="nil"/>
              <w:right w:val="nil"/>
            </w:tcBorders>
            <w:shd w:val="clear" w:color="auto" w:fill="auto"/>
          </w:tcPr>
          <w:p w14:paraId="780D2EBB" w14:textId="77777777" w:rsidR="00794AFD" w:rsidRPr="009D0BDE" w:rsidRDefault="00794AFD" w:rsidP="00794AFD">
            <w:pPr>
              <w:ind w:left="-108"/>
              <w:rPr>
                <w:rFonts w:asciiTheme="minorHAnsi" w:hAnsiTheme="minorHAnsi" w:cs="Times New Roman"/>
                <w:bCs/>
                <w:sz w:val="20"/>
                <w:szCs w:val="20"/>
              </w:rPr>
            </w:pPr>
            <w:r w:rsidRPr="009D0BDE">
              <w:rPr>
                <w:rFonts w:asciiTheme="minorHAnsi" w:hAnsiTheme="minorHAnsi" w:cs="Times New Roman"/>
                <w:bCs/>
                <w:sz w:val="20"/>
                <w:szCs w:val="20"/>
              </w:rPr>
              <w:t>Lease liabilities</w:t>
            </w:r>
          </w:p>
        </w:tc>
        <w:tc>
          <w:tcPr>
            <w:tcW w:w="567" w:type="dxa"/>
            <w:tcBorders>
              <w:left w:val="nil"/>
              <w:right w:val="nil"/>
            </w:tcBorders>
          </w:tcPr>
          <w:p w14:paraId="2CC6A8F5"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14</w:t>
            </w:r>
          </w:p>
        </w:tc>
        <w:tc>
          <w:tcPr>
            <w:tcW w:w="2127" w:type="dxa"/>
            <w:tcBorders>
              <w:left w:val="nil"/>
              <w:right w:val="nil"/>
            </w:tcBorders>
          </w:tcPr>
          <w:p w14:paraId="5C4C7D91" w14:textId="77777777" w:rsidR="00794AFD" w:rsidRPr="009D0BDE" w:rsidRDefault="00794AFD" w:rsidP="00794AFD">
            <w:pPr>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38.4</w:t>
            </w:r>
          </w:p>
        </w:tc>
        <w:tc>
          <w:tcPr>
            <w:tcW w:w="1843" w:type="dxa"/>
            <w:tcBorders>
              <w:left w:val="nil"/>
              <w:right w:val="nil"/>
            </w:tcBorders>
            <w:shd w:val="clear" w:color="auto" w:fill="auto"/>
          </w:tcPr>
          <w:p w14:paraId="7D7A1736" w14:textId="77777777" w:rsidR="00794AFD" w:rsidRPr="009D0BDE" w:rsidRDefault="00794AFD" w:rsidP="00794AFD">
            <w:pPr>
              <w:ind w:left="-108"/>
              <w:jc w:val="right"/>
              <w:rPr>
                <w:rFonts w:asciiTheme="minorHAnsi" w:hAnsiTheme="minorHAnsi" w:cs="Times New Roman"/>
                <w:bCs/>
                <w:sz w:val="20"/>
                <w:szCs w:val="20"/>
              </w:rPr>
            </w:pPr>
            <w:r w:rsidRPr="009D0BDE">
              <w:rPr>
                <w:rFonts w:asciiTheme="minorHAnsi" w:hAnsiTheme="minorHAnsi" w:cs="Times New Roman"/>
                <w:bCs/>
                <w:sz w:val="20"/>
                <w:szCs w:val="20"/>
              </w:rPr>
              <w:t>-</w:t>
            </w:r>
          </w:p>
        </w:tc>
      </w:tr>
      <w:tr w:rsidR="00794AFD" w:rsidRPr="009D0BDE" w14:paraId="5FBA567B" w14:textId="77777777" w:rsidTr="00794AFD">
        <w:trPr>
          <w:trHeight w:val="227"/>
        </w:trPr>
        <w:tc>
          <w:tcPr>
            <w:tcW w:w="4995" w:type="dxa"/>
            <w:tcBorders>
              <w:left w:val="nil"/>
              <w:bottom w:val="single" w:sz="4" w:space="0" w:color="auto"/>
              <w:right w:val="nil"/>
            </w:tcBorders>
            <w:shd w:val="clear" w:color="auto" w:fill="auto"/>
          </w:tcPr>
          <w:p w14:paraId="649AEE16" w14:textId="77777777" w:rsidR="00794AFD" w:rsidRPr="009D0BDE" w:rsidRDefault="00794AFD" w:rsidP="00794AFD">
            <w:pPr>
              <w:ind w:left="-108"/>
              <w:rPr>
                <w:rFonts w:asciiTheme="minorHAnsi" w:hAnsiTheme="minorHAnsi" w:cs="Times New Roman"/>
                <w:bCs/>
                <w:sz w:val="20"/>
                <w:szCs w:val="20"/>
              </w:rPr>
            </w:pPr>
            <w:r w:rsidRPr="009D0BDE">
              <w:rPr>
                <w:rFonts w:asciiTheme="minorHAnsi" w:hAnsiTheme="minorHAnsi" w:cs="Times New Roman"/>
                <w:bCs/>
                <w:sz w:val="20"/>
                <w:szCs w:val="20"/>
              </w:rPr>
              <w:t>Borrowings</w:t>
            </w:r>
          </w:p>
        </w:tc>
        <w:tc>
          <w:tcPr>
            <w:tcW w:w="567" w:type="dxa"/>
            <w:tcBorders>
              <w:left w:val="nil"/>
              <w:bottom w:val="single" w:sz="4" w:space="0" w:color="auto"/>
              <w:right w:val="nil"/>
            </w:tcBorders>
          </w:tcPr>
          <w:p w14:paraId="26ACA49A"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14</w:t>
            </w:r>
          </w:p>
        </w:tc>
        <w:tc>
          <w:tcPr>
            <w:tcW w:w="2127" w:type="dxa"/>
            <w:tcBorders>
              <w:left w:val="nil"/>
              <w:bottom w:val="single" w:sz="4" w:space="0" w:color="auto"/>
              <w:right w:val="nil"/>
            </w:tcBorders>
          </w:tcPr>
          <w:p w14:paraId="48335CEB" w14:textId="77777777" w:rsidR="00794AFD" w:rsidRPr="009D0BDE" w:rsidRDefault="00794AFD" w:rsidP="00794AFD">
            <w:pPr>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255.0</w:t>
            </w:r>
          </w:p>
        </w:tc>
        <w:tc>
          <w:tcPr>
            <w:tcW w:w="1843" w:type="dxa"/>
            <w:tcBorders>
              <w:left w:val="nil"/>
              <w:bottom w:val="single" w:sz="4" w:space="0" w:color="auto"/>
              <w:right w:val="nil"/>
            </w:tcBorders>
            <w:shd w:val="clear" w:color="auto" w:fill="auto"/>
          </w:tcPr>
          <w:p w14:paraId="75808D51" w14:textId="77777777" w:rsidR="00794AFD" w:rsidRPr="009D0BDE" w:rsidRDefault="00794AFD" w:rsidP="00794AFD">
            <w:pPr>
              <w:ind w:left="-108"/>
              <w:jc w:val="right"/>
              <w:rPr>
                <w:rFonts w:asciiTheme="minorHAnsi" w:hAnsiTheme="minorHAnsi" w:cs="Times New Roman"/>
                <w:bCs/>
                <w:sz w:val="20"/>
                <w:szCs w:val="20"/>
              </w:rPr>
            </w:pPr>
            <w:r w:rsidRPr="009D0BDE">
              <w:rPr>
                <w:rFonts w:asciiTheme="minorHAnsi" w:hAnsiTheme="minorHAnsi" w:cs="Times New Roman"/>
                <w:bCs/>
                <w:sz w:val="20"/>
                <w:szCs w:val="20"/>
              </w:rPr>
              <w:t>0.4</w:t>
            </w:r>
          </w:p>
        </w:tc>
      </w:tr>
      <w:tr w:rsidR="00794AFD" w:rsidRPr="009D0BDE" w14:paraId="05375B1A" w14:textId="77777777" w:rsidTr="00794AFD">
        <w:trPr>
          <w:trHeight w:val="227"/>
        </w:trPr>
        <w:tc>
          <w:tcPr>
            <w:tcW w:w="4995" w:type="dxa"/>
            <w:tcBorders>
              <w:top w:val="single" w:sz="4" w:space="0" w:color="auto"/>
              <w:left w:val="nil"/>
              <w:bottom w:val="single" w:sz="4" w:space="0" w:color="auto"/>
              <w:right w:val="nil"/>
            </w:tcBorders>
            <w:shd w:val="clear" w:color="auto" w:fill="auto"/>
          </w:tcPr>
          <w:p w14:paraId="0A94A8D8" w14:textId="77777777" w:rsidR="00794AFD" w:rsidRPr="009D0BDE" w:rsidRDefault="00794AFD" w:rsidP="00794AFD">
            <w:pPr>
              <w:ind w:left="-108"/>
              <w:rPr>
                <w:rFonts w:asciiTheme="minorHAnsi" w:hAnsiTheme="minorHAnsi" w:cs="Times New Roman"/>
                <w:b/>
                <w:bCs/>
                <w:sz w:val="20"/>
                <w:szCs w:val="20"/>
              </w:rPr>
            </w:pPr>
            <w:r w:rsidRPr="009D0BDE">
              <w:rPr>
                <w:rFonts w:asciiTheme="minorHAnsi" w:hAnsiTheme="minorHAnsi" w:cs="Times New Roman"/>
                <w:b/>
                <w:bCs/>
                <w:sz w:val="20"/>
                <w:szCs w:val="20"/>
              </w:rPr>
              <w:t>Total current liabilities</w:t>
            </w:r>
          </w:p>
        </w:tc>
        <w:tc>
          <w:tcPr>
            <w:tcW w:w="567" w:type="dxa"/>
            <w:tcBorders>
              <w:top w:val="single" w:sz="4" w:space="0" w:color="auto"/>
              <w:left w:val="nil"/>
              <w:bottom w:val="single" w:sz="4" w:space="0" w:color="auto"/>
              <w:right w:val="nil"/>
            </w:tcBorders>
          </w:tcPr>
          <w:p w14:paraId="041E1920"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single" w:sz="4" w:space="0" w:color="auto"/>
              <w:left w:val="nil"/>
              <w:bottom w:val="single" w:sz="4" w:space="0" w:color="auto"/>
              <w:right w:val="nil"/>
            </w:tcBorders>
          </w:tcPr>
          <w:p w14:paraId="11B68C03"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885.5</w:t>
            </w:r>
          </w:p>
        </w:tc>
        <w:tc>
          <w:tcPr>
            <w:tcW w:w="1843" w:type="dxa"/>
            <w:tcBorders>
              <w:top w:val="single" w:sz="4" w:space="0" w:color="auto"/>
              <w:left w:val="nil"/>
              <w:bottom w:val="single" w:sz="4" w:space="0" w:color="auto"/>
              <w:right w:val="nil"/>
            </w:tcBorders>
            <w:shd w:val="clear" w:color="auto" w:fill="auto"/>
          </w:tcPr>
          <w:p w14:paraId="23260916"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578.4</w:t>
            </w:r>
          </w:p>
        </w:tc>
      </w:tr>
      <w:tr w:rsidR="00794AFD" w:rsidRPr="009D0BDE" w14:paraId="320165D8" w14:textId="77777777" w:rsidTr="00794AFD">
        <w:trPr>
          <w:trHeight w:val="70"/>
        </w:trPr>
        <w:tc>
          <w:tcPr>
            <w:tcW w:w="4995" w:type="dxa"/>
            <w:tcBorders>
              <w:top w:val="single" w:sz="4" w:space="0" w:color="auto"/>
              <w:left w:val="nil"/>
              <w:right w:val="nil"/>
            </w:tcBorders>
            <w:shd w:val="clear" w:color="auto" w:fill="auto"/>
          </w:tcPr>
          <w:p w14:paraId="37AE9A36" w14:textId="77777777" w:rsidR="00794AFD" w:rsidRPr="009D0BDE" w:rsidRDefault="00794AFD" w:rsidP="00794AFD">
            <w:pPr>
              <w:ind w:left="-108"/>
              <w:rPr>
                <w:rFonts w:asciiTheme="minorHAnsi" w:hAnsiTheme="minorHAnsi" w:cs="Times New Roman"/>
                <w:b/>
                <w:bCs/>
                <w:sz w:val="20"/>
                <w:szCs w:val="20"/>
              </w:rPr>
            </w:pPr>
          </w:p>
        </w:tc>
        <w:tc>
          <w:tcPr>
            <w:tcW w:w="567" w:type="dxa"/>
            <w:tcBorders>
              <w:top w:val="single" w:sz="4" w:space="0" w:color="auto"/>
              <w:left w:val="nil"/>
              <w:right w:val="nil"/>
            </w:tcBorders>
          </w:tcPr>
          <w:p w14:paraId="405ED213"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single" w:sz="4" w:space="0" w:color="auto"/>
              <w:left w:val="nil"/>
              <w:right w:val="nil"/>
            </w:tcBorders>
          </w:tcPr>
          <w:p w14:paraId="10ADEF2F" w14:textId="77777777" w:rsidR="00794AFD" w:rsidRPr="000944E4" w:rsidRDefault="00794AFD" w:rsidP="00794AFD">
            <w:pPr>
              <w:ind w:left="-108"/>
              <w:jc w:val="right"/>
              <w:rPr>
                <w:rFonts w:asciiTheme="minorHAnsi" w:hAnsiTheme="minorHAnsi" w:cs="Times New Roman"/>
                <w:b/>
                <w:bCs/>
                <w:sz w:val="20"/>
                <w:szCs w:val="20"/>
              </w:rPr>
            </w:pPr>
          </w:p>
        </w:tc>
        <w:tc>
          <w:tcPr>
            <w:tcW w:w="1843" w:type="dxa"/>
            <w:tcBorders>
              <w:top w:val="single" w:sz="4" w:space="0" w:color="auto"/>
              <w:left w:val="nil"/>
              <w:right w:val="nil"/>
            </w:tcBorders>
            <w:shd w:val="clear" w:color="auto" w:fill="auto"/>
          </w:tcPr>
          <w:p w14:paraId="7BBD8E1A" w14:textId="77777777" w:rsidR="00794AFD" w:rsidRPr="003A5032" w:rsidRDefault="00794AFD" w:rsidP="00794AFD">
            <w:pPr>
              <w:ind w:left="-108"/>
              <w:jc w:val="right"/>
              <w:rPr>
                <w:rFonts w:asciiTheme="minorHAnsi" w:hAnsiTheme="minorHAnsi" w:cs="Times New Roman"/>
                <w:bCs/>
                <w:sz w:val="20"/>
                <w:szCs w:val="20"/>
              </w:rPr>
            </w:pPr>
          </w:p>
        </w:tc>
      </w:tr>
      <w:tr w:rsidR="00794AFD" w:rsidRPr="009D0BDE" w14:paraId="00AC1BD8" w14:textId="77777777" w:rsidTr="00794AFD">
        <w:tc>
          <w:tcPr>
            <w:tcW w:w="4995" w:type="dxa"/>
            <w:tcBorders>
              <w:top w:val="nil"/>
              <w:left w:val="nil"/>
              <w:right w:val="nil"/>
            </w:tcBorders>
            <w:shd w:val="clear" w:color="auto" w:fill="auto"/>
          </w:tcPr>
          <w:p w14:paraId="7AACE69B" w14:textId="77777777" w:rsidR="00794AFD" w:rsidRPr="009D0BDE" w:rsidRDefault="00794AFD" w:rsidP="00794AFD">
            <w:pPr>
              <w:ind w:left="-108"/>
              <w:rPr>
                <w:rFonts w:asciiTheme="minorHAnsi" w:hAnsiTheme="minorHAnsi" w:cs="Times New Roman"/>
                <w:bCs/>
                <w:sz w:val="20"/>
                <w:szCs w:val="20"/>
              </w:rPr>
            </w:pPr>
            <w:r w:rsidRPr="009D0BDE">
              <w:rPr>
                <w:rFonts w:asciiTheme="minorHAnsi" w:hAnsiTheme="minorHAnsi" w:cs="Times New Roman"/>
                <w:bCs/>
                <w:sz w:val="20"/>
                <w:szCs w:val="20"/>
              </w:rPr>
              <w:t>Trade and other payables</w:t>
            </w:r>
          </w:p>
        </w:tc>
        <w:tc>
          <w:tcPr>
            <w:tcW w:w="567" w:type="dxa"/>
            <w:tcBorders>
              <w:top w:val="nil"/>
              <w:left w:val="nil"/>
              <w:right w:val="nil"/>
            </w:tcBorders>
          </w:tcPr>
          <w:p w14:paraId="5617D207"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13</w:t>
            </w:r>
          </w:p>
        </w:tc>
        <w:tc>
          <w:tcPr>
            <w:tcW w:w="2127" w:type="dxa"/>
            <w:tcBorders>
              <w:left w:val="nil"/>
              <w:right w:val="nil"/>
            </w:tcBorders>
            <w:shd w:val="clear" w:color="auto" w:fill="auto"/>
          </w:tcPr>
          <w:p w14:paraId="6AE12AFC"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11.5</w:t>
            </w:r>
          </w:p>
        </w:tc>
        <w:tc>
          <w:tcPr>
            <w:tcW w:w="1843" w:type="dxa"/>
            <w:tcBorders>
              <w:left w:val="nil"/>
              <w:right w:val="nil"/>
            </w:tcBorders>
            <w:shd w:val="clear" w:color="auto" w:fill="auto"/>
          </w:tcPr>
          <w:p w14:paraId="5B3AFA95"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26.2</w:t>
            </w:r>
          </w:p>
        </w:tc>
      </w:tr>
      <w:tr w:rsidR="00794AFD" w:rsidRPr="009D0BDE" w14:paraId="5BD09010" w14:textId="77777777" w:rsidTr="00794AFD">
        <w:trPr>
          <w:trHeight w:val="80"/>
        </w:trPr>
        <w:tc>
          <w:tcPr>
            <w:tcW w:w="4995" w:type="dxa"/>
            <w:tcBorders>
              <w:top w:val="nil"/>
              <w:left w:val="nil"/>
              <w:bottom w:val="nil"/>
              <w:right w:val="nil"/>
            </w:tcBorders>
            <w:shd w:val="clear" w:color="auto" w:fill="auto"/>
          </w:tcPr>
          <w:p w14:paraId="65B4EEA8"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Derivative financial liabilities</w:t>
            </w:r>
          </w:p>
        </w:tc>
        <w:tc>
          <w:tcPr>
            <w:tcW w:w="567" w:type="dxa"/>
            <w:tcBorders>
              <w:top w:val="nil"/>
              <w:left w:val="nil"/>
              <w:bottom w:val="nil"/>
              <w:right w:val="nil"/>
            </w:tcBorders>
          </w:tcPr>
          <w:p w14:paraId="69347DEB"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13</w:t>
            </w:r>
          </w:p>
        </w:tc>
        <w:tc>
          <w:tcPr>
            <w:tcW w:w="2127" w:type="dxa"/>
            <w:tcBorders>
              <w:top w:val="nil"/>
              <w:left w:val="nil"/>
              <w:right w:val="nil"/>
            </w:tcBorders>
          </w:tcPr>
          <w:p w14:paraId="1DCF9257"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0.7</w:t>
            </w:r>
          </w:p>
        </w:tc>
        <w:tc>
          <w:tcPr>
            <w:tcW w:w="1843" w:type="dxa"/>
            <w:tcBorders>
              <w:top w:val="nil"/>
              <w:left w:val="nil"/>
              <w:right w:val="nil"/>
            </w:tcBorders>
            <w:shd w:val="clear" w:color="auto" w:fill="auto"/>
          </w:tcPr>
          <w:p w14:paraId="3F2DD1A5"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0.9</w:t>
            </w:r>
          </w:p>
        </w:tc>
      </w:tr>
      <w:tr w:rsidR="00794AFD" w:rsidRPr="009D0BDE" w14:paraId="6BA9C8F7" w14:textId="77777777" w:rsidTr="00794AFD">
        <w:tc>
          <w:tcPr>
            <w:tcW w:w="4995" w:type="dxa"/>
            <w:tcBorders>
              <w:top w:val="nil"/>
              <w:left w:val="nil"/>
              <w:right w:val="nil"/>
            </w:tcBorders>
            <w:shd w:val="clear" w:color="auto" w:fill="auto"/>
          </w:tcPr>
          <w:p w14:paraId="6B33AFF1"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sz w:val="20"/>
                <w:szCs w:val="20"/>
              </w:rPr>
              <w:t>Provisions</w:t>
            </w:r>
          </w:p>
        </w:tc>
        <w:tc>
          <w:tcPr>
            <w:tcW w:w="567" w:type="dxa"/>
            <w:tcBorders>
              <w:top w:val="nil"/>
              <w:left w:val="nil"/>
              <w:right w:val="nil"/>
            </w:tcBorders>
          </w:tcPr>
          <w:p w14:paraId="38F1B39A"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left w:val="nil"/>
              <w:right w:val="nil"/>
            </w:tcBorders>
          </w:tcPr>
          <w:p w14:paraId="2B83E8F2"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1.1</w:t>
            </w:r>
          </w:p>
        </w:tc>
        <w:tc>
          <w:tcPr>
            <w:tcW w:w="1843" w:type="dxa"/>
            <w:tcBorders>
              <w:left w:val="nil"/>
              <w:right w:val="nil"/>
            </w:tcBorders>
            <w:shd w:val="clear" w:color="auto" w:fill="auto"/>
          </w:tcPr>
          <w:p w14:paraId="7E8C691F"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1.3</w:t>
            </w:r>
          </w:p>
        </w:tc>
      </w:tr>
      <w:tr w:rsidR="00794AFD" w:rsidRPr="009D0BDE" w14:paraId="5E570060" w14:textId="77777777" w:rsidTr="00794AFD">
        <w:trPr>
          <w:trHeight w:val="171"/>
        </w:trPr>
        <w:tc>
          <w:tcPr>
            <w:tcW w:w="4995" w:type="dxa"/>
            <w:tcBorders>
              <w:left w:val="nil"/>
              <w:right w:val="nil"/>
            </w:tcBorders>
            <w:shd w:val="clear" w:color="auto" w:fill="auto"/>
          </w:tcPr>
          <w:p w14:paraId="6B8F8B90" w14:textId="77777777" w:rsidR="00794AFD" w:rsidRPr="009D0BDE" w:rsidRDefault="00794AFD" w:rsidP="00794AFD">
            <w:pPr>
              <w:ind w:left="-108"/>
              <w:rPr>
                <w:rFonts w:asciiTheme="minorHAnsi" w:hAnsiTheme="minorHAnsi" w:cs="Times New Roman"/>
                <w:b/>
                <w:bCs/>
                <w:sz w:val="20"/>
                <w:szCs w:val="20"/>
              </w:rPr>
            </w:pPr>
            <w:r w:rsidRPr="009D0BDE">
              <w:rPr>
                <w:rFonts w:asciiTheme="minorHAnsi" w:hAnsiTheme="minorHAnsi" w:cs="Times New Roman"/>
                <w:sz w:val="20"/>
                <w:szCs w:val="20"/>
              </w:rPr>
              <w:t>Deferred tax liabilities</w:t>
            </w:r>
          </w:p>
        </w:tc>
        <w:tc>
          <w:tcPr>
            <w:tcW w:w="567" w:type="dxa"/>
            <w:tcBorders>
              <w:left w:val="nil"/>
              <w:right w:val="nil"/>
            </w:tcBorders>
          </w:tcPr>
          <w:p w14:paraId="7CE9F970"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left w:val="nil"/>
              <w:right w:val="nil"/>
            </w:tcBorders>
          </w:tcPr>
          <w:p w14:paraId="37132DB5"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65.0</w:t>
            </w:r>
          </w:p>
        </w:tc>
        <w:tc>
          <w:tcPr>
            <w:tcW w:w="1843" w:type="dxa"/>
            <w:tcBorders>
              <w:left w:val="nil"/>
              <w:right w:val="nil"/>
            </w:tcBorders>
            <w:shd w:val="clear" w:color="auto" w:fill="auto"/>
          </w:tcPr>
          <w:p w14:paraId="75CD4182"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77.4</w:t>
            </w:r>
          </w:p>
        </w:tc>
      </w:tr>
      <w:tr w:rsidR="00794AFD" w:rsidRPr="009D0BDE" w14:paraId="77BA249C" w14:textId="77777777" w:rsidTr="00794AFD">
        <w:trPr>
          <w:trHeight w:val="171"/>
        </w:trPr>
        <w:tc>
          <w:tcPr>
            <w:tcW w:w="4995" w:type="dxa"/>
            <w:tcBorders>
              <w:left w:val="nil"/>
              <w:right w:val="nil"/>
            </w:tcBorders>
            <w:shd w:val="clear" w:color="auto" w:fill="auto"/>
          </w:tcPr>
          <w:p w14:paraId="4AB64F4C" w14:textId="77777777" w:rsidR="00794AFD" w:rsidRPr="009D0BDE" w:rsidRDefault="00794AFD" w:rsidP="00794AFD">
            <w:pPr>
              <w:ind w:left="-108"/>
              <w:rPr>
                <w:rFonts w:asciiTheme="minorHAnsi" w:hAnsiTheme="minorHAnsi" w:cs="Times New Roman"/>
                <w:sz w:val="20"/>
                <w:szCs w:val="20"/>
              </w:rPr>
            </w:pPr>
            <w:r w:rsidRPr="009D0BDE">
              <w:rPr>
                <w:rFonts w:asciiTheme="minorHAnsi" w:hAnsiTheme="minorHAnsi" w:cs="Times New Roman"/>
                <w:bCs/>
                <w:sz w:val="20"/>
                <w:szCs w:val="20"/>
              </w:rPr>
              <w:t>Lease liabilities</w:t>
            </w:r>
          </w:p>
        </w:tc>
        <w:tc>
          <w:tcPr>
            <w:tcW w:w="567" w:type="dxa"/>
            <w:tcBorders>
              <w:left w:val="nil"/>
              <w:right w:val="nil"/>
            </w:tcBorders>
          </w:tcPr>
          <w:p w14:paraId="4F0CEA14"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14</w:t>
            </w:r>
          </w:p>
        </w:tc>
        <w:tc>
          <w:tcPr>
            <w:tcW w:w="2127" w:type="dxa"/>
            <w:tcBorders>
              <w:left w:val="nil"/>
              <w:right w:val="nil"/>
            </w:tcBorders>
          </w:tcPr>
          <w:p w14:paraId="3D7CE871"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132.1</w:t>
            </w:r>
          </w:p>
        </w:tc>
        <w:tc>
          <w:tcPr>
            <w:tcW w:w="1843" w:type="dxa"/>
            <w:tcBorders>
              <w:left w:val="nil"/>
              <w:right w:val="nil"/>
            </w:tcBorders>
            <w:shd w:val="clear" w:color="auto" w:fill="auto"/>
          </w:tcPr>
          <w:p w14:paraId="7BEE1575"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w:t>
            </w:r>
          </w:p>
        </w:tc>
      </w:tr>
      <w:tr w:rsidR="00794AFD" w:rsidRPr="009D0BDE" w14:paraId="081EDF82" w14:textId="77777777" w:rsidTr="00794AFD">
        <w:tc>
          <w:tcPr>
            <w:tcW w:w="4995" w:type="dxa"/>
            <w:tcBorders>
              <w:left w:val="nil"/>
              <w:bottom w:val="single" w:sz="4" w:space="0" w:color="auto"/>
              <w:right w:val="nil"/>
            </w:tcBorders>
            <w:shd w:val="clear" w:color="auto" w:fill="auto"/>
          </w:tcPr>
          <w:p w14:paraId="3B1B5F4C" w14:textId="77777777" w:rsidR="00794AFD" w:rsidRPr="009D0BDE" w:rsidRDefault="00794AFD" w:rsidP="00794AFD">
            <w:pPr>
              <w:ind w:left="-108"/>
              <w:rPr>
                <w:rFonts w:asciiTheme="minorHAnsi" w:hAnsiTheme="minorHAnsi" w:cs="Times New Roman"/>
                <w:b/>
                <w:bCs/>
                <w:sz w:val="20"/>
                <w:szCs w:val="20"/>
              </w:rPr>
            </w:pPr>
            <w:r w:rsidRPr="009D0BDE">
              <w:rPr>
                <w:rFonts w:asciiTheme="minorHAnsi" w:hAnsiTheme="minorHAnsi" w:cs="Times New Roman"/>
                <w:bCs/>
                <w:sz w:val="20"/>
                <w:szCs w:val="20"/>
              </w:rPr>
              <w:t>Borrowings</w:t>
            </w:r>
          </w:p>
        </w:tc>
        <w:tc>
          <w:tcPr>
            <w:tcW w:w="567" w:type="dxa"/>
            <w:tcBorders>
              <w:left w:val="nil"/>
              <w:bottom w:val="single" w:sz="4" w:space="0" w:color="auto"/>
              <w:right w:val="nil"/>
            </w:tcBorders>
          </w:tcPr>
          <w:p w14:paraId="2423AC5F" w14:textId="77777777" w:rsidR="00794AFD" w:rsidRPr="009D0BDE" w:rsidRDefault="00794AFD" w:rsidP="00794AFD">
            <w:pPr>
              <w:ind w:left="-108"/>
              <w:jc w:val="center"/>
              <w:rPr>
                <w:rFonts w:asciiTheme="minorHAnsi" w:hAnsiTheme="minorHAnsi" w:cs="Times New Roman"/>
                <w:iCs/>
                <w:sz w:val="20"/>
                <w:szCs w:val="20"/>
              </w:rPr>
            </w:pPr>
            <w:r>
              <w:rPr>
                <w:rFonts w:asciiTheme="minorHAnsi" w:hAnsiTheme="minorHAnsi" w:cs="Times New Roman"/>
                <w:iCs/>
                <w:sz w:val="20"/>
                <w:szCs w:val="20"/>
              </w:rPr>
              <w:t>14</w:t>
            </w:r>
          </w:p>
        </w:tc>
        <w:tc>
          <w:tcPr>
            <w:tcW w:w="2127" w:type="dxa"/>
            <w:tcBorders>
              <w:left w:val="nil"/>
              <w:bottom w:val="single" w:sz="4" w:space="0" w:color="auto"/>
              <w:right w:val="nil"/>
            </w:tcBorders>
          </w:tcPr>
          <w:p w14:paraId="0798701D" w14:textId="77777777" w:rsidR="00794AFD" w:rsidRPr="000944E4" w:rsidRDefault="00794AFD" w:rsidP="00794AFD">
            <w:pPr>
              <w:ind w:left="-108"/>
              <w:jc w:val="right"/>
              <w:rPr>
                <w:rFonts w:asciiTheme="minorHAnsi" w:hAnsiTheme="minorHAnsi" w:cs="Times New Roman"/>
                <w:b/>
                <w:bCs/>
                <w:sz w:val="20"/>
                <w:szCs w:val="20"/>
              </w:rPr>
            </w:pPr>
            <w:r w:rsidRPr="009D0BDE">
              <w:rPr>
                <w:rFonts w:asciiTheme="minorHAnsi" w:hAnsiTheme="minorHAnsi" w:cs="Times New Roman"/>
                <w:b/>
                <w:bCs/>
                <w:sz w:val="20"/>
                <w:szCs w:val="20"/>
              </w:rPr>
              <w:t>115.7</w:t>
            </w:r>
          </w:p>
        </w:tc>
        <w:tc>
          <w:tcPr>
            <w:tcW w:w="1843" w:type="dxa"/>
            <w:tcBorders>
              <w:left w:val="nil"/>
              <w:bottom w:val="single" w:sz="4" w:space="0" w:color="auto"/>
              <w:right w:val="nil"/>
            </w:tcBorders>
            <w:shd w:val="clear" w:color="auto" w:fill="auto"/>
          </w:tcPr>
          <w:p w14:paraId="7E11B377"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283.0</w:t>
            </w:r>
          </w:p>
        </w:tc>
      </w:tr>
      <w:tr w:rsidR="00794AFD" w:rsidRPr="009D0BDE" w14:paraId="26A242EF" w14:textId="77777777" w:rsidTr="00794AFD">
        <w:tc>
          <w:tcPr>
            <w:tcW w:w="4995" w:type="dxa"/>
            <w:tcBorders>
              <w:top w:val="single" w:sz="4" w:space="0" w:color="auto"/>
              <w:left w:val="nil"/>
              <w:bottom w:val="single" w:sz="4" w:space="0" w:color="auto"/>
              <w:right w:val="nil"/>
            </w:tcBorders>
            <w:shd w:val="clear" w:color="auto" w:fill="auto"/>
          </w:tcPr>
          <w:p w14:paraId="23713AB2" w14:textId="77777777" w:rsidR="00794AFD" w:rsidRPr="009D0BDE" w:rsidRDefault="00794AFD" w:rsidP="00794AFD">
            <w:pPr>
              <w:ind w:left="-108"/>
              <w:rPr>
                <w:rFonts w:asciiTheme="minorHAnsi" w:hAnsiTheme="minorHAnsi" w:cs="Times New Roman"/>
                <w:b/>
                <w:bCs/>
                <w:sz w:val="20"/>
                <w:szCs w:val="20"/>
              </w:rPr>
            </w:pPr>
            <w:r w:rsidRPr="009D0BDE">
              <w:rPr>
                <w:rFonts w:asciiTheme="minorHAnsi" w:hAnsiTheme="minorHAnsi" w:cs="Times New Roman"/>
                <w:b/>
                <w:bCs/>
                <w:sz w:val="20"/>
                <w:szCs w:val="20"/>
              </w:rPr>
              <w:t>Total non-current liabilities</w:t>
            </w:r>
          </w:p>
        </w:tc>
        <w:tc>
          <w:tcPr>
            <w:tcW w:w="567" w:type="dxa"/>
            <w:tcBorders>
              <w:top w:val="single" w:sz="4" w:space="0" w:color="auto"/>
              <w:left w:val="nil"/>
              <w:bottom w:val="single" w:sz="4" w:space="0" w:color="auto"/>
              <w:right w:val="nil"/>
            </w:tcBorders>
          </w:tcPr>
          <w:p w14:paraId="49E5888B"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single" w:sz="4" w:space="0" w:color="auto"/>
              <w:left w:val="nil"/>
              <w:bottom w:val="single" w:sz="4" w:space="0" w:color="auto"/>
              <w:right w:val="nil"/>
            </w:tcBorders>
          </w:tcPr>
          <w:p w14:paraId="05B41A16"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326.1</w:t>
            </w:r>
          </w:p>
        </w:tc>
        <w:tc>
          <w:tcPr>
            <w:tcW w:w="1843" w:type="dxa"/>
            <w:tcBorders>
              <w:top w:val="single" w:sz="4" w:space="0" w:color="auto"/>
              <w:left w:val="nil"/>
              <w:bottom w:val="single" w:sz="4" w:space="0" w:color="auto"/>
              <w:right w:val="nil"/>
            </w:tcBorders>
            <w:shd w:val="clear" w:color="auto" w:fill="auto"/>
          </w:tcPr>
          <w:p w14:paraId="69596C72"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388.8</w:t>
            </w:r>
          </w:p>
        </w:tc>
      </w:tr>
      <w:tr w:rsidR="00794AFD" w:rsidRPr="009D0BDE" w14:paraId="7EAA529D" w14:textId="77777777" w:rsidTr="00794AFD">
        <w:trPr>
          <w:trHeight w:val="247"/>
        </w:trPr>
        <w:tc>
          <w:tcPr>
            <w:tcW w:w="4995" w:type="dxa"/>
            <w:tcBorders>
              <w:top w:val="single" w:sz="4" w:space="0" w:color="auto"/>
              <w:left w:val="nil"/>
              <w:bottom w:val="single" w:sz="4" w:space="0" w:color="auto"/>
              <w:right w:val="nil"/>
            </w:tcBorders>
            <w:shd w:val="clear" w:color="auto" w:fill="auto"/>
          </w:tcPr>
          <w:p w14:paraId="39EE856B" w14:textId="77777777" w:rsidR="00794AFD" w:rsidRPr="009D0BDE" w:rsidRDefault="00794AFD" w:rsidP="00794AFD">
            <w:pPr>
              <w:ind w:left="-108"/>
              <w:rPr>
                <w:rFonts w:asciiTheme="minorHAnsi" w:hAnsiTheme="minorHAnsi" w:cs="Times New Roman"/>
                <w:b/>
                <w:bCs/>
                <w:sz w:val="20"/>
                <w:szCs w:val="20"/>
              </w:rPr>
            </w:pPr>
            <w:r w:rsidRPr="009D0BDE">
              <w:rPr>
                <w:rFonts w:asciiTheme="minorHAnsi" w:hAnsiTheme="minorHAnsi" w:cs="Times New Roman"/>
                <w:b/>
                <w:bCs/>
                <w:sz w:val="20"/>
                <w:szCs w:val="20"/>
              </w:rPr>
              <w:t>Total liabilities</w:t>
            </w:r>
          </w:p>
        </w:tc>
        <w:tc>
          <w:tcPr>
            <w:tcW w:w="567" w:type="dxa"/>
            <w:tcBorders>
              <w:top w:val="single" w:sz="4" w:space="0" w:color="auto"/>
              <w:left w:val="nil"/>
              <w:bottom w:val="single" w:sz="4" w:space="0" w:color="auto"/>
              <w:right w:val="nil"/>
            </w:tcBorders>
          </w:tcPr>
          <w:p w14:paraId="0E81355D" w14:textId="77777777" w:rsidR="00794AFD" w:rsidRPr="009D0BDE" w:rsidRDefault="00794AFD" w:rsidP="00794AFD">
            <w:pPr>
              <w:ind w:left="-108"/>
              <w:jc w:val="center"/>
              <w:rPr>
                <w:rFonts w:asciiTheme="minorHAnsi" w:hAnsiTheme="minorHAnsi" w:cs="Times New Roman"/>
                <w:iCs/>
                <w:sz w:val="20"/>
                <w:szCs w:val="20"/>
              </w:rPr>
            </w:pPr>
          </w:p>
        </w:tc>
        <w:tc>
          <w:tcPr>
            <w:tcW w:w="2127" w:type="dxa"/>
            <w:tcBorders>
              <w:top w:val="single" w:sz="4" w:space="0" w:color="auto"/>
              <w:left w:val="nil"/>
              <w:bottom w:val="single" w:sz="4" w:space="0" w:color="auto"/>
              <w:right w:val="nil"/>
            </w:tcBorders>
          </w:tcPr>
          <w:p w14:paraId="0DE8DBF2"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1,211.6</w:t>
            </w:r>
          </w:p>
        </w:tc>
        <w:tc>
          <w:tcPr>
            <w:tcW w:w="1843" w:type="dxa"/>
            <w:tcBorders>
              <w:top w:val="single" w:sz="4" w:space="0" w:color="auto"/>
              <w:left w:val="nil"/>
              <w:bottom w:val="single" w:sz="4" w:space="0" w:color="auto"/>
              <w:right w:val="nil"/>
            </w:tcBorders>
            <w:shd w:val="clear" w:color="auto" w:fill="auto"/>
          </w:tcPr>
          <w:p w14:paraId="394A9E5E"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967.2</w:t>
            </w:r>
          </w:p>
        </w:tc>
      </w:tr>
      <w:tr w:rsidR="00794AFD" w:rsidRPr="009D0BDE" w14:paraId="307BE9A4" w14:textId="77777777" w:rsidTr="00794AFD">
        <w:trPr>
          <w:trHeight w:val="336"/>
        </w:trPr>
        <w:tc>
          <w:tcPr>
            <w:tcW w:w="4995" w:type="dxa"/>
            <w:tcBorders>
              <w:top w:val="single" w:sz="4" w:space="0" w:color="auto"/>
              <w:left w:val="nil"/>
              <w:bottom w:val="single" w:sz="4" w:space="0" w:color="auto"/>
              <w:right w:val="nil"/>
            </w:tcBorders>
            <w:shd w:val="clear" w:color="auto" w:fill="auto"/>
          </w:tcPr>
          <w:p w14:paraId="67304266" w14:textId="77777777" w:rsidR="00794AFD" w:rsidRPr="009D0BDE" w:rsidRDefault="00794AFD" w:rsidP="00794AFD">
            <w:pPr>
              <w:ind w:left="-108"/>
              <w:rPr>
                <w:rFonts w:asciiTheme="minorHAnsi" w:hAnsiTheme="minorHAnsi" w:cs="Times New Roman"/>
                <w:b/>
                <w:bCs/>
                <w:sz w:val="20"/>
                <w:szCs w:val="20"/>
              </w:rPr>
            </w:pPr>
            <w:r w:rsidRPr="009D0BDE">
              <w:rPr>
                <w:rFonts w:asciiTheme="minorHAnsi" w:hAnsiTheme="minorHAnsi" w:cs="Times New Roman"/>
                <w:b/>
                <w:bCs/>
                <w:sz w:val="20"/>
                <w:szCs w:val="20"/>
              </w:rPr>
              <w:t>Total equity and liabilities</w:t>
            </w:r>
          </w:p>
        </w:tc>
        <w:tc>
          <w:tcPr>
            <w:tcW w:w="567" w:type="dxa"/>
            <w:tcBorders>
              <w:top w:val="single" w:sz="4" w:space="0" w:color="auto"/>
              <w:left w:val="nil"/>
              <w:bottom w:val="single" w:sz="4" w:space="0" w:color="auto"/>
              <w:right w:val="nil"/>
            </w:tcBorders>
          </w:tcPr>
          <w:p w14:paraId="41703C84" w14:textId="77777777" w:rsidR="00794AFD" w:rsidRPr="009D0BDE" w:rsidRDefault="00794AFD" w:rsidP="00794AFD">
            <w:pPr>
              <w:ind w:left="-108"/>
              <w:jc w:val="center"/>
              <w:rPr>
                <w:rFonts w:asciiTheme="minorHAnsi" w:hAnsiTheme="minorHAnsi" w:cs="Times New Roman"/>
                <w:i/>
                <w:iCs/>
                <w:sz w:val="20"/>
                <w:szCs w:val="20"/>
              </w:rPr>
            </w:pPr>
          </w:p>
        </w:tc>
        <w:tc>
          <w:tcPr>
            <w:tcW w:w="2127" w:type="dxa"/>
            <w:tcBorders>
              <w:top w:val="single" w:sz="4" w:space="0" w:color="auto"/>
              <w:left w:val="nil"/>
              <w:bottom w:val="single" w:sz="4" w:space="0" w:color="auto"/>
              <w:right w:val="nil"/>
            </w:tcBorders>
          </w:tcPr>
          <w:p w14:paraId="09CE584B" w14:textId="77777777" w:rsidR="00794AFD" w:rsidRPr="000944E4" w:rsidRDefault="00794AFD" w:rsidP="00794AFD">
            <w:pPr>
              <w:ind w:left="-108"/>
              <w:jc w:val="right"/>
              <w:rPr>
                <w:rFonts w:asciiTheme="minorHAnsi" w:hAnsiTheme="minorHAnsi" w:cs="Times New Roman"/>
                <w:b/>
                <w:bCs/>
                <w:sz w:val="20"/>
                <w:szCs w:val="20"/>
              </w:rPr>
            </w:pPr>
            <w:r w:rsidRPr="000944E4">
              <w:rPr>
                <w:rFonts w:asciiTheme="minorHAnsi" w:hAnsiTheme="minorHAnsi" w:cs="Times New Roman"/>
                <w:b/>
                <w:bCs/>
                <w:sz w:val="20"/>
                <w:szCs w:val="20"/>
              </w:rPr>
              <w:t>5,401.2</w:t>
            </w:r>
          </w:p>
        </w:tc>
        <w:tc>
          <w:tcPr>
            <w:tcW w:w="1843" w:type="dxa"/>
            <w:tcBorders>
              <w:top w:val="single" w:sz="4" w:space="0" w:color="auto"/>
              <w:left w:val="nil"/>
              <w:bottom w:val="single" w:sz="4" w:space="0" w:color="auto"/>
              <w:right w:val="nil"/>
            </w:tcBorders>
            <w:shd w:val="clear" w:color="auto" w:fill="auto"/>
          </w:tcPr>
          <w:p w14:paraId="4C1DDB89" w14:textId="77777777" w:rsidR="00794AFD" w:rsidRPr="003A5032" w:rsidRDefault="00794AFD" w:rsidP="00794AFD">
            <w:pPr>
              <w:ind w:left="-108"/>
              <w:jc w:val="right"/>
              <w:rPr>
                <w:rFonts w:asciiTheme="minorHAnsi" w:hAnsiTheme="minorHAnsi" w:cs="Times New Roman"/>
                <w:bCs/>
                <w:sz w:val="20"/>
                <w:szCs w:val="20"/>
              </w:rPr>
            </w:pPr>
            <w:r w:rsidRPr="003A5032">
              <w:rPr>
                <w:rFonts w:asciiTheme="minorHAnsi" w:hAnsiTheme="minorHAnsi" w:cs="Times New Roman"/>
                <w:bCs/>
                <w:sz w:val="20"/>
                <w:szCs w:val="20"/>
              </w:rPr>
              <w:t>5,178.5</w:t>
            </w:r>
          </w:p>
        </w:tc>
      </w:tr>
    </w:tbl>
    <w:p w14:paraId="1CBF0E60" w14:textId="77777777" w:rsidR="00794AFD" w:rsidRPr="009D0BDE" w:rsidRDefault="00794AFD" w:rsidP="00794AFD">
      <w:pPr>
        <w:jc w:val="both"/>
        <w:rPr>
          <w:rFonts w:asciiTheme="minorHAnsi" w:hAnsiTheme="minorHAnsi" w:cs="Times New Roman"/>
          <w:sz w:val="8"/>
          <w:szCs w:val="8"/>
        </w:rPr>
      </w:pPr>
    </w:p>
    <w:tbl>
      <w:tblPr>
        <w:tblW w:w="9531" w:type="dxa"/>
        <w:tblInd w:w="108" w:type="dxa"/>
        <w:tblLayout w:type="fixed"/>
        <w:tblLook w:val="01E0" w:firstRow="1" w:lastRow="1" w:firstColumn="1" w:lastColumn="1" w:noHBand="0" w:noVBand="0"/>
      </w:tblPr>
      <w:tblGrid>
        <w:gridCol w:w="358"/>
        <w:gridCol w:w="9173"/>
      </w:tblGrid>
      <w:tr w:rsidR="00794AFD" w:rsidRPr="009D0BDE" w14:paraId="2C6444BE" w14:textId="77777777" w:rsidTr="00794AFD">
        <w:tc>
          <w:tcPr>
            <w:tcW w:w="358" w:type="dxa"/>
            <w:shd w:val="clear" w:color="auto" w:fill="auto"/>
          </w:tcPr>
          <w:p w14:paraId="68972B86" w14:textId="77777777" w:rsidR="00794AFD" w:rsidRPr="009D0BDE" w:rsidRDefault="00794AFD" w:rsidP="00794AFD">
            <w:pPr>
              <w:ind w:hanging="108"/>
              <w:rPr>
                <w:rFonts w:asciiTheme="minorHAnsi" w:hAnsiTheme="minorHAnsi"/>
                <w:sz w:val="18"/>
              </w:rPr>
            </w:pPr>
            <w:r w:rsidRPr="009D0BDE">
              <w:rPr>
                <w:rFonts w:asciiTheme="minorHAnsi" w:hAnsiTheme="minorHAnsi"/>
                <w:sz w:val="18"/>
              </w:rPr>
              <w:t>1</w:t>
            </w:r>
          </w:p>
        </w:tc>
        <w:tc>
          <w:tcPr>
            <w:tcW w:w="9173" w:type="dxa"/>
            <w:shd w:val="clear" w:color="auto" w:fill="auto"/>
          </w:tcPr>
          <w:p w14:paraId="0A6DABCB" w14:textId="77777777" w:rsidR="00794AFD" w:rsidRPr="009D0BDE" w:rsidRDefault="00794AFD" w:rsidP="00794AFD">
            <w:pPr>
              <w:ind w:left="-108"/>
              <w:rPr>
                <w:rFonts w:asciiTheme="minorHAnsi" w:hAnsiTheme="minorHAnsi"/>
                <w:sz w:val="18"/>
                <w:lang w:val="en-IE" w:eastAsia="en-IE"/>
              </w:rPr>
            </w:pPr>
            <w:r w:rsidRPr="009D0BDE">
              <w:rPr>
                <w:rFonts w:asciiTheme="minorHAnsi" w:hAnsiTheme="minorHAnsi"/>
                <w:sz w:val="18"/>
                <w:lang w:val="en-IE" w:eastAsia="en-IE"/>
              </w:rPr>
              <w:t xml:space="preserve">The Group has initially applied IFRS 16 at 1 January 2019, using the modified retrospective approach. Under this approach, comparative information is not restated. See Note 2 for further details. </w:t>
            </w:r>
          </w:p>
        </w:tc>
      </w:tr>
    </w:tbl>
    <w:p w14:paraId="1DADF721" w14:textId="77777777" w:rsidR="00794AFD" w:rsidRPr="000944E4" w:rsidRDefault="00794AFD" w:rsidP="00794AFD">
      <w:pPr>
        <w:widowControl/>
        <w:autoSpaceDE/>
        <w:autoSpaceDN/>
        <w:adjustRightInd/>
        <w:rPr>
          <w:rFonts w:asciiTheme="minorHAnsi" w:hAnsiTheme="minorHAnsi" w:cs="Times New Roman"/>
          <w:sz w:val="12"/>
          <w:szCs w:val="12"/>
        </w:rPr>
      </w:pPr>
    </w:p>
    <w:p w14:paraId="35EE791E" w14:textId="77777777" w:rsidR="00794AFD" w:rsidRPr="003A5032" w:rsidRDefault="00794AFD" w:rsidP="00794AFD">
      <w:pPr>
        <w:widowControl/>
        <w:autoSpaceDE/>
        <w:autoSpaceDN/>
        <w:adjustRightInd/>
        <w:rPr>
          <w:rFonts w:asciiTheme="minorHAnsi" w:hAnsiTheme="minorHAnsi" w:cs="Times New Roman"/>
          <w:sz w:val="20"/>
          <w:szCs w:val="20"/>
        </w:rPr>
      </w:pPr>
      <w:r w:rsidRPr="003A5032">
        <w:rPr>
          <w:rFonts w:asciiTheme="minorHAnsi" w:hAnsiTheme="minorHAnsi" w:cs="Times New Roman"/>
          <w:sz w:val="20"/>
          <w:szCs w:val="20"/>
        </w:rPr>
        <w:t xml:space="preserve">Notes </w:t>
      </w:r>
      <w:r w:rsidRPr="000944E4">
        <w:rPr>
          <w:rFonts w:asciiTheme="minorHAnsi" w:hAnsiTheme="minorHAnsi" w:cs="Times New Roman"/>
          <w:sz w:val="20"/>
          <w:szCs w:val="20"/>
        </w:rPr>
        <w:t xml:space="preserve">1 to </w:t>
      </w:r>
      <w:r>
        <w:rPr>
          <w:rFonts w:asciiTheme="minorHAnsi" w:hAnsiTheme="minorHAnsi" w:cs="Times New Roman"/>
          <w:sz w:val="20"/>
          <w:szCs w:val="20"/>
        </w:rPr>
        <w:t>17</w:t>
      </w:r>
      <w:r w:rsidRPr="003A5032">
        <w:rPr>
          <w:rFonts w:asciiTheme="minorHAnsi" w:hAnsiTheme="minorHAnsi" w:cs="Times New Roman"/>
          <w:sz w:val="20"/>
          <w:szCs w:val="20"/>
        </w:rPr>
        <w:t xml:space="preserve"> on pages </w:t>
      </w:r>
      <w:r>
        <w:rPr>
          <w:rFonts w:asciiTheme="minorHAnsi" w:hAnsiTheme="minorHAnsi" w:cs="Times New Roman"/>
          <w:sz w:val="20"/>
          <w:szCs w:val="20"/>
        </w:rPr>
        <w:t>29</w:t>
      </w:r>
      <w:r w:rsidRPr="003A5032">
        <w:rPr>
          <w:rFonts w:asciiTheme="minorHAnsi" w:hAnsiTheme="minorHAnsi" w:cs="Times New Roman"/>
          <w:sz w:val="20"/>
          <w:szCs w:val="20"/>
        </w:rPr>
        <w:t xml:space="preserve"> to </w:t>
      </w:r>
      <w:r>
        <w:rPr>
          <w:rFonts w:asciiTheme="minorHAnsi" w:hAnsiTheme="minorHAnsi" w:cs="Times New Roman"/>
          <w:sz w:val="20"/>
          <w:szCs w:val="20"/>
        </w:rPr>
        <w:t>54</w:t>
      </w:r>
      <w:r w:rsidRPr="003A5032">
        <w:rPr>
          <w:rFonts w:asciiTheme="minorHAnsi" w:hAnsiTheme="minorHAnsi" w:cs="Times New Roman"/>
          <w:sz w:val="20"/>
          <w:szCs w:val="20"/>
        </w:rPr>
        <w:t xml:space="preserve"> form an integral part of these</w:t>
      </w:r>
      <w:r>
        <w:rPr>
          <w:rFonts w:asciiTheme="minorHAnsi" w:hAnsiTheme="minorHAnsi" w:cs="Times New Roman"/>
          <w:sz w:val="20"/>
          <w:szCs w:val="20"/>
        </w:rPr>
        <w:t xml:space="preserve"> condensed</w:t>
      </w:r>
      <w:r w:rsidRPr="003A5032">
        <w:rPr>
          <w:rFonts w:asciiTheme="minorHAnsi" w:hAnsiTheme="minorHAnsi" w:cs="Times New Roman"/>
          <w:sz w:val="20"/>
          <w:szCs w:val="20"/>
        </w:rPr>
        <w:t xml:space="preserve"> consolidated financial statements.</w:t>
      </w:r>
    </w:p>
    <w:p w14:paraId="18A93C5B" w14:textId="77777777" w:rsidR="00794AFD" w:rsidRPr="001C5950" w:rsidRDefault="00794AFD" w:rsidP="00794AFD">
      <w:pPr>
        <w:rPr>
          <w:rFonts w:asciiTheme="minorHAnsi" w:hAnsiTheme="minorHAnsi" w:cs="Times New Roman"/>
          <w:sz w:val="20"/>
          <w:szCs w:val="20"/>
        </w:rPr>
      </w:pPr>
      <w:r w:rsidRPr="009D0BDE">
        <w:rPr>
          <w:rFonts w:asciiTheme="minorHAnsi" w:hAnsiTheme="minorHAnsi" w:cs="Times New Roman"/>
          <w:sz w:val="20"/>
          <w:szCs w:val="20"/>
        </w:rPr>
        <w:t>On behalf of the Board</w:t>
      </w:r>
    </w:p>
    <w:p w14:paraId="2F7D3B56" w14:textId="77777777" w:rsidR="00794AFD" w:rsidRPr="00FF7374" w:rsidRDefault="00794AFD" w:rsidP="00794AFD">
      <w:pPr>
        <w:rPr>
          <w:rFonts w:asciiTheme="minorHAnsi" w:hAnsiTheme="minorHAnsi" w:cs="Times New Roman"/>
          <w:sz w:val="12"/>
          <w:szCs w:val="12"/>
        </w:rPr>
      </w:pPr>
    </w:p>
    <w:tbl>
      <w:tblPr>
        <w:tblW w:w="0" w:type="auto"/>
        <w:tblLook w:val="01E0" w:firstRow="1" w:lastRow="1" w:firstColumn="1" w:lastColumn="1" w:noHBand="0" w:noVBand="0"/>
      </w:tblPr>
      <w:tblGrid>
        <w:gridCol w:w="3918"/>
        <w:gridCol w:w="5451"/>
      </w:tblGrid>
      <w:tr w:rsidR="00794AFD" w:rsidRPr="001C5950" w14:paraId="17E80BDF" w14:textId="77777777" w:rsidTr="00794AFD">
        <w:tc>
          <w:tcPr>
            <w:tcW w:w="3918" w:type="dxa"/>
            <w:shd w:val="clear" w:color="auto" w:fill="auto"/>
          </w:tcPr>
          <w:p w14:paraId="725A28A2" w14:textId="77777777" w:rsidR="00794AFD" w:rsidRPr="001C5950" w:rsidRDefault="00794AFD" w:rsidP="00794AFD">
            <w:pPr>
              <w:ind w:left="-90"/>
              <w:rPr>
                <w:rFonts w:asciiTheme="minorHAnsi" w:hAnsiTheme="minorHAnsi" w:cs="Times New Roman"/>
                <w:b/>
                <w:sz w:val="20"/>
                <w:szCs w:val="20"/>
                <w:lang w:val="en-IE"/>
              </w:rPr>
            </w:pPr>
            <w:r w:rsidRPr="001C5950">
              <w:rPr>
                <w:rFonts w:asciiTheme="minorHAnsi" w:hAnsiTheme="minorHAnsi" w:cs="Times New Roman"/>
                <w:b/>
                <w:sz w:val="20"/>
                <w:szCs w:val="20"/>
                <w:lang w:val="en-IE"/>
              </w:rPr>
              <w:t>Peter Jackson</w:t>
            </w:r>
          </w:p>
          <w:p w14:paraId="07D5B941" w14:textId="77777777" w:rsidR="00794AFD" w:rsidRPr="001C5950" w:rsidRDefault="00794AFD" w:rsidP="00794AFD">
            <w:pPr>
              <w:ind w:left="-90"/>
              <w:rPr>
                <w:rFonts w:asciiTheme="minorHAnsi" w:hAnsiTheme="minorHAnsi" w:cs="Times New Roman"/>
                <w:i/>
                <w:sz w:val="20"/>
                <w:szCs w:val="20"/>
                <w:lang w:val="en-IE"/>
              </w:rPr>
            </w:pPr>
            <w:r w:rsidRPr="001C5950">
              <w:rPr>
                <w:rFonts w:asciiTheme="minorHAnsi" w:hAnsiTheme="minorHAnsi" w:cs="Times New Roman"/>
                <w:i/>
                <w:sz w:val="20"/>
                <w:szCs w:val="20"/>
                <w:lang w:val="en-IE"/>
              </w:rPr>
              <w:t>Chief Executive Officer</w:t>
            </w:r>
          </w:p>
        </w:tc>
        <w:tc>
          <w:tcPr>
            <w:tcW w:w="5451" w:type="dxa"/>
            <w:shd w:val="clear" w:color="auto" w:fill="auto"/>
          </w:tcPr>
          <w:p w14:paraId="2D30A365" w14:textId="77777777" w:rsidR="00794AFD" w:rsidRPr="001C5950" w:rsidRDefault="00794AFD" w:rsidP="00794AFD">
            <w:pPr>
              <w:rPr>
                <w:rFonts w:asciiTheme="minorHAnsi" w:hAnsiTheme="minorHAnsi" w:cs="Times New Roman"/>
                <w:b/>
                <w:sz w:val="20"/>
                <w:szCs w:val="20"/>
                <w:lang w:val="en-IE"/>
              </w:rPr>
            </w:pPr>
            <w:r w:rsidRPr="001C5950">
              <w:rPr>
                <w:rFonts w:asciiTheme="minorHAnsi" w:hAnsiTheme="minorHAnsi" w:cs="Times New Roman"/>
                <w:b/>
                <w:sz w:val="20"/>
                <w:szCs w:val="20"/>
                <w:lang w:val="en-IE"/>
              </w:rPr>
              <w:t>Jonathan Hill</w:t>
            </w:r>
          </w:p>
          <w:p w14:paraId="3DF916AF" w14:textId="77777777" w:rsidR="00794AFD" w:rsidRPr="001C5950" w:rsidRDefault="00794AFD" w:rsidP="00794AFD">
            <w:pPr>
              <w:rPr>
                <w:rFonts w:asciiTheme="minorHAnsi" w:hAnsiTheme="minorHAnsi" w:cs="Times New Roman"/>
                <w:i/>
                <w:sz w:val="20"/>
                <w:szCs w:val="20"/>
              </w:rPr>
            </w:pPr>
            <w:r w:rsidRPr="001C5950">
              <w:rPr>
                <w:rFonts w:asciiTheme="minorHAnsi" w:hAnsiTheme="minorHAnsi" w:cs="Times New Roman"/>
                <w:i/>
                <w:sz w:val="20"/>
                <w:szCs w:val="20"/>
                <w:lang w:val="en-IE"/>
              </w:rPr>
              <w:t>Chief Financial Officer</w:t>
            </w:r>
          </w:p>
        </w:tc>
      </w:tr>
    </w:tbl>
    <w:p w14:paraId="3C1C2AC0" w14:textId="77777777" w:rsidR="00794AFD" w:rsidRPr="003A5032" w:rsidRDefault="00794AFD" w:rsidP="00794AFD">
      <w:pPr>
        <w:rPr>
          <w:rFonts w:asciiTheme="minorHAnsi" w:hAnsiTheme="minorHAnsi" w:cs="Times New Roman"/>
          <w:b/>
          <w:sz w:val="20"/>
          <w:szCs w:val="20"/>
        </w:rPr>
      </w:pPr>
      <w:r w:rsidRPr="00070ED0">
        <w:rPr>
          <w:rFonts w:asciiTheme="minorHAnsi" w:hAnsiTheme="minorHAnsi" w:cs="Times New Roman"/>
          <w:sz w:val="20"/>
          <w:szCs w:val="20"/>
        </w:rPr>
        <w:t>26 February 20</w:t>
      </w:r>
      <w:bookmarkStart w:id="17" w:name="OLE_LINK63"/>
      <w:bookmarkStart w:id="18" w:name="OLE_LINK64"/>
      <w:bookmarkStart w:id="19" w:name="OLE_LINK67"/>
      <w:bookmarkStart w:id="20" w:name="OLE_LINK79"/>
      <w:bookmarkStart w:id="21" w:name="OLE_LINK61"/>
      <w:bookmarkStart w:id="22" w:name="OLE_LINK62"/>
      <w:r w:rsidRPr="00070ED0">
        <w:rPr>
          <w:rFonts w:asciiTheme="minorHAnsi" w:hAnsiTheme="minorHAnsi" w:cs="Times New Roman"/>
          <w:sz w:val="20"/>
          <w:szCs w:val="20"/>
        </w:rPr>
        <w:t>20</w:t>
      </w:r>
      <w:bookmarkEnd w:id="14"/>
      <w:r w:rsidRPr="00FC3D06">
        <w:rPr>
          <w:rFonts w:asciiTheme="minorHAnsi" w:hAnsiTheme="minorHAnsi" w:cs="Times New Roman"/>
          <w:b/>
          <w:sz w:val="18"/>
          <w:szCs w:val="18"/>
        </w:rPr>
        <w:br w:type="page"/>
      </w:r>
      <w:r>
        <w:rPr>
          <w:rFonts w:asciiTheme="minorHAnsi" w:hAnsiTheme="minorHAnsi" w:cs="Times New Roman"/>
          <w:b/>
          <w:sz w:val="18"/>
          <w:szCs w:val="18"/>
        </w:rPr>
        <w:lastRenderedPageBreak/>
        <w:t xml:space="preserve">CONDENSED </w:t>
      </w:r>
      <w:r w:rsidRPr="003A5032">
        <w:rPr>
          <w:rFonts w:asciiTheme="minorHAnsi" w:hAnsiTheme="minorHAnsi" w:cs="Times New Roman"/>
          <w:b/>
          <w:sz w:val="20"/>
          <w:szCs w:val="20"/>
        </w:rPr>
        <w:t>CONSOLIDATED STATEMENT OF CASH FLOWS</w:t>
      </w:r>
    </w:p>
    <w:p w14:paraId="1FA0DF32" w14:textId="77777777" w:rsidR="00794AFD" w:rsidRPr="00655898" w:rsidRDefault="00794AFD" w:rsidP="00794AFD">
      <w:pPr>
        <w:rPr>
          <w:rFonts w:asciiTheme="minorHAnsi" w:hAnsiTheme="minorHAnsi" w:cs="Times New Roman"/>
          <w:b/>
          <w:sz w:val="20"/>
          <w:szCs w:val="20"/>
        </w:rPr>
      </w:pPr>
      <w:r w:rsidRPr="00655898">
        <w:rPr>
          <w:rFonts w:asciiTheme="minorHAnsi" w:hAnsiTheme="minorHAnsi" w:cs="Times New Roman"/>
          <w:b/>
          <w:sz w:val="20"/>
          <w:szCs w:val="20"/>
        </w:rPr>
        <w:t>Year ended 31 December 2019</w:t>
      </w:r>
    </w:p>
    <w:p w14:paraId="799F33AA" w14:textId="77777777" w:rsidR="00794AFD" w:rsidRPr="00655898" w:rsidRDefault="00794AFD" w:rsidP="00794AFD">
      <w:pPr>
        <w:rPr>
          <w:rFonts w:asciiTheme="minorHAnsi" w:hAnsiTheme="minorHAnsi" w:cs="Times New Roman"/>
          <w:b/>
          <w:sz w:val="12"/>
          <w:szCs w:val="12"/>
        </w:rPr>
      </w:pPr>
    </w:p>
    <w:tbl>
      <w:tblPr>
        <w:tblW w:w="5028" w:type="pct"/>
        <w:tblInd w:w="108" w:type="dxa"/>
        <w:tblLayout w:type="fixed"/>
        <w:tblLook w:val="0000" w:firstRow="0" w:lastRow="0" w:firstColumn="0" w:lastColumn="0" w:noHBand="0" w:noVBand="0"/>
      </w:tblPr>
      <w:tblGrid>
        <w:gridCol w:w="1110"/>
        <w:gridCol w:w="5022"/>
        <w:gridCol w:w="707"/>
        <w:gridCol w:w="1134"/>
        <w:gridCol w:w="1557"/>
      </w:tblGrid>
      <w:tr w:rsidR="00794AFD" w:rsidRPr="00655898" w14:paraId="6F5C9740" w14:textId="77777777" w:rsidTr="00794AFD">
        <w:tc>
          <w:tcPr>
            <w:tcW w:w="3216" w:type="pct"/>
            <w:gridSpan w:val="2"/>
            <w:tcBorders>
              <w:top w:val="single" w:sz="4" w:space="0" w:color="auto"/>
              <w:left w:val="nil"/>
              <w:bottom w:val="single" w:sz="4" w:space="0" w:color="auto"/>
              <w:right w:val="nil"/>
            </w:tcBorders>
          </w:tcPr>
          <w:p w14:paraId="6B8DEAEE" w14:textId="77777777" w:rsidR="00794AFD" w:rsidRPr="00655898" w:rsidRDefault="00794AFD" w:rsidP="00794AFD">
            <w:pPr>
              <w:jc w:val="both"/>
              <w:rPr>
                <w:rFonts w:asciiTheme="minorHAnsi" w:hAnsiTheme="minorHAnsi"/>
                <w:sz w:val="20"/>
              </w:rPr>
            </w:pPr>
          </w:p>
        </w:tc>
        <w:tc>
          <w:tcPr>
            <w:tcW w:w="371" w:type="pct"/>
            <w:tcBorders>
              <w:top w:val="single" w:sz="4" w:space="0" w:color="auto"/>
              <w:left w:val="nil"/>
              <w:bottom w:val="single" w:sz="4" w:space="0" w:color="auto"/>
              <w:right w:val="nil"/>
            </w:tcBorders>
            <w:shd w:val="clear" w:color="auto" w:fill="auto"/>
          </w:tcPr>
          <w:p w14:paraId="3E7A9523" w14:textId="77777777" w:rsidR="00794AFD" w:rsidRPr="00655898" w:rsidRDefault="00794AFD" w:rsidP="00794AFD">
            <w:pPr>
              <w:jc w:val="center"/>
              <w:rPr>
                <w:rFonts w:asciiTheme="minorHAnsi" w:hAnsiTheme="minorHAnsi"/>
                <w:iCs/>
                <w:sz w:val="20"/>
              </w:rPr>
            </w:pPr>
          </w:p>
          <w:p w14:paraId="7FB8301C" w14:textId="77777777" w:rsidR="00794AFD" w:rsidRPr="00655898" w:rsidRDefault="00794AFD" w:rsidP="00794AFD">
            <w:pPr>
              <w:jc w:val="center"/>
              <w:rPr>
                <w:rFonts w:asciiTheme="minorHAnsi" w:hAnsiTheme="minorHAnsi"/>
                <w:iCs/>
                <w:sz w:val="20"/>
              </w:rPr>
            </w:pPr>
            <w:r w:rsidRPr="00655898">
              <w:rPr>
                <w:rFonts w:asciiTheme="minorHAnsi" w:hAnsiTheme="minorHAnsi"/>
                <w:iCs/>
                <w:sz w:val="20"/>
              </w:rPr>
              <w:t>Note</w:t>
            </w:r>
          </w:p>
        </w:tc>
        <w:tc>
          <w:tcPr>
            <w:tcW w:w="595" w:type="pct"/>
            <w:tcBorders>
              <w:top w:val="single" w:sz="4" w:space="0" w:color="auto"/>
              <w:left w:val="nil"/>
              <w:bottom w:val="single" w:sz="4" w:space="0" w:color="auto"/>
              <w:right w:val="nil"/>
            </w:tcBorders>
            <w:shd w:val="clear" w:color="auto" w:fill="auto"/>
          </w:tcPr>
          <w:p w14:paraId="581A9E8D" w14:textId="77777777" w:rsidR="00794AFD" w:rsidRPr="00655898" w:rsidRDefault="00794AFD" w:rsidP="00794AFD">
            <w:pPr>
              <w:jc w:val="right"/>
              <w:rPr>
                <w:rFonts w:asciiTheme="minorHAnsi" w:hAnsiTheme="minorHAnsi"/>
                <w:b/>
                <w:bCs/>
                <w:sz w:val="20"/>
              </w:rPr>
            </w:pPr>
            <w:r w:rsidRPr="00655898">
              <w:rPr>
                <w:rFonts w:asciiTheme="minorHAnsi" w:hAnsiTheme="minorHAnsi"/>
                <w:b/>
                <w:bCs/>
                <w:sz w:val="20"/>
              </w:rPr>
              <w:t>2019</w:t>
            </w:r>
          </w:p>
          <w:p w14:paraId="10417525" w14:textId="77777777" w:rsidR="00794AFD" w:rsidRPr="00655898" w:rsidRDefault="00794AFD" w:rsidP="00794AFD">
            <w:pPr>
              <w:jc w:val="right"/>
              <w:rPr>
                <w:rFonts w:asciiTheme="minorHAnsi" w:hAnsiTheme="minorHAnsi"/>
                <w:bCs/>
                <w:sz w:val="20"/>
              </w:rPr>
            </w:pPr>
            <w:r w:rsidRPr="00655898">
              <w:rPr>
                <w:rFonts w:asciiTheme="minorHAnsi" w:hAnsiTheme="minorHAnsi"/>
                <w:b/>
                <w:bCs/>
                <w:sz w:val="20"/>
              </w:rPr>
              <w:t>£m</w:t>
            </w:r>
          </w:p>
        </w:tc>
        <w:tc>
          <w:tcPr>
            <w:tcW w:w="817" w:type="pct"/>
            <w:tcBorders>
              <w:top w:val="single" w:sz="4" w:space="0" w:color="auto"/>
              <w:left w:val="nil"/>
              <w:bottom w:val="single" w:sz="4" w:space="0" w:color="auto"/>
              <w:right w:val="nil"/>
            </w:tcBorders>
            <w:shd w:val="clear" w:color="auto" w:fill="auto"/>
          </w:tcPr>
          <w:p w14:paraId="3A37D1D3"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2018</w:t>
            </w:r>
          </w:p>
          <w:p w14:paraId="0A796D23" w14:textId="77777777" w:rsidR="00794AFD" w:rsidRPr="00655898" w:rsidRDefault="00794AFD" w:rsidP="00794AFD">
            <w:pPr>
              <w:jc w:val="right"/>
              <w:rPr>
                <w:rFonts w:asciiTheme="minorHAnsi" w:hAnsiTheme="minorHAnsi"/>
                <w:sz w:val="20"/>
              </w:rPr>
            </w:pPr>
            <w:r w:rsidRPr="00655898">
              <w:rPr>
                <w:rFonts w:asciiTheme="minorHAnsi" w:hAnsiTheme="minorHAnsi"/>
                <w:bCs/>
                <w:sz w:val="20"/>
              </w:rPr>
              <w:t>£m</w:t>
            </w:r>
          </w:p>
        </w:tc>
      </w:tr>
      <w:tr w:rsidR="00794AFD" w:rsidRPr="00655898" w14:paraId="042B3183" w14:textId="77777777" w:rsidTr="00794AFD">
        <w:tc>
          <w:tcPr>
            <w:tcW w:w="3216" w:type="pct"/>
            <w:gridSpan w:val="2"/>
            <w:tcBorders>
              <w:top w:val="single" w:sz="4" w:space="0" w:color="auto"/>
              <w:left w:val="nil"/>
              <w:bottom w:val="nil"/>
              <w:right w:val="nil"/>
            </w:tcBorders>
          </w:tcPr>
          <w:p w14:paraId="4E2373A7" w14:textId="77777777" w:rsidR="00794AFD" w:rsidRPr="00655898" w:rsidRDefault="00794AFD" w:rsidP="00794AFD">
            <w:pPr>
              <w:ind w:left="-90"/>
              <w:rPr>
                <w:rFonts w:asciiTheme="minorHAnsi" w:hAnsiTheme="minorHAnsi"/>
                <w:b/>
                <w:bCs/>
                <w:sz w:val="20"/>
              </w:rPr>
            </w:pPr>
            <w:r w:rsidRPr="00655898">
              <w:rPr>
                <w:rFonts w:asciiTheme="minorHAnsi" w:hAnsiTheme="minorHAnsi"/>
                <w:b/>
                <w:bCs/>
                <w:sz w:val="20"/>
              </w:rPr>
              <w:t>Cash flows from operating activities</w:t>
            </w:r>
          </w:p>
        </w:tc>
        <w:tc>
          <w:tcPr>
            <w:tcW w:w="371" w:type="pct"/>
            <w:tcBorders>
              <w:top w:val="single" w:sz="4" w:space="0" w:color="auto"/>
              <w:left w:val="nil"/>
              <w:bottom w:val="nil"/>
              <w:right w:val="nil"/>
            </w:tcBorders>
          </w:tcPr>
          <w:p w14:paraId="41189BD2" w14:textId="77777777" w:rsidR="00794AFD" w:rsidRPr="00655898" w:rsidRDefault="00794AFD" w:rsidP="00794AFD">
            <w:pPr>
              <w:jc w:val="center"/>
              <w:rPr>
                <w:rFonts w:asciiTheme="minorHAnsi" w:hAnsiTheme="minorHAnsi"/>
                <w:iCs/>
                <w:sz w:val="20"/>
              </w:rPr>
            </w:pPr>
          </w:p>
        </w:tc>
        <w:tc>
          <w:tcPr>
            <w:tcW w:w="595" w:type="pct"/>
            <w:tcBorders>
              <w:top w:val="single" w:sz="4" w:space="0" w:color="auto"/>
              <w:left w:val="nil"/>
              <w:bottom w:val="nil"/>
              <w:right w:val="nil"/>
            </w:tcBorders>
          </w:tcPr>
          <w:p w14:paraId="681E8C12" w14:textId="77777777" w:rsidR="00794AFD" w:rsidRPr="00655898" w:rsidRDefault="00794AFD" w:rsidP="00794AFD">
            <w:pPr>
              <w:jc w:val="right"/>
              <w:rPr>
                <w:rFonts w:asciiTheme="minorHAnsi" w:hAnsiTheme="minorHAnsi"/>
                <w:bCs/>
                <w:sz w:val="20"/>
              </w:rPr>
            </w:pPr>
          </w:p>
        </w:tc>
        <w:tc>
          <w:tcPr>
            <w:tcW w:w="817" w:type="pct"/>
            <w:tcBorders>
              <w:top w:val="single" w:sz="4" w:space="0" w:color="auto"/>
              <w:left w:val="nil"/>
              <w:bottom w:val="nil"/>
              <w:right w:val="nil"/>
            </w:tcBorders>
          </w:tcPr>
          <w:p w14:paraId="76F084FF" w14:textId="77777777" w:rsidR="00794AFD" w:rsidRPr="00655898" w:rsidRDefault="00794AFD" w:rsidP="00794AFD">
            <w:pPr>
              <w:jc w:val="right"/>
              <w:rPr>
                <w:rFonts w:asciiTheme="minorHAnsi" w:hAnsiTheme="minorHAnsi"/>
                <w:bCs/>
                <w:sz w:val="20"/>
              </w:rPr>
            </w:pPr>
          </w:p>
        </w:tc>
      </w:tr>
      <w:tr w:rsidR="00794AFD" w:rsidRPr="00655898" w14:paraId="4D7AA497" w14:textId="77777777" w:rsidTr="00794AFD">
        <w:tc>
          <w:tcPr>
            <w:tcW w:w="3216" w:type="pct"/>
            <w:gridSpan w:val="2"/>
            <w:tcBorders>
              <w:top w:val="nil"/>
              <w:left w:val="nil"/>
              <w:right w:val="nil"/>
            </w:tcBorders>
          </w:tcPr>
          <w:p w14:paraId="08172045" w14:textId="77777777" w:rsidR="00794AFD" w:rsidRPr="00655898" w:rsidRDefault="00794AFD" w:rsidP="00794AFD">
            <w:pPr>
              <w:ind w:left="-90"/>
              <w:rPr>
                <w:rFonts w:asciiTheme="minorHAnsi" w:hAnsiTheme="minorHAnsi"/>
                <w:sz w:val="20"/>
              </w:rPr>
            </w:pPr>
            <w:r w:rsidRPr="00655898">
              <w:rPr>
                <w:rFonts w:asciiTheme="minorHAnsi" w:hAnsiTheme="minorHAnsi"/>
                <w:bCs/>
                <w:sz w:val="20"/>
              </w:rPr>
              <w:t xml:space="preserve">Profit for the year </w:t>
            </w:r>
          </w:p>
        </w:tc>
        <w:tc>
          <w:tcPr>
            <w:tcW w:w="371" w:type="pct"/>
            <w:tcBorders>
              <w:top w:val="nil"/>
              <w:left w:val="nil"/>
              <w:right w:val="nil"/>
            </w:tcBorders>
          </w:tcPr>
          <w:p w14:paraId="7A3DBAF3" w14:textId="77777777" w:rsidR="00794AFD" w:rsidRPr="00655898" w:rsidRDefault="00794AFD" w:rsidP="00794AFD">
            <w:pPr>
              <w:jc w:val="center"/>
              <w:rPr>
                <w:rFonts w:asciiTheme="minorHAnsi" w:hAnsiTheme="minorHAnsi"/>
                <w:iCs/>
                <w:sz w:val="20"/>
              </w:rPr>
            </w:pPr>
          </w:p>
        </w:tc>
        <w:tc>
          <w:tcPr>
            <w:tcW w:w="595" w:type="pct"/>
            <w:tcBorders>
              <w:top w:val="nil"/>
              <w:left w:val="nil"/>
              <w:right w:val="nil"/>
            </w:tcBorders>
          </w:tcPr>
          <w:p w14:paraId="2D39EBD9" w14:textId="77777777" w:rsidR="00794AFD" w:rsidRPr="00655898" w:rsidRDefault="00794AFD" w:rsidP="00794AFD">
            <w:pPr>
              <w:jc w:val="right"/>
              <w:rPr>
                <w:rFonts w:asciiTheme="minorHAnsi" w:hAnsiTheme="minorHAnsi"/>
                <w:bCs/>
                <w:sz w:val="20"/>
              </w:rPr>
            </w:pPr>
            <w:r w:rsidRPr="00655898">
              <w:rPr>
                <w:rFonts w:asciiTheme="minorHAnsi" w:hAnsiTheme="minorHAnsi"/>
                <w:b/>
                <w:bCs/>
                <w:sz w:val="20"/>
              </w:rPr>
              <w:t>111.9</w:t>
            </w:r>
          </w:p>
        </w:tc>
        <w:tc>
          <w:tcPr>
            <w:tcW w:w="817" w:type="pct"/>
            <w:tcBorders>
              <w:top w:val="nil"/>
              <w:left w:val="nil"/>
              <w:right w:val="nil"/>
            </w:tcBorders>
          </w:tcPr>
          <w:p w14:paraId="2219A925"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180.7</w:t>
            </w:r>
          </w:p>
        </w:tc>
      </w:tr>
      <w:tr w:rsidR="00794AFD" w:rsidRPr="00655898" w14:paraId="25285760" w14:textId="77777777" w:rsidTr="00794AFD">
        <w:tc>
          <w:tcPr>
            <w:tcW w:w="3216" w:type="pct"/>
            <w:gridSpan w:val="2"/>
            <w:tcBorders>
              <w:left w:val="nil"/>
              <w:bottom w:val="nil"/>
              <w:right w:val="nil"/>
            </w:tcBorders>
          </w:tcPr>
          <w:p w14:paraId="75091EE0" w14:textId="77777777" w:rsidR="00794AFD" w:rsidRPr="00655898" w:rsidRDefault="00794AFD" w:rsidP="00794AFD">
            <w:pPr>
              <w:ind w:left="-90"/>
              <w:rPr>
                <w:rFonts w:asciiTheme="minorHAnsi" w:hAnsiTheme="minorHAnsi"/>
                <w:sz w:val="20"/>
              </w:rPr>
            </w:pPr>
            <w:r w:rsidRPr="00655898">
              <w:rPr>
                <w:rFonts w:asciiTheme="minorHAnsi" w:hAnsiTheme="minorHAnsi"/>
                <w:sz w:val="20"/>
              </w:rPr>
              <w:t>Separately disclosed items</w:t>
            </w:r>
          </w:p>
        </w:tc>
        <w:tc>
          <w:tcPr>
            <w:tcW w:w="371" w:type="pct"/>
            <w:tcBorders>
              <w:left w:val="nil"/>
              <w:bottom w:val="nil"/>
              <w:right w:val="nil"/>
            </w:tcBorders>
          </w:tcPr>
          <w:p w14:paraId="79F27866" w14:textId="77777777" w:rsidR="00794AFD" w:rsidRPr="00655898" w:rsidRDefault="00794AFD" w:rsidP="00794AFD">
            <w:pPr>
              <w:jc w:val="center"/>
              <w:rPr>
                <w:rFonts w:asciiTheme="minorHAnsi" w:hAnsiTheme="minorHAnsi"/>
                <w:iCs/>
                <w:sz w:val="20"/>
              </w:rPr>
            </w:pPr>
            <w:r>
              <w:rPr>
                <w:rFonts w:asciiTheme="minorHAnsi" w:hAnsiTheme="minorHAnsi"/>
                <w:iCs/>
                <w:sz w:val="20"/>
              </w:rPr>
              <w:t>4</w:t>
            </w:r>
          </w:p>
        </w:tc>
        <w:tc>
          <w:tcPr>
            <w:tcW w:w="595" w:type="pct"/>
            <w:tcBorders>
              <w:left w:val="nil"/>
              <w:bottom w:val="nil"/>
              <w:right w:val="nil"/>
            </w:tcBorders>
          </w:tcPr>
          <w:p w14:paraId="6601D92A" w14:textId="77777777" w:rsidR="00794AFD" w:rsidRPr="00655898" w:rsidRDefault="00794AFD" w:rsidP="00794AFD">
            <w:pPr>
              <w:jc w:val="right"/>
              <w:rPr>
                <w:rFonts w:asciiTheme="minorHAnsi" w:hAnsiTheme="minorHAnsi"/>
                <w:b/>
                <w:bCs/>
                <w:sz w:val="20"/>
              </w:rPr>
            </w:pPr>
            <w:r w:rsidRPr="00655898">
              <w:rPr>
                <w:rFonts w:asciiTheme="minorHAnsi" w:hAnsiTheme="minorHAnsi"/>
                <w:b/>
                <w:bCs/>
                <w:sz w:val="20"/>
              </w:rPr>
              <w:t>112.1</w:t>
            </w:r>
          </w:p>
        </w:tc>
        <w:tc>
          <w:tcPr>
            <w:tcW w:w="817" w:type="pct"/>
            <w:tcBorders>
              <w:left w:val="nil"/>
              <w:bottom w:val="nil"/>
              <w:right w:val="nil"/>
            </w:tcBorders>
          </w:tcPr>
          <w:p w14:paraId="6FF500B0"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123.1</w:t>
            </w:r>
          </w:p>
        </w:tc>
      </w:tr>
      <w:tr w:rsidR="00794AFD" w:rsidRPr="00655898" w14:paraId="5D548104" w14:textId="77777777" w:rsidTr="00794AFD">
        <w:tc>
          <w:tcPr>
            <w:tcW w:w="3216" w:type="pct"/>
            <w:gridSpan w:val="2"/>
            <w:tcBorders>
              <w:top w:val="nil"/>
              <w:left w:val="nil"/>
              <w:right w:val="nil"/>
            </w:tcBorders>
          </w:tcPr>
          <w:p w14:paraId="17ACC609" w14:textId="77777777" w:rsidR="00794AFD" w:rsidRPr="00655898" w:rsidRDefault="00794AFD" w:rsidP="00794AFD">
            <w:pPr>
              <w:ind w:left="-90"/>
              <w:rPr>
                <w:rFonts w:asciiTheme="minorHAnsi" w:hAnsiTheme="minorHAnsi"/>
                <w:sz w:val="20"/>
              </w:rPr>
            </w:pPr>
            <w:r w:rsidRPr="00655898">
              <w:rPr>
                <w:rFonts w:asciiTheme="minorHAnsi" w:hAnsiTheme="minorHAnsi"/>
                <w:sz w:val="20"/>
              </w:rPr>
              <w:t>Tax expense before separately disclosed items</w:t>
            </w:r>
          </w:p>
        </w:tc>
        <w:tc>
          <w:tcPr>
            <w:tcW w:w="371" w:type="pct"/>
            <w:tcBorders>
              <w:top w:val="nil"/>
              <w:left w:val="nil"/>
              <w:right w:val="nil"/>
            </w:tcBorders>
          </w:tcPr>
          <w:p w14:paraId="5A35F7AC" w14:textId="77777777" w:rsidR="00794AFD" w:rsidRPr="00655898" w:rsidRDefault="00794AFD" w:rsidP="00794AFD">
            <w:pPr>
              <w:jc w:val="center"/>
              <w:rPr>
                <w:rFonts w:asciiTheme="minorHAnsi" w:hAnsiTheme="minorHAnsi"/>
                <w:iCs/>
                <w:sz w:val="20"/>
              </w:rPr>
            </w:pPr>
          </w:p>
        </w:tc>
        <w:tc>
          <w:tcPr>
            <w:tcW w:w="595" w:type="pct"/>
            <w:tcBorders>
              <w:top w:val="nil"/>
              <w:left w:val="nil"/>
              <w:right w:val="nil"/>
            </w:tcBorders>
            <w:shd w:val="clear" w:color="auto" w:fill="auto"/>
          </w:tcPr>
          <w:p w14:paraId="636B685C" w14:textId="77777777" w:rsidR="00794AFD" w:rsidRPr="00655898" w:rsidRDefault="00794AFD" w:rsidP="00794AFD">
            <w:pPr>
              <w:jc w:val="right"/>
              <w:rPr>
                <w:rFonts w:asciiTheme="minorHAnsi" w:hAnsiTheme="minorHAnsi"/>
                <w:bCs/>
                <w:sz w:val="20"/>
              </w:rPr>
            </w:pPr>
            <w:r w:rsidRPr="00655898">
              <w:rPr>
                <w:rFonts w:asciiTheme="minorHAnsi" w:hAnsiTheme="minorHAnsi"/>
                <w:b/>
                <w:bCs/>
                <w:sz w:val="20"/>
              </w:rPr>
              <w:t>42.4</w:t>
            </w:r>
          </w:p>
        </w:tc>
        <w:tc>
          <w:tcPr>
            <w:tcW w:w="817" w:type="pct"/>
            <w:tcBorders>
              <w:top w:val="nil"/>
              <w:left w:val="nil"/>
              <w:right w:val="nil"/>
            </w:tcBorders>
            <w:shd w:val="clear" w:color="auto" w:fill="auto"/>
          </w:tcPr>
          <w:p w14:paraId="2A8F7A53"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53.1</w:t>
            </w:r>
          </w:p>
        </w:tc>
      </w:tr>
      <w:tr w:rsidR="00794AFD" w:rsidRPr="00655898" w14:paraId="1C14D0D6" w14:textId="77777777" w:rsidTr="00794AFD">
        <w:tc>
          <w:tcPr>
            <w:tcW w:w="3216" w:type="pct"/>
            <w:gridSpan w:val="2"/>
            <w:tcBorders>
              <w:left w:val="nil"/>
              <w:bottom w:val="nil"/>
              <w:right w:val="nil"/>
            </w:tcBorders>
          </w:tcPr>
          <w:p w14:paraId="0DE65F82" w14:textId="77777777" w:rsidR="00794AFD" w:rsidRPr="00655898" w:rsidRDefault="00794AFD" w:rsidP="00794AFD">
            <w:pPr>
              <w:ind w:left="-90"/>
              <w:rPr>
                <w:rFonts w:asciiTheme="minorHAnsi" w:hAnsiTheme="minorHAnsi"/>
                <w:sz w:val="20"/>
              </w:rPr>
            </w:pPr>
            <w:r w:rsidRPr="00655898">
              <w:rPr>
                <w:rFonts w:asciiTheme="minorHAnsi" w:hAnsiTheme="minorHAnsi"/>
                <w:sz w:val="20"/>
              </w:rPr>
              <w:t>Financial income</w:t>
            </w:r>
          </w:p>
        </w:tc>
        <w:tc>
          <w:tcPr>
            <w:tcW w:w="371" w:type="pct"/>
            <w:tcBorders>
              <w:left w:val="nil"/>
              <w:bottom w:val="nil"/>
              <w:right w:val="nil"/>
            </w:tcBorders>
          </w:tcPr>
          <w:p w14:paraId="59EAA4AA" w14:textId="77777777" w:rsidR="00794AFD" w:rsidRPr="00655898" w:rsidRDefault="00794AFD" w:rsidP="00794AFD">
            <w:pPr>
              <w:jc w:val="center"/>
              <w:rPr>
                <w:rFonts w:asciiTheme="minorHAnsi" w:hAnsiTheme="minorHAnsi"/>
                <w:iCs/>
                <w:sz w:val="20"/>
              </w:rPr>
            </w:pPr>
          </w:p>
        </w:tc>
        <w:tc>
          <w:tcPr>
            <w:tcW w:w="595" w:type="pct"/>
            <w:tcBorders>
              <w:left w:val="nil"/>
              <w:bottom w:val="nil"/>
              <w:right w:val="nil"/>
            </w:tcBorders>
            <w:shd w:val="clear" w:color="auto" w:fill="auto"/>
          </w:tcPr>
          <w:p w14:paraId="19BBEE91" w14:textId="77777777" w:rsidR="00794AFD" w:rsidRPr="00655898" w:rsidRDefault="00794AFD" w:rsidP="00794AFD">
            <w:pPr>
              <w:jc w:val="right"/>
              <w:rPr>
                <w:rFonts w:asciiTheme="minorHAnsi" w:hAnsiTheme="minorHAnsi"/>
                <w:bCs/>
                <w:sz w:val="20"/>
              </w:rPr>
            </w:pPr>
            <w:r w:rsidRPr="00655898">
              <w:rPr>
                <w:rFonts w:asciiTheme="minorHAnsi" w:hAnsiTheme="minorHAnsi"/>
                <w:b/>
                <w:bCs/>
                <w:sz w:val="20"/>
              </w:rPr>
              <w:t>(1.0)</w:t>
            </w:r>
          </w:p>
        </w:tc>
        <w:tc>
          <w:tcPr>
            <w:tcW w:w="817" w:type="pct"/>
            <w:tcBorders>
              <w:left w:val="nil"/>
              <w:bottom w:val="nil"/>
              <w:right w:val="nil"/>
            </w:tcBorders>
            <w:shd w:val="clear" w:color="auto" w:fill="auto"/>
          </w:tcPr>
          <w:p w14:paraId="59BBFE3A"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(3.9)</w:t>
            </w:r>
          </w:p>
        </w:tc>
      </w:tr>
      <w:tr w:rsidR="00794AFD" w:rsidRPr="00655898" w14:paraId="050435CF" w14:textId="77777777" w:rsidTr="00794AFD">
        <w:tc>
          <w:tcPr>
            <w:tcW w:w="3216" w:type="pct"/>
            <w:gridSpan w:val="2"/>
            <w:tcBorders>
              <w:top w:val="nil"/>
              <w:left w:val="nil"/>
              <w:right w:val="nil"/>
            </w:tcBorders>
          </w:tcPr>
          <w:p w14:paraId="659C6C72" w14:textId="77777777" w:rsidR="00794AFD" w:rsidRPr="00655898" w:rsidRDefault="00794AFD" w:rsidP="00794AFD">
            <w:pPr>
              <w:ind w:left="-90"/>
              <w:rPr>
                <w:rFonts w:asciiTheme="minorHAnsi" w:hAnsiTheme="minorHAnsi"/>
                <w:sz w:val="20"/>
              </w:rPr>
            </w:pPr>
            <w:r w:rsidRPr="00655898">
              <w:rPr>
                <w:rFonts w:asciiTheme="minorHAnsi" w:hAnsiTheme="minorHAnsi"/>
                <w:sz w:val="20"/>
              </w:rPr>
              <w:t>Financial expense</w:t>
            </w:r>
          </w:p>
        </w:tc>
        <w:tc>
          <w:tcPr>
            <w:tcW w:w="371" w:type="pct"/>
            <w:tcBorders>
              <w:top w:val="nil"/>
              <w:left w:val="nil"/>
              <w:right w:val="nil"/>
            </w:tcBorders>
          </w:tcPr>
          <w:p w14:paraId="3CF92EED" w14:textId="77777777" w:rsidR="00794AFD" w:rsidRPr="00655898" w:rsidRDefault="00794AFD" w:rsidP="00794AFD">
            <w:pPr>
              <w:jc w:val="center"/>
              <w:rPr>
                <w:rFonts w:asciiTheme="minorHAnsi" w:hAnsiTheme="minorHAnsi"/>
                <w:iCs/>
                <w:sz w:val="20"/>
              </w:rPr>
            </w:pPr>
          </w:p>
        </w:tc>
        <w:tc>
          <w:tcPr>
            <w:tcW w:w="595" w:type="pct"/>
            <w:tcBorders>
              <w:top w:val="nil"/>
              <w:left w:val="nil"/>
              <w:right w:val="nil"/>
            </w:tcBorders>
            <w:shd w:val="clear" w:color="auto" w:fill="auto"/>
          </w:tcPr>
          <w:p w14:paraId="3E8A07F3" w14:textId="77777777" w:rsidR="00794AFD" w:rsidRPr="00655898" w:rsidRDefault="00794AFD" w:rsidP="00794AFD">
            <w:pPr>
              <w:jc w:val="right"/>
              <w:rPr>
                <w:rFonts w:asciiTheme="minorHAnsi" w:hAnsiTheme="minorHAnsi"/>
                <w:bCs/>
                <w:sz w:val="20"/>
              </w:rPr>
            </w:pPr>
            <w:r w:rsidRPr="00655898">
              <w:rPr>
                <w:rFonts w:asciiTheme="minorHAnsi" w:hAnsiTheme="minorHAnsi"/>
                <w:b/>
                <w:bCs/>
                <w:sz w:val="20"/>
              </w:rPr>
              <w:t>15.2</w:t>
            </w:r>
          </w:p>
        </w:tc>
        <w:tc>
          <w:tcPr>
            <w:tcW w:w="817" w:type="pct"/>
            <w:tcBorders>
              <w:top w:val="nil"/>
              <w:left w:val="nil"/>
              <w:right w:val="nil"/>
            </w:tcBorders>
            <w:shd w:val="clear" w:color="auto" w:fill="auto"/>
          </w:tcPr>
          <w:p w14:paraId="505FC48D"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7.5</w:t>
            </w:r>
          </w:p>
        </w:tc>
      </w:tr>
      <w:tr w:rsidR="00794AFD" w:rsidRPr="00655898" w14:paraId="159ECC66" w14:textId="77777777" w:rsidTr="00794AFD">
        <w:tc>
          <w:tcPr>
            <w:tcW w:w="3216" w:type="pct"/>
            <w:gridSpan w:val="2"/>
            <w:tcBorders>
              <w:top w:val="nil"/>
              <w:left w:val="nil"/>
              <w:right w:val="nil"/>
            </w:tcBorders>
          </w:tcPr>
          <w:p w14:paraId="0D90FED9" w14:textId="77777777" w:rsidR="00794AFD" w:rsidRPr="00655898" w:rsidRDefault="00794AFD" w:rsidP="00794AFD">
            <w:pPr>
              <w:ind w:left="-90"/>
              <w:rPr>
                <w:rFonts w:asciiTheme="minorHAnsi" w:hAnsiTheme="minorHAnsi"/>
                <w:sz w:val="20"/>
              </w:rPr>
            </w:pPr>
            <w:r w:rsidRPr="00655898">
              <w:rPr>
                <w:rFonts w:asciiTheme="minorHAnsi" w:hAnsiTheme="minorHAnsi"/>
                <w:sz w:val="20"/>
              </w:rPr>
              <w:t>Depreciation and amortisation before separately disclosed items</w:t>
            </w:r>
          </w:p>
        </w:tc>
        <w:tc>
          <w:tcPr>
            <w:tcW w:w="371" w:type="pct"/>
            <w:tcBorders>
              <w:top w:val="nil"/>
              <w:left w:val="nil"/>
              <w:right w:val="nil"/>
            </w:tcBorders>
          </w:tcPr>
          <w:p w14:paraId="0E8D8A99" w14:textId="77777777" w:rsidR="00794AFD" w:rsidRPr="00655898" w:rsidRDefault="00794AFD" w:rsidP="00794AFD">
            <w:pPr>
              <w:jc w:val="center"/>
              <w:rPr>
                <w:rFonts w:asciiTheme="minorHAnsi" w:hAnsiTheme="minorHAnsi"/>
                <w:iCs/>
                <w:sz w:val="20"/>
              </w:rPr>
            </w:pPr>
          </w:p>
        </w:tc>
        <w:tc>
          <w:tcPr>
            <w:tcW w:w="595" w:type="pct"/>
            <w:tcBorders>
              <w:top w:val="nil"/>
              <w:left w:val="nil"/>
              <w:right w:val="nil"/>
            </w:tcBorders>
            <w:shd w:val="clear" w:color="auto" w:fill="auto"/>
          </w:tcPr>
          <w:p w14:paraId="670AD929" w14:textId="77777777" w:rsidR="00794AFD" w:rsidRPr="00655898" w:rsidRDefault="00794AFD" w:rsidP="00794AFD">
            <w:pPr>
              <w:jc w:val="right"/>
              <w:rPr>
                <w:rFonts w:asciiTheme="minorHAnsi" w:hAnsiTheme="minorHAnsi"/>
                <w:bCs/>
                <w:sz w:val="20"/>
              </w:rPr>
            </w:pPr>
            <w:r w:rsidRPr="00655898">
              <w:rPr>
                <w:rFonts w:asciiTheme="minorHAnsi" w:hAnsiTheme="minorHAnsi"/>
                <w:b/>
                <w:bCs/>
                <w:sz w:val="20"/>
              </w:rPr>
              <w:t>144.</w:t>
            </w:r>
            <w:r>
              <w:rPr>
                <w:rFonts w:asciiTheme="minorHAnsi" w:hAnsiTheme="minorHAnsi"/>
                <w:b/>
                <w:bCs/>
                <w:sz w:val="20"/>
              </w:rPr>
              <w:t>6</w:t>
            </w:r>
          </w:p>
        </w:tc>
        <w:tc>
          <w:tcPr>
            <w:tcW w:w="817" w:type="pct"/>
            <w:tcBorders>
              <w:top w:val="nil"/>
              <w:left w:val="nil"/>
              <w:right w:val="nil"/>
            </w:tcBorders>
            <w:shd w:val="clear" w:color="auto" w:fill="auto"/>
          </w:tcPr>
          <w:p w14:paraId="2639E1F9"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90.8</w:t>
            </w:r>
          </w:p>
        </w:tc>
      </w:tr>
      <w:tr w:rsidR="00794AFD" w:rsidRPr="00655898" w14:paraId="385E1B3F" w14:textId="77777777" w:rsidTr="00794AFD">
        <w:tc>
          <w:tcPr>
            <w:tcW w:w="3216" w:type="pct"/>
            <w:gridSpan w:val="2"/>
            <w:tcBorders>
              <w:top w:val="nil"/>
              <w:left w:val="nil"/>
              <w:right w:val="nil"/>
            </w:tcBorders>
          </w:tcPr>
          <w:p w14:paraId="08142EB7" w14:textId="77777777" w:rsidR="00794AFD" w:rsidRPr="00655898" w:rsidRDefault="00794AFD" w:rsidP="00794AFD">
            <w:pPr>
              <w:ind w:left="-90"/>
              <w:rPr>
                <w:rFonts w:asciiTheme="minorHAnsi" w:hAnsiTheme="minorHAnsi"/>
                <w:sz w:val="20"/>
              </w:rPr>
            </w:pPr>
            <w:r w:rsidRPr="00655898">
              <w:rPr>
                <w:rFonts w:asciiTheme="minorHAnsi" w:hAnsiTheme="minorHAnsi"/>
                <w:sz w:val="20"/>
              </w:rPr>
              <w:t>Employee equity-settled share-based payments expense before separately disclosed items</w:t>
            </w:r>
          </w:p>
        </w:tc>
        <w:tc>
          <w:tcPr>
            <w:tcW w:w="371" w:type="pct"/>
            <w:tcBorders>
              <w:top w:val="nil"/>
              <w:left w:val="nil"/>
              <w:right w:val="nil"/>
            </w:tcBorders>
          </w:tcPr>
          <w:p w14:paraId="0950C4CD" w14:textId="77777777" w:rsidR="00794AFD" w:rsidRPr="00655898" w:rsidRDefault="00794AFD" w:rsidP="00794AFD">
            <w:pPr>
              <w:jc w:val="center"/>
              <w:rPr>
                <w:rFonts w:asciiTheme="minorHAnsi" w:hAnsiTheme="minorHAnsi"/>
                <w:iCs/>
                <w:sz w:val="20"/>
              </w:rPr>
            </w:pPr>
          </w:p>
        </w:tc>
        <w:tc>
          <w:tcPr>
            <w:tcW w:w="595" w:type="pct"/>
            <w:tcBorders>
              <w:top w:val="nil"/>
              <w:left w:val="nil"/>
              <w:right w:val="nil"/>
            </w:tcBorders>
            <w:shd w:val="clear" w:color="auto" w:fill="auto"/>
          </w:tcPr>
          <w:p w14:paraId="7A9AA74A" w14:textId="77777777" w:rsidR="00794AFD" w:rsidRPr="00655898" w:rsidRDefault="00794AFD" w:rsidP="00794AFD">
            <w:pPr>
              <w:jc w:val="right"/>
              <w:rPr>
                <w:rFonts w:asciiTheme="minorHAnsi" w:hAnsiTheme="minorHAnsi"/>
                <w:b/>
                <w:bCs/>
                <w:sz w:val="20"/>
              </w:rPr>
            </w:pPr>
          </w:p>
          <w:p w14:paraId="1A10B247" w14:textId="77777777" w:rsidR="00794AFD" w:rsidRPr="00655898" w:rsidRDefault="00794AFD" w:rsidP="00794AFD">
            <w:pPr>
              <w:jc w:val="right"/>
              <w:rPr>
                <w:rFonts w:asciiTheme="minorHAnsi" w:hAnsiTheme="minorHAnsi"/>
                <w:bCs/>
                <w:sz w:val="20"/>
              </w:rPr>
            </w:pPr>
            <w:r w:rsidRPr="00655898">
              <w:rPr>
                <w:rFonts w:asciiTheme="minorHAnsi" w:hAnsiTheme="minorHAnsi"/>
                <w:b/>
                <w:bCs/>
                <w:sz w:val="20"/>
              </w:rPr>
              <w:t>17.1</w:t>
            </w:r>
          </w:p>
        </w:tc>
        <w:tc>
          <w:tcPr>
            <w:tcW w:w="817" w:type="pct"/>
            <w:tcBorders>
              <w:top w:val="nil"/>
              <w:left w:val="nil"/>
              <w:right w:val="nil"/>
            </w:tcBorders>
            <w:shd w:val="clear" w:color="auto" w:fill="auto"/>
          </w:tcPr>
          <w:p w14:paraId="0D9412F5" w14:textId="77777777" w:rsidR="00794AFD" w:rsidRPr="00655898" w:rsidRDefault="00794AFD" w:rsidP="00794AFD">
            <w:pPr>
              <w:jc w:val="right"/>
              <w:rPr>
                <w:rFonts w:asciiTheme="minorHAnsi" w:hAnsiTheme="minorHAnsi"/>
                <w:bCs/>
                <w:sz w:val="20"/>
              </w:rPr>
            </w:pPr>
          </w:p>
          <w:p w14:paraId="04A7E739"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18.9</w:t>
            </w:r>
          </w:p>
        </w:tc>
      </w:tr>
      <w:tr w:rsidR="00794AFD" w:rsidRPr="00655898" w14:paraId="056BFCEC" w14:textId="77777777" w:rsidTr="00794AFD">
        <w:tc>
          <w:tcPr>
            <w:tcW w:w="3216" w:type="pct"/>
            <w:gridSpan w:val="2"/>
            <w:tcBorders>
              <w:top w:val="nil"/>
              <w:left w:val="nil"/>
              <w:right w:val="nil"/>
            </w:tcBorders>
          </w:tcPr>
          <w:p w14:paraId="0D4819CE" w14:textId="77777777" w:rsidR="00794AFD" w:rsidRPr="00655898" w:rsidRDefault="00794AFD" w:rsidP="00794AFD">
            <w:pPr>
              <w:ind w:left="-90"/>
              <w:rPr>
                <w:rFonts w:asciiTheme="minorHAnsi" w:hAnsiTheme="minorHAnsi"/>
                <w:sz w:val="20"/>
              </w:rPr>
            </w:pPr>
            <w:r w:rsidRPr="00655898">
              <w:rPr>
                <w:rFonts w:asciiTheme="minorHAnsi" w:hAnsiTheme="minorHAnsi"/>
                <w:sz w:val="20"/>
              </w:rPr>
              <w:t>Foreign currency exchange loss / (gain)</w:t>
            </w:r>
          </w:p>
        </w:tc>
        <w:tc>
          <w:tcPr>
            <w:tcW w:w="371" w:type="pct"/>
            <w:tcBorders>
              <w:top w:val="nil"/>
              <w:left w:val="nil"/>
              <w:right w:val="nil"/>
            </w:tcBorders>
          </w:tcPr>
          <w:p w14:paraId="2212A61D" w14:textId="77777777" w:rsidR="00794AFD" w:rsidRPr="00655898" w:rsidRDefault="00794AFD" w:rsidP="00794AFD">
            <w:pPr>
              <w:jc w:val="center"/>
              <w:rPr>
                <w:rFonts w:asciiTheme="minorHAnsi" w:hAnsiTheme="minorHAnsi"/>
                <w:iCs/>
                <w:sz w:val="20"/>
              </w:rPr>
            </w:pPr>
          </w:p>
        </w:tc>
        <w:tc>
          <w:tcPr>
            <w:tcW w:w="595" w:type="pct"/>
            <w:tcBorders>
              <w:top w:val="nil"/>
              <w:left w:val="nil"/>
              <w:right w:val="nil"/>
            </w:tcBorders>
            <w:shd w:val="clear" w:color="auto" w:fill="auto"/>
          </w:tcPr>
          <w:p w14:paraId="407B7BCE" w14:textId="77777777" w:rsidR="00794AFD" w:rsidRPr="00655898" w:rsidRDefault="00794AFD" w:rsidP="00794AFD">
            <w:pPr>
              <w:jc w:val="right"/>
              <w:rPr>
                <w:rFonts w:asciiTheme="minorHAnsi" w:hAnsiTheme="minorHAnsi"/>
                <w:bCs/>
                <w:sz w:val="20"/>
              </w:rPr>
            </w:pPr>
            <w:r w:rsidRPr="00655898">
              <w:rPr>
                <w:rFonts w:asciiTheme="minorHAnsi" w:hAnsiTheme="minorHAnsi"/>
                <w:b/>
                <w:bCs/>
                <w:sz w:val="20"/>
              </w:rPr>
              <w:t>1.5</w:t>
            </w:r>
          </w:p>
        </w:tc>
        <w:tc>
          <w:tcPr>
            <w:tcW w:w="817" w:type="pct"/>
            <w:tcBorders>
              <w:top w:val="nil"/>
              <w:left w:val="nil"/>
              <w:right w:val="nil"/>
            </w:tcBorders>
            <w:shd w:val="clear" w:color="auto" w:fill="auto"/>
          </w:tcPr>
          <w:p w14:paraId="5C495C6F"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(2.0)</w:t>
            </w:r>
          </w:p>
        </w:tc>
      </w:tr>
      <w:tr w:rsidR="00794AFD" w:rsidRPr="00655898" w14:paraId="1F654AB4" w14:textId="77777777" w:rsidTr="00794AFD">
        <w:tc>
          <w:tcPr>
            <w:tcW w:w="3216" w:type="pct"/>
            <w:gridSpan w:val="2"/>
            <w:tcBorders>
              <w:left w:val="nil"/>
              <w:right w:val="nil"/>
            </w:tcBorders>
          </w:tcPr>
          <w:p w14:paraId="1AD2A11C" w14:textId="77777777" w:rsidR="00794AFD" w:rsidRPr="00655898" w:rsidRDefault="00794AFD" w:rsidP="00794AFD">
            <w:pPr>
              <w:ind w:left="-90"/>
              <w:rPr>
                <w:rFonts w:asciiTheme="minorHAnsi" w:hAnsiTheme="minorHAnsi"/>
                <w:sz w:val="20"/>
              </w:rPr>
            </w:pPr>
            <w:r w:rsidRPr="00655898">
              <w:rPr>
                <w:rFonts w:asciiTheme="minorHAnsi" w:hAnsiTheme="minorHAnsi"/>
                <w:sz w:val="20"/>
              </w:rPr>
              <w:t>Loss / (profit) on disposal of property, plant and equipment and intangible assets</w:t>
            </w:r>
          </w:p>
        </w:tc>
        <w:tc>
          <w:tcPr>
            <w:tcW w:w="371" w:type="pct"/>
            <w:tcBorders>
              <w:left w:val="nil"/>
              <w:right w:val="nil"/>
            </w:tcBorders>
          </w:tcPr>
          <w:p w14:paraId="1D7B6B91" w14:textId="77777777" w:rsidR="00794AFD" w:rsidRPr="00655898" w:rsidRDefault="00794AFD" w:rsidP="00794AFD">
            <w:pPr>
              <w:jc w:val="center"/>
              <w:rPr>
                <w:rFonts w:asciiTheme="minorHAnsi" w:hAnsiTheme="minorHAnsi"/>
                <w:iCs/>
                <w:sz w:val="20"/>
              </w:rPr>
            </w:pPr>
          </w:p>
        </w:tc>
        <w:tc>
          <w:tcPr>
            <w:tcW w:w="595" w:type="pct"/>
            <w:tcBorders>
              <w:left w:val="nil"/>
              <w:right w:val="nil"/>
            </w:tcBorders>
            <w:shd w:val="clear" w:color="auto" w:fill="auto"/>
          </w:tcPr>
          <w:p w14:paraId="22DA5C97" w14:textId="77777777" w:rsidR="00794AFD" w:rsidRPr="000944E4" w:rsidRDefault="00794AFD" w:rsidP="00794AFD">
            <w:pPr>
              <w:jc w:val="right"/>
              <w:rPr>
                <w:rFonts w:asciiTheme="minorHAnsi" w:hAnsiTheme="minorHAnsi"/>
                <w:b/>
                <w:bCs/>
                <w:sz w:val="20"/>
              </w:rPr>
            </w:pPr>
          </w:p>
          <w:p w14:paraId="2E1EC833" w14:textId="77777777" w:rsidR="00794AFD" w:rsidRPr="000944E4" w:rsidRDefault="00794AFD" w:rsidP="00794AFD">
            <w:pPr>
              <w:jc w:val="right"/>
              <w:rPr>
                <w:rFonts w:asciiTheme="minorHAnsi" w:hAnsiTheme="minorHAnsi"/>
                <w:bCs/>
                <w:sz w:val="20"/>
              </w:rPr>
            </w:pPr>
            <w:r w:rsidRPr="003A5032">
              <w:rPr>
                <w:rFonts w:asciiTheme="minorHAnsi" w:hAnsiTheme="minorHAnsi"/>
                <w:b/>
                <w:bCs/>
                <w:sz w:val="20"/>
              </w:rPr>
              <w:t>0.2</w:t>
            </w:r>
          </w:p>
        </w:tc>
        <w:tc>
          <w:tcPr>
            <w:tcW w:w="817" w:type="pct"/>
            <w:tcBorders>
              <w:left w:val="nil"/>
              <w:right w:val="nil"/>
            </w:tcBorders>
            <w:shd w:val="clear" w:color="auto" w:fill="auto"/>
          </w:tcPr>
          <w:p w14:paraId="6DF320F8" w14:textId="77777777" w:rsidR="00794AFD" w:rsidRPr="003A5032" w:rsidRDefault="00794AFD" w:rsidP="00794AFD">
            <w:pPr>
              <w:jc w:val="right"/>
              <w:rPr>
                <w:rFonts w:asciiTheme="minorHAnsi" w:hAnsiTheme="minorHAnsi"/>
                <w:bCs/>
                <w:sz w:val="20"/>
              </w:rPr>
            </w:pPr>
          </w:p>
          <w:p w14:paraId="2344BF22"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(0.3)</w:t>
            </w:r>
          </w:p>
        </w:tc>
      </w:tr>
      <w:tr w:rsidR="00794AFD" w:rsidRPr="00655898" w14:paraId="191D4F79" w14:textId="77777777" w:rsidTr="00794AFD">
        <w:tc>
          <w:tcPr>
            <w:tcW w:w="3216" w:type="pct"/>
            <w:gridSpan w:val="2"/>
            <w:tcBorders>
              <w:top w:val="single" w:sz="4" w:space="0" w:color="auto"/>
              <w:left w:val="nil"/>
              <w:bottom w:val="nil"/>
              <w:right w:val="nil"/>
            </w:tcBorders>
          </w:tcPr>
          <w:p w14:paraId="0BEF9C95" w14:textId="77777777" w:rsidR="00794AFD" w:rsidRPr="00655898" w:rsidRDefault="00794AFD" w:rsidP="00794AFD">
            <w:pPr>
              <w:ind w:left="-90"/>
              <w:rPr>
                <w:rFonts w:asciiTheme="minorHAnsi" w:hAnsiTheme="minorHAnsi"/>
                <w:b/>
                <w:bCs/>
                <w:sz w:val="20"/>
              </w:rPr>
            </w:pPr>
            <w:r w:rsidRPr="00655898">
              <w:rPr>
                <w:rFonts w:asciiTheme="minorHAnsi" w:hAnsiTheme="minorHAnsi"/>
                <w:b/>
                <w:bCs/>
                <w:sz w:val="20"/>
              </w:rPr>
              <w:t>Cash from operations before changes in working capital</w:t>
            </w:r>
          </w:p>
        </w:tc>
        <w:tc>
          <w:tcPr>
            <w:tcW w:w="371" w:type="pct"/>
            <w:tcBorders>
              <w:top w:val="single" w:sz="4" w:space="0" w:color="auto"/>
              <w:left w:val="nil"/>
              <w:bottom w:val="nil"/>
              <w:right w:val="nil"/>
            </w:tcBorders>
          </w:tcPr>
          <w:p w14:paraId="0256B4A8" w14:textId="77777777" w:rsidR="00794AFD" w:rsidRPr="00655898" w:rsidRDefault="00794AFD" w:rsidP="00794AFD">
            <w:pPr>
              <w:jc w:val="center"/>
              <w:rPr>
                <w:rFonts w:asciiTheme="minorHAnsi" w:hAnsiTheme="minorHAnsi"/>
                <w:iCs/>
                <w:sz w:val="20"/>
              </w:rPr>
            </w:pPr>
          </w:p>
        </w:tc>
        <w:tc>
          <w:tcPr>
            <w:tcW w:w="595" w:type="pct"/>
            <w:tcBorders>
              <w:top w:val="single" w:sz="4" w:space="0" w:color="auto"/>
              <w:left w:val="nil"/>
              <w:bottom w:val="nil"/>
              <w:right w:val="nil"/>
            </w:tcBorders>
          </w:tcPr>
          <w:p w14:paraId="535D512B" w14:textId="77777777" w:rsidR="00794AFD" w:rsidRPr="000944E4" w:rsidRDefault="00794AFD" w:rsidP="00794AFD">
            <w:pPr>
              <w:jc w:val="right"/>
              <w:rPr>
                <w:rFonts w:asciiTheme="minorHAnsi" w:hAnsiTheme="minorHAnsi"/>
                <w:bCs/>
                <w:sz w:val="20"/>
              </w:rPr>
            </w:pPr>
            <w:r w:rsidRPr="000944E4">
              <w:rPr>
                <w:rFonts w:asciiTheme="minorHAnsi" w:hAnsiTheme="minorHAnsi"/>
                <w:b/>
                <w:bCs/>
                <w:sz w:val="20"/>
              </w:rPr>
              <w:t>444.</w:t>
            </w:r>
            <w:r>
              <w:rPr>
                <w:rFonts w:asciiTheme="minorHAnsi" w:hAnsiTheme="minorHAnsi"/>
                <w:b/>
                <w:bCs/>
                <w:sz w:val="20"/>
              </w:rPr>
              <w:t>0</w:t>
            </w:r>
          </w:p>
        </w:tc>
        <w:tc>
          <w:tcPr>
            <w:tcW w:w="817" w:type="pct"/>
            <w:tcBorders>
              <w:top w:val="single" w:sz="4" w:space="0" w:color="auto"/>
              <w:left w:val="nil"/>
              <w:bottom w:val="nil"/>
              <w:right w:val="nil"/>
            </w:tcBorders>
          </w:tcPr>
          <w:p w14:paraId="3DFFCB0C"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467.9</w:t>
            </w:r>
          </w:p>
        </w:tc>
      </w:tr>
      <w:tr w:rsidR="00794AFD" w:rsidRPr="00655898" w14:paraId="6BB64E59" w14:textId="77777777" w:rsidTr="00794AFD">
        <w:tc>
          <w:tcPr>
            <w:tcW w:w="3216" w:type="pct"/>
            <w:gridSpan w:val="2"/>
            <w:tcBorders>
              <w:top w:val="nil"/>
              <w:left w:val="nil"/>
              <w:right w:val="nil"/>
            </w:tcBorders>
          </w:tcPr>
          <w:p w14:paraId="147E8CB5" w14:textId="77777777" w:rsidR="00794AFD" w:rsidRPr="00655898" w:rsidRDefault="00794AFD" w:rsidP="00794AFD">
            <w:pPr>
              <w:ind w:left="-90"/>
              <w:rPr>
                <w:rFonts w:asciiTheme="minorHAnsi" w:hAnsiTheme="minorHAnsi"/>
                <w:sz w:val="20"/>
              </w:rPr>
            </w:pPr>
            <w:r w:rsidRPr="00655898">
              <w:rPr>
                <w:rFonts w:asciiTheme="minorHAnsi" w:hAnsiTheme="minorHAnsi"/>
                <w:sz w:val="20"/>
              </w:rPr>
              <w:t>Decrease / (increase) in trade and other receivables</w:t>
            </w:r>
          </w:p>
        </w:tc>
        <w:tc>
          <w:tcPr>
            <w:tcW w:w="371" w:type="pct"/>
            <w:tcBorders>
              <w:top w:val="nil"/>
              <w:left w:val="nil"/>
              <w:right w:val="nil"/>
            </w:tcBorders>
          </w:tcPr>
          <w:p w14:paraId="55E8B4A0" w14:textId="77777777" w:rsidR="00794AFD" w:rsidRPr="00655898" w:rsidRDefault="00794AFD" w:rsidP="00794AFD">
            <w:pPr>
              <w:jc w:val="center"/>
              <w:rPr>
                <w:rFonts w:asciiTheme="minorHAnsi" w:hAnsiTheme="minorHAnsi"/>
                <w:iCs/>
                <w:sz w:val="20"/>
              </w:rPr>
            </w:pPr>
          </w:p>
        </w:tc>
        <w:tc>
          <w:tcPr>
            <w:tcW w:w="595" w:type="pct"/>
            <w:tcBorders>
              <w:top w:val="nil"/>
              <w:left w:val="nil"/>
              <w:right w:val="nil"/>
            </w:tcBorders>
          </w:tcPr>
          <w:p w14:paraId="5B6632CB" w14:textId="77777777" w:rsidR="00794AFD" w:rsidRPr="000944E4" w:rsidRDefault="00794AFD" w:rsidP="00794AFD">
            <w:pPr>
              <w:jc w:val="right"/>
              <w:rPr>
                <w:rFonts w:asciiTheme="minorHAnsi" w:hAnsiTheme="minorHAnsi"/>
                <w:bCs/>
                <w:sz w:val="20"/>
              </w:rPr>
            </w:pPr>
            <w:r w:rsidRPr="000944E4">
              <w:rPr>
                <w:rFonts w:asciiTheme="minorHAnsi" w:hAnsiTheme="minorHAnsi"/>
                <w:b/>
                <w:bCs/>
                <w:sz w:val="20"/>
              </w:rPr>
              <w:t>1</w:t>
            </w:r>
            <w:r>
              <w:rPr>
                <w:rFonts w:asciiTheme="minorHAnsi" w:hAnsiTheme="minorHAnsi"/>
                <w:b/>
                <w:bCs/>
                <w:sz w:val="20"/>
              </w:rPr>
              <w:t>3</w:t>
            </w:r>
            <w:r w:rsidRPr="000944E4">
              <w:rPr>
                <w:rFonts w:asciiTheme="minorHAnsi" w:hAnsiTheme="minorHAnsi"/>
                <w:b/>
                <w:bCs/>
                <w:sz w:val="20"/>
              </w:rPr>
              <w:t>.1</w:t>
            </w:r>
          </w:p>
        </w:tc>
        <w:tc>
          <w:tcPr>
            <w:tcW w:w="817" w:type="pct"/>
            <w:tcBorders>
              <w:top w:val="nil"/>
              <w:left w:val="nil"/>
              <w:right w:val="nil"/>
            </w:tcBorders>
          </w:tcPr>
          <w:p w14:paraId="7AB77953"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(30.2)</w:t>
            </w:r>
          </w:p>
        </w:tc>
      </w:tr>
      <w:tr w:rsidR="00794AFD" w:rsidRPr="00655898" w14:paraId="372AB22D" w14:textId="77777777" w:rsidTr="00794AFD">
        <w:tc>
          <w:tcPr>
            <w:tcW w:w="3216" w:type="pct"/>
            <w:gridSpan w:val="2"/>
            <w:tcBorders>
              <w:left w:val="nil"/>
              <w:bottom w:val="single" w:sz="4" w:space="0" w:color="auto"/>
              <w:right w:val="nil"/>
            </w:tcBorders>
          </w:tcPr>
          <w:p w14:paraId="4BE8AD6F" w14:textId="77777777" w:rsidR="00794AFD" w:rsidRPr="00655898" w:rsidRDefault="00794AFD" w:rsidP="00794AFD">
            <w:pPr>
              <w:ind w:left="-90"/>
              <w:rPr>
                <w:rFonts w:asciiTheme="minorHAnsi" w:hAnsiTheme="minorHAnsi"/>
                <w:sz w:val="20"/>
              </w:rPr>
            </w:pPr>
            <w:r w:rsidRPr="00655898">
              <w:rPr>
                <w:rFonts w:asciiTheme="minorHAnsi" w:hAnsiTheme="minorHAnsi"/>
                <w:sz w:val="20"/>
              </w:rPr>
              <w:t>Increase / (decrease) in trade, other payables and provisions</w:t>
            </w:r>
          </w:p>
        </w:tc>
        <w:tc>
          <w:tcPr>
            <w:tcW w:w="371" w:type="pct"/>
            <w:tcBorders>
              <w:left w:val="nil"/>
              <w:bottom w:val="single" w:sz="4" w:space="0" w:color="auto"/>
              <w:right w:val="nil"/>
            </w:tcBorders>
          </w:tcPr>
          <w:p w14:paraId="385253F7" w14:textId="77777777" w:rsidR="00794AFD" w:rsidRPr="00655898" w:rsidRDefault="00794AFD" w:rsidP="00794AFD">
            <w:pPr>
              <w:jc w:val="center"/>
              <w:rPr>
                <w:rFonts w:asciiTheme="minorHAnsi" w:hAnsiTheme="minorHAnsi"/>
                <w:iCs/>
                <w:sz w:val="20"/>
              </w:rPr>
            </w:pPr>
          </w:p>
        </w:tc>
        <w:tc>
          <w:tcPr>
            <w:tcW w:w="595" w:type="pct"/>
            <w:tcBorders>
              <w:left w:val="nil"/>
              <w:bottom w:val="single" w:sz="4" w:space="0" w:color="auto"/>
              <w:right w:val="nil"/>
            </w:tcBorders>
          </w:tcPr>
          <w:p w14:paraId="496C0000" w14:textId="77777777" w:rsidR="00794AFD" w:rsidRPr="000944E4" w:rsidRDefault="00794AFD" w:rsidP="00794AFD">
            <w:pPr>
              <w:jc w:val="right"/>
              <w:rPr>
                <w:rFonts w:asciiTheme="minorHAnsi" w:hAnsiTheme="minorHAnsi"/>
                <w:bCs/>
                <w:sz w:val="20"/>
              </w:rPr>
            </w:pPr>
            <w:r w:rsidRPr="000944E4">
              <w:rPr>
                <w:rFonts w:asciiTheme="minorHAnsi" w:hAnsiTheme="minorHAnsi"/>
                <w:b/>
                <w:bCs/>
                <w:sz w:val="20"/>
              </w:rPr>
              <w:t>5</w:t>
            </w:r>
            <w:r>
              <w:rPr>
                <w:rFonts w:asciiTheme="minorHAnsi" w:hAnsiTheme="minorHAnsi"/>
                <w:b/>
                <w:bCs/>
                <w:sz w:val="20"/>
              </w:rPr>
              <w:t>6</w:t>
            </w:r>
            <w:r w:rsidRPr="000944E4">
              <w:rPr>
                <w:rFonts w:asciiTheme="minorHAnsi" w:hAnsiTheme="minorHAnsi"/>
                <w:b/>
                <w:bCs/>
                <w:sz w:val="20"/>
              </w:rPr>
              <w:t>.</w:t>
            </w:r>
            <w:r>
              <w:rPr>
                <w:rFonts w:asciiTheme="minorHAnsi" w:hAnsiTheme="minorHAnsi"/>
                <w:b/>
                <w:bCs/>
                <w:sz w:val="20"/>
              </w:rPr>
              <w:t>1</w:t>
            </w:r>
          </w:p>
        </w:tc>
        <w:tc>
          <w:tcPr>
            <w:tcW w:w="817" w:type="pct"/>
            <w:tcBorders>
              <w:left w:val="nil"/>
              <w:bottom w:val="single" w:sz="4" w:space="0" w:color="auto"/>
              <w:right w:val="nil"/>
            </w:tcBorders>
          </w:tcPr>
          <w:p w14:paraId="4F48CE99"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(24.5)</w:t>
            </w:r>
          </w:p>
        </w:tc>
      </w:tr>
      <w:tr w:rsidR="00794AFD" w:rsidRPr="00655898" w14:paraId="5A091AB9" w14:textId="77777777" w:rsidTr="00794AFD">
        <w:tc>
          <w:tcPr>
            <w:tcW w:w="3216" w:type="pct"/>
            <w:gridSpan w:val="2"/>
            <w:tcBorders>
              <w:top w:val="single" w:sz="4" w:space="0" w:color="auto"/>
              <w:left w:val="nil"/>
              <w:right w:val="nil"/>
            </w:tcBorders>
          </w:tcPr>
          <w:p w14:paraId="7C024614" w14:textId="77777777" w:rsidR="00794AFD" w:rsidRPr="00655898" w:rsidRDefault="00794AFD" w:rsidP="00794AFD">
            <w:pPr>
              <w:ind w:left="-90"/>
              <w:rPr>
                <w:rFonts w:asciiTheme="minorHAnsi" w:hAnsiTheme="minorHAnsi"/>
                <w:b/>
                <w:bCs/>
                <w:sz w:val="20"/>
              </w:rPr>
            </w:pPr>
            <w:r w:rsidRPr="00655898">
              <w:rPr>
                <w:rFonts w:asciiTheme="minorHAnsi" w:hAnsiTheme="minorHAnsi"/>
                <w:b/>
                <w:bCs/>
                <w:sz w:val="20"/>
              </w:rPr>
              <w:t>Cash generated from operations</w:t>
            </w:r>
          </w:p>
        </w:tc>
        <w:tc>
          <w:tcPr>
            <w:tcW w:w="371" w:type="pct"/>
            <w:tcBorders>
              <w:top w:val="single" w:sz="4" w:space="0" w:color="auto"/>
              <w:left w:val="nil"/>
              <w:right w:val="nil"/>
            </w:tcBorders>
          </w:tcPr>
          <w:p w14:paraId="7E477662" w14:textId="77777777" w:rsidR="00794AFD" w:rsidRPr="00655898" w:rsidRDefault="00794AFD" w:rsidP="00794AFD">
            <w:pPr>
              <w:jc w:val="center"/>
              <w:rPr>
                <w:rFonts w:asciiTheme="minorHAnsi" w:hAnsiTheme="minorHAnsi"/>
                <w:iCs/>
                <w:sz w:val="20"/>
              </w:rPr>
            </w:pPr>
          </w:p>
        </w:tc>
        <w:tc>
          <w:tcPr>
            <w:tcW w:w="595" w:type="pct"/>
            <w:tcBorders>
              <w:top w:val="single" w:sz="4" w:space="0" w:color="auto"/>
              <w:left w:val="nil"/>
              <w:right w:val="nil"/>
            </w:tcBorders>
          </w:tcPr>
          <w:p w14:paraId="16957707" w14:textId="77777777" w:rsidR="00794AFD" w:rsidRPr="000944E4" w:rsidRDefault="00794AFD" w:rsidP="00794AFD">
            <w:pPr>
              <w:jc w:val="right"/>
              <w:rPr>
                <w:rFonts w:asciiTheme="minorHAnsi" w:hAnsiTheme="minorHAnsi"/>
                <w:b/>
                <w:bCs/>
                <w:sz w:val="20"/>
              </w:rPr>
            </w:pPr>
            <w:r w:rsidRPr="000944E4">
              <w:rPr>
                <w:rFonts w:asciiTheme="minorHAnsi" w:hAnsiTheme="minorHAnsi"/>
                <w:b/>
                <w:bCs/>
                <w:sz w:val="20"/>
              </w:rPr>
              <w:t>51</w:t>
            </w:r>
            <w:r>
              <w:rPr>
                <w:rFonts w:asciiTheme="minorHAnsi" w:hAnsiTheme="minorHAnsi"/>
                <w:b/>
                <w:bCs/>
                <w:sz w:val="20"/>
              </w:rPr>
              <w:t>3</w:t>
            </w:r>
            <w:r w:rsidRPr="000944E4">
              <w:rPr>
                <w:rFonts w:asciiTheme="minorHAnsi" w:hAnsiTheme="minorHAnsi"/>
                <w:b/>
                <w:bCs/>
                <w:sz w:val="20"/>
              </w:rPr>
              <w:t>.</w:t>
            </w:r>
            <w:r>
              <w:rPr>
                <w:rFonts w:asciiTheme="minorHAnsi" w:hAnsiTheme="minorHAnsi"/>
                <w:b/>
                <w:bCs/>
                <w:sz w:val="20"/>
              </w:rPr>
              <w:t>2</w:t>
            </w:r>
          </w:p>
        </w:tc>
        <w:tc>
          <w:tcPr>
            <w:tcW w:w="817" w:type="pct"/>
            <w:tcBorders>
              <w:top w:val="single" w:sz="4" w:space="0" w:color="auto"/>
              <w:left w:val="nil"/>
              <w:right w:val="nil"/>
            </w:tcBorders>
          </w:tcPr>
          <w:p w14:paraId="7F0410E5"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413.2</w:t>
            </w:r>
          </w:p>
        </w:tc>
      </w:tr>
      <w:tr w:rsidR="00794AFD" w:rsidRPr="00655898" w14:paraId="25B07793" w14:textId="77777777" w:rsidTr="00794AFD">
        <w:tc>
          <w:tcPr>
            <w:tcW w:w="3216" w:type="pct"/>
            <w:gridSpan w:val="2"/>
            <w:tcBorders>
              <w:top w:val="nil"/>
              <w:left w:val="nil"/>
              <w:bottom w:val="single" w:sz="4" w:space="0" w:color="auto"/>
              <w:right w:val="nil"/>
            </w:tcBorders>
          </w:tcPr>
          <w:p w14:paraId="2A531D06" w14:textId="77777777" w:rsidR="00794AFD" w:rsidRPr="00655898" w:rsidRDefault="00794AFD" w:rsidP="00794AFD">
            <w:pPr>
              <w:ind w:left="-90"/>
              <w:rPr>
                <w:rFonts w:asciiTheme="minorHAnsi" w:hAnsiTheme="minorHAnsi"/>
                <w:sz w:val="20"/>
              </w:rPr>
            </w:pPr>
            <w:r w:rsidRPr="00655898">
              <w:rPr>
                <w:rFonts w:asciiTheme="minorHAnsi" w:hAnsiTheme="minorHAnsi"/>
                <w:sz w:val="20"/>
              </w:rPr>
              <w:t>Tax paid</w:t>
            </w:r>
          </w:p>
        </w:tc>
        <w:tc>
          <w:tcPr>
            <w:tcW w:w="371" w:type="pct"/>
            <w:tcBorders>
              <w:top w:val="nil"/>
              <w:left w:val="nil"/>
              <w:bottom w:val="single" w:sz="4" w:space="0" w:color="auto"/>
              <w:right w:val="nil"/>
            </w:tcBorders>
          </w:tcPr>
          <w:p w14:paraId="518D45A5" w14:textId="77777777" w:rsidR="00794AFD" w:rsidRPr="00655898" w:rsidRDefault="00794AFD" w:rsidP="00794AFD">
            <w:pPr>
              <w:jc w:val="center"/>
              <w:rPr>
                <w:rFonts w:asciiTheme="minorHAnsi" w:hAnsiTheme="minorHAnsi"/>
                <w:iCs/>
                <w:sz w:val="20"/>
              </w:rPr>
            </w:pPr>
          </w:p>
        </w:tc>
        <w:tc>
          <w:tcPr>
            <w:tcW w:w="595" w:type="pct"/>
            <w:tcBorders>
              <w:top w:val="nil"/>
              <w:left w:val="nil"/>
              <w:bottom w:val="single" w:sz="4" w:space="0" w:color="auto"/>
              <w:right w:val="nil"/>
            </w:tcBorders>
          </w:tcPr>
          <w:p w14:paraId="33B5BC4F" w14:textId="77777777" w:rsidR="00794AFD" w:rsidRPr="000944E4" w:rsidRDefault="00794AFD" w:rsidP="00794AFD">
            <w:pPr>
              <w:jc w:val="right"/>
              <w:rPr>
                <w:rFonts w:asciiTheme="minorHAnsi" w:hAnsiTheme="minorHAnsi"/>
                <w:bCs/>
                <w:sz w:val="20"/>
              </w:rPr>
            </w:pPr>
            <w:r w:rsidRPr="000944E4">
              <w:rPr>
                <w:rFonts w:asciiTheme="minorHAnsi" w:hAnsiTheme="minorHAnsi"/>
                <w:b/>
                <w:bCs/>
                <w:sz w:val="20"/>
              </w:rPr>
              <w:t>(41.3)</w:t>
            </w:r>
          </w:p>
        </w:tc>
        <w:tc>
          <w:tcPr>
            <w:tcW w:w="817" w:type="pct"/>
            <w:tcBorders>
              <w:top w:val="nil"/>
              <w:left w:val="nil"/>
              <w:bottom w:val="single" w:sz="4" w:space="0" w:color="auto"/>
              <w:right w:val="nil"/>
            </w:tcBorders>
          </w:tcPr>
          <w:p w14:paraId="5E05F5B8"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(59.9)</w:t>
            </w:r>
          </w:p>
        </w:tc>
      </w:tr>
      <w:tr w:rsidR="00794AFD" w:rsidRPr="00655898" w14:paraId="7C782EFA" w14:textId="77777777" w:rsidTr="00794AFD">
        <w:tc>
          <w:tcPr>
            <w:tcW w:w="3216" w:type="pct"/>
            <w:gridSpan w:val="2"/>
            <w:tcBorders>
              <w:top w:val="single" w:sz="4" w:space="0" w:color="auto"/>
              <w:left w:val="nil"/>
              <w:right w:val="nil"/>
            </w:tcBorders>
          </w:tcPr>
          <w:p w14:paraId="7DE8132C" w14:textId="77777777" w:rsidR="00794AFD" w:rsidRPr="00655898" w:rsidRDefault="00794AFD" w:rsidP="00794AFD">
            <w:pPr>
              <w:ind w:left="-90"/>
              <w:rPr>
                <w:rFonts w:asciiTheme="minorHAnsi" w:hAnsiTheme="minorHAnsi"/>
                <w:b/>
                <w:bCs/>
                <w:sz w:val="20"/>
              </w:rPr>
            </w:pPr>
            <w:r w:rsidRPr="00655898">
              <w:rPr>
                <w:rFonts w:asciiTheme="minorHAnsi" w:hAnsiTheme="minorHAnsi"/>
                <w:b/>
                <w:bCs/>
                <w:sz w:val="20"/>
              </w:rPr>
              <w:t>Net cash from operating activities before transactions fees, restructuring and strategic initiatives costs paid</w:t>
            </w:r>
          </w:p>
        </w:tc>
        <w:tc>
          <w:tcPr>
            <w:tcW w:w="371" w:type="pct"/>
            <w:tcBorders>
              <w:top w:val="single" w:sz="4" w:space="0" w:color="auto"/>
              <w:left w:val="nil"/>
              <w:right w:val="nil"/>
            </w:tcBorders>
          </w:tcPr>
          <w:p w14:paraId="4B3477D8" w14:textId="77777777" w:rsidR="00794AFD" w:rsidRPr="00655898" w:rsidRDefault="00794AFD" w:rsidP="00794AFD">
            <w:pPr>
              <w:jc w:val="center"/>
              <w:rPr>
                <w:rFonts w:asciiTheme="minorHAnsi" w:hAnsiTheme="minorHAnsi"/>
                <w:iCs/>
                <w:sz w:val="20"/>
              </w:rPr>
            </w:pPr>
          </w:p>
        </w:tc>
        <w:tc>
          <w:tcPr>
            <w:tcW w:w="595" w:type="pct"/>
            <w:tcBorders>
              <w:top w:val="single" w:sz="4" w:space="0" w:color="auto"/>
              <w:left w:val="nil"/>
              <w:right w:val="nil"/>
            </w:tcBorders>
          </w:tcPr>
          <w:p w14:paraId="36E672DC" w14:textId="77777777" w:rsidR="00794AFD" w:rsidRPr="000944E4" w:rsidRDefault="00794AFD" w:rsidP="00794AFD">
            <w:pPr>
              <w:jc w:val="right"/>
              <w:rPr>
                <w:rFonts w:asciiTheme="minorHAnsi" w:hAnsiTheme="minorHAnsi"/>
                <w:b/>
                <w:bCs/>
                <w:sz w:val="20"/>
              </w:rPr>
            </w:pPr>
          </w:p>
          <w:p w14:paraId="41D13026" w14:textId="77777777" w:rsidR="00794AFD" w:rsidRPr="000944E4" w:rsidRDefault="00794AFD" w:rsidP="00794AFD">
            <w:pPr>
              <w:jc w:val="right"/>
              <w:rPr>
                <w:rFonts w:asciiTheme="minorHAnsi" w:hAnsiTheme="minorHAnsi"/>
                <w:bCs/>
                <w:sz w:val="20"/>
              </w:rPr>
            </w:pPr>
            <w:r w:rsidRPr="000944E4">
              <w:rPr>
                <w:rFonts w:asciiTheme="minorHAnsi" w:hAnsiTheme="minorHAnsi"/>
                <w:b/>
                <w:bCs/>
                <w:sz w:val="20"/>
              </w:rPr>
              <w:t>47</w:t>
            </w:r>
            <w:r>
              <w:rPr>
                <w:rFonts w:asciiTheme="minorHAnsi" w:hAnsiTheme="minorHAnsi"/>
                <w:b/>
                <w:bCs/>
                <w:sz w:val="20"/>
              </w:rPr>
              <w:t>1</w:t>
            </w:r>
            <w:r w:rsidRPr="000944E4">
              <w:rPr>
                <w:rFonts w:asciiTheme="minorHAnsi" w:hAnsiTheme="minorHAnsi"/>
                <w:b/>
                <w:bCs/>
                <w:sz w:val="20"/>
              </w:rPr>
              <w:t>.</w:t>
            </w:r>
            <w:r>
              <w:rPr>
                <w:rFonts w:asciiTheme="minorHAnsi" w:hAnsiTheme="minorHAnsi"/>
                <w:b/>
                <w:bCs/>
                <w:sz w:val="20"/>
              </w:rPr>
              <w:t>9</w:t>
            </w:r>
          </w:p>
        </w:tc>
        <w:tc>
          <w:tcPr>
            <w:tcW w:w="817" w:type="pct"/>
            <w:tcBorders>
              <w:top w:val="single" w:sz="4" w:space="0" w:color="auto"/>
              <w:left w:val="nil"/>
              <w:right w:val="nil"/>
            </w:tcBorders>
          </w:tcPr>
          <w:p w14:paraId="1130ED8F" w14:textId="77777777" w:rsidR="00794AFD" w:rsidRPr="003A5032" w:rsidRDefault="00794AFD" w:rsidP="00794AFD">
            <w:pPr>
              <w:jc w:val="right"/>
              <w:rPr>
                <w:rFonts w:asciiTheme="minorHAnsi" w:hAnsiTheme="minorHAnsi"/>
                <w:bCs/>
                <w:sz w:val="20"/>
              </w:rPr>
            </w:pPr>
          </w:p>
          <w:p w14:paraId="1D1652EE"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353.3</w:t>
            </w:r>
          </w:p>
        </w:tc>
      </w:tr>
      <w:tr w:rsidR="00794AFD" w:rsidRPr="00655898" w14:paraId="0099BF67" w14:textId="77777777" w:rsidTr="00794AFD">
        <w:tc>
          <w:tcPr>
            <w:tcW w:w="3216" w:type="pct"/>
            <w:gridSpan w:val="2"/>
            <w:tcBorders>
              <w:top w:val="nil"/>
              <w:left w:val="nil"/>
              <w:right w:val="nil"/>
            </w:tcBorders>
          </w:tcPr>
          <w:p w14:paraId="29AF27B4" w14:textId="77777777" w:rsidR="00794AFD" w:rsidRPr="00655898" w:rsidRDefault="00794AFD" w:rsidP="00794AFD">
            <w:pPr>
              <w:ind w:left="-90"/>
              <w:rPr>
                <w:rFonts w:asciiTheme="minorHAnsi" w:hAnsiTheme="minorHAnsi"/>
                <w:sz w:val="20"/>
              </w:rPr>
            </w:pPr>
            <w:r w:rsidRPr="00655898">
              <w:rPr>
                <w:rFonts w:asciiTheme="minorHAnsi" w:hAnsiTheme="minorHAnsi"/>
                <w:sz w:val="20"/>
              </w:rPr>
              <w:t>Transaction fees paid</w:t>
            </w:r>
          </w:p>
        </w:tc>
        <w:tc>
          <w:tcPr>
            <w:tcW w:w="371" w:type="pct"/>
            <w:tcBorders>
              <w:top w:val="nil"/>
              <w:left w:val="nil"/>
              <w:right w:val="nil"/>
            </w:tcBorders>
          </w:tcPr>
          <w:p w14:paraId="3F92FA09" w14:textId="77777777" w:rsidR="00794AFD" w:rsidRPr="00655898" w:rsidRDefault="00794AFD" w:rsidP="00794AFD">
            <w:pPr>
              <w:jc w:val="center"/>
              <w:rPr>
                <w:rFonts w:asciiTheme="minorHAnsi" w:hAnsiTheme="minorHAnsi"/>
                <w:iCs/>
                <w:sz w:val="20"/>
              </w:rPr>
            </w:pPr>
          </w:p>
        </w:tc>
        <w:tc>
          <w:tcPr>
            <w:tcW w:w="595" w:type="pct"/>
            <w:tcBorders>
              <w:top w:val="nil"/>
              <w:left w:val="nil"/>
              <w:right w:val="nil"/>
            </w:tcBorders>
          </w:tcPr>
          <w:p w14:paraId="048EF65A" w14:textId="77777777" w:rsidR="00794AFD" w:rsidRPr="000944E4" w:rsidRDefault="00794AFD" w:rsidP="00794AFD">
            <w:pPr>
              <w:jc w:val="right"/>
              <w:rPr>
                <w:rFonts w:asciiTheme="minorHAnsi" w:hAnsiTheme="minorHAnsi"/>
                <w:b/>
                <w:bCs/>
                <w:sz w:val="20"/>
              </w:rPr>
            </w:pPr>
            <w:r w:rsidRPr="000944E4">
              <w:rPr>
                <w:rFonts w:asciiTheme="minorHAnsi" w:hAnsiTheme="minorHAnsi"/>
                <w:b/>
                <w:bCs/>
                <w:sz w:val="20"/>
              </w:rPr>
              <w:t>(12.9)</w:t>
            </w:r>
          </w:p>
        </w:tc>
        <w:tc>
          <w:tcPr>
            <w:tcW w:w="817" w:type="pct"/>
            <w:tcBorders>
              <w:top w:val="nil"/>
              <w:left w:val="nil"/>
              <w:right w:val="nil"/>
            </w:tcBorders>
          </w:tcPr>
          <w:p w14:paraId="7B8D8E51"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w:t>
            </w:r>
          </w:p>
        </w:tc>
      </w:tr>
      <w:tr w:rsidR="00794AFD" w:rsidRPr="00655898" w14:paraId="4267A91B" w14:textId="77777777" w:rsidTr="00794AFD">
        <w:tc>
          <w:tcPr>
            <w:tcW w:w="3216" w:type="pct"/>
            <w:gridSpan w:val="2"/>
            <w:tcBorders>
              <w:top w:val="nil"/>
              <w:left w:val="nil"/>
              <w:right w:val="nil"/>
            </w:tcBorders>
          </w:tcPr>
          <w:p w14:paraId="25507D34" w14:textId="77777777" w:rsidR="00794AFD" w:rsidRPr="00655898" w:rsidRDefault="00794AFD" w:rsidP="00794AFD">
            <w:pPr>
              <w:ind w:left="-90"/>
              <w:rPr>
                <w:rFonts w:asciiTheme="minorHAnsi" w:hAnsiTheme="minorHAnsi"/>
                <w:sz w:val="20"/>
              </w:rPr>
            </w:pPr>
            <w:r w:rsidRPr="00655898">
              <w:rPr>
                <w:rFonts w:asciiTheme="minorHAnsi" w:hAnsiTheme="minorHAnsi"/>
                <w:sz w:val="20"/>
              </w:rPr>
              <w:t>Restructuring and strategic initiative costs paid</w:t>
            </w:r>
          </w:p>
        </w:tc>
        <w:tc>
          <w:tcPr>
            <w:tcW w:w="371" w:type="pct"/>
            <w:tcBorders>
              <w:top w:val="nil"/>
              <w:left w:val="nil"/>
              <w:right w:val="nil"/>
            </w:tcBorders>
          </w:tcPr>
          <w:p w14:paraId="1BE002DE" w14:textId="77777777" w:rsidR="00794AFD" w:rsidRPr="00655898" w:rsidRDefault="00794AFD" w:rsidP="00794AFD">
            <w:pPr>
              <w:jc w:val="center"/>
              <w:rPr>
                <w:rFonts w:asciiTheme="minorHAnsi" w:hAnsiTheme="minorHAnsi"/>
                <w:iCs/>
                <w:sz w:val="20"/>
              </w:rPr>
            </w:pPr>
          </w:p>
        </w:tc>
        <w:tc>
          <w:tcPr>
            <w:tcW w:w="595" w:type="pct"/>
            <w:tcBorders>
              <w:top w:val="nil"/>
              <w:left w:val="nil"/>
              <w:right w:val="nil"/>
            </w:tcBorders>
          </w:tcPr>
          <w:p w14:paraId="7BDACEDB" w14:textId="77777777" w:rsidR="00794AFD" w:rsidRPr="000944E4" w:rsidRDefault="00794AFD" w:rsidP="00794AFD">
            <w:pPr>
              <w:jc w:val="right"/>
              <w:rPr>
                <w:rFonts w:asciiTheme="minorHAnsi" w:hAnsiTheme="minorHAnsi"/>
                <w:b/>
                <w:bCs/>
                <w:sz w:val="20"/>
              </w:rPr>
            </w:pPr>
            <w:r w:rsidRPr="000944E4">
              <w:rPr>
                <w:rFonts w:asciiTheme="minorHAnsi" w:hAnsiTheme="minorHAnsi"/>
                <w:b/>
                <w:bCs/>
                <w:sz w:val="20"/>
              </w:rPr>
              <w:t>-</w:t>
            </w:r>
          </w:p>
        </w:tc>
        <w:tc>
          <w:tcPr>
            <w:tcW w:w="817" w:type="pct"/>
            <w:tcBorders>
              <w:top w:val="nil"/>
              <w:left w:val="nil"/>
              <w:right w:val="nil"/>
            </w:tcBorders>
          </w:tcPr>
          <w:p w14:paraId="143EA5B4"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(22.9)</w:t>
            </w:r>
          </w:p>
        </w:tc>
      </w:tr>
      <w:tr w:rsidR="00794AFD" w:rsidRPr="00655898" w14:paraId="0607577F" w14:textId="77777777" w:rsidTr="00794AFD">
        <w:tc>
          <w:tcPr>
            <w:tcW w:w="3216" w:type="pct"/>
            <w:gridSpan w:val="2"/>
            <w:tcBorders>
              <w:left w:val="nil"/>
              <w:bottom w:val="single" w:sz="4" w:space="0" w:color="auto"/>
              <w:right w:val="nil"/>
            </w:tcBorders>
          </w:tcPr>
          <w:p w14:paraId="1DCF4BEC" w14:textId="77777777" w:rsidR="00794AFD" w:rsidRPr="00655898" w:rsidRDefault="00794AFD" w:rsidP="00794AFD">
            <w:pPr>
              <w:ind w:left="-90"/>
              <w:rPr>
                <w:rFonts w:asciiTheme="minorHAnsi" w:hAnsiTheme="minorHAnsi"/>
                <w:sz w:val="20"/>
              </w:rPr>
            </w:pPr>
            <w:r w:rsidRPr="00655898">
              <w:rPr>
                <w:rFonts w:asciiTheme="minorHAnsi" w:hAnsiTheme="minorHAnsi"/>
                <w:sz w:val="20"/>
              </w:rPr>
              <w:t>Amounts paid in respect of legacy Greek and German tax assessments</w:t>
            </w:r>
          </w:p>
        </w:tc>
        <w:tc>
          <w:tcPr>
            <w:tcW w:w="371" w:type="pct"/>
            <w:tcBorders>
              <w:left w:val="nil"/>
              <w:bottom w:val="single" w:sz="4" w:space="0" w:color="auto"/>
              <w:right w:val="nil"/>
            </w:tcBorders>
          </w:tcPr>
          <w:p w14:paraId="34A071C7" w14:textId="77777777" w:rsidR="00794AFD" w:rsidRPr="00655898" w:rsidRDefault="00794AFD" w:rsidP="00794AFD">
            <w:pPr>
              <w:jc w:val="center"/>
              <w:rPr>
                <w:rFonts w:asciiTheme="minorHAnsi" w:hAnsiTheme="minorHAnsi"/>
                <w:iCs/>
                <w:sz w:val="20"/>
              </w:rPr>
            </w:pPr>
          </w:p>
        </w:tc>
        <w:tc>
          <w:tcPr>
            <w:tcW w:w="595" w:type="pct"/>
            <w:tcBorders>
              <w:left w:val="nil"/>
              <w:bottom w:val="single" w:sz="4" w:space="0" w:color="auto"/>
              <w:right w:val="nil"/>
            </w:tcBorders>
          </w:tcPr>
          <w:p w14:paraId="0A39BF5B" w14:textId="77777777" w:rsidR="00794AFD" w:rsidRPr="00655898" w:rsidRDefault="00794AFD" w:rsidP="00794AFD">
            <w:pPr>
              <w:jc w:val="right"/>
              <w:rPr>
                <w:rFonts w:asciiTheme="minorHAnsi" w:hAnsiTheme="minorHAnsi"/>
                <w:b/>
                <w:bCs/>
                <w:sz w:val="20"/>
              </w:rPr>
            </w:pPr>
            <w:r w:rsidRPr="00655898">
              <w:rPr>
                <w:rFonts w:asciiTheme="minorHAnsi" w:hAnsiTheme="minorHAnsi"/>
                <w:b/>
                <w:bCs/>
                <w:sz w:val="20"/>
              </w:rPr>
              <w:t>(39.6)</w:t>
            </w:r>
          </w:p>
        </w:tc>
        <w:tc>
          <w:tcPr>
            <w:tcW w:w="817" w:type="pct"/>
            <w:tcBorders>
              <w:left w:val="nil"/>
              <w:bottom w:val="single" w:sz="4" w:space="0" w:color="auto"/>
              <w:right w:val="nil"/>
            </w:tcBorders>
          </w:tcPr>
          <w:p w14:paraId="646EB44A"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w:t>
            </w:r>
          </w:p>
        </w:tc>
      </w:tr>
      <w:tr w:rsidR="00794AFD" w:rsidRPr="00655898" w14:paraId="59E2EBD0" w14:textId="77777777" w:rsidTr="00794AFD">
        <w:tc>
          <w:tcPr>
            <w:tcW w:w="3216" w:type="pct"/>
            <w:gridSpan w:val="2"/>
            <w:tcBorders>
              <w:top w:val="single" w:sz="4" w:space="0" w:color="auto"/>
              <w:left w:val="nil"/>
              <w:bottom w:val="single" w:sz="4" w:space="0" w:color="auto"/>
              <w:right w:val="nil"/>
            </w:tcBorders>
          </w:tcPr>
          <w:p w14:paraId="62B46A18" w14:textId="77777777" w:rsidR="00794AFD" w:rsidRPr="00655898" w:rsidRDefault="00794AFD" w:rsidP="00794AFD">
            <w:pPr>
              <w:ind w:left="-90"/>
              <w:rPr>
                <w:rFonts w:asciiTheme="minorHAnsi" w:hAnsiTheme="minorHAnsi"/>
                <w:sz w:val="20"/>
              </w:rPr>
            </w:pPr>
            <w:r w:rsidRPr="00655898">
              <w:rPr>
                <w:rFonts w:asciiTheme="minorHAnsi" w:hAnsiTheme="minorHAnsi"/>
                <w:b/>
                <w:bCs/>
                <w:sz w:val="20"/>
              </w:rPr>
              <w:t>Net cash from operating activities</w:t>
            </w:r>
          </w:p>
        </w:tc>
        <w:tc>
          <w:tcPr>
            <w:tcW w:w="371" w:type="pct"/>
            <w:tcBorders>
              <w:top w:val="single" w:sz="4" w:space="0" w:color="auto"/>
              <w:left w:val="nil"/>
              <w:bottom w:val="single" w:sz="4" w:space="0" w:color="auto"/>
              <w:right w:val="nil"/>
            </w:tcBorders>
          </w:tcPr>
          <w:p w14:paraId="3E56F515" w14:textId="77777777" w:rsidR="00794AFD" w:rsidRPr="00655898" w:rsidRDefault="00794AFD" w:rsidP="00794AFD">
            <w:pPr>
              <w:jc w:val="center"/>
              <w:rPr>
                <w:rFonts w:asciiTheme="minorHAnsi" w:hAnsiTheme="minorHAnsi"/>
                <w:iCs/>
                <w:sz w:val="20"/>
              </w:rPr>
            </w:pPr>
          </w:p>
        </w:tc>
        <w:tc>
          <w:tcPr>
            <w:tcW w:w="595" w:type="pct"/>
            <w:tcBorders>
              <w:top w:val="single" w:sz="4" w:space="0" w:color="auto"/>
              <w:left w:val="nil"/>
              <w:bottom w:val="single" w:sz="4" w:space="0" w:color="auto"/>
              <w:right w:val="nil"/>
            </w:tcBorders>
          </w:tcPr>
          <w:p w14:paraId="290502B8" w14:textId="77777777" w:rsidR="00794AFD" w:rsidRPr="000944E4" w:rsidRDefault="00794AFD" w:rsidP="00794AFD">
            <w:pPr>
              <w:jc w:val="right"/>
              <w:rPr>
                <w:rFonts w:asciiTheme="minorHAnsi" w:hAnsiTheme="minorHAnsi"/>
                <w:b/>
                <w:bCs/>
                <w:sz w:val="20"/>
              </w:rPr>
            </w:pPr>
            <w:r w:rsidRPr="000944E4">
              <w:rPr>
                <w:rFonts w:asciiTheme="minorHAnsi" w:hAnsiTheme="minorHAnsi"/>
                <w:b/>
                <w:bCs/>
                <w:sz w:val="20"/>
              </w:rPr>
              <w:t>4</w:t>
            </w:r>
            <w:r>
              <w:rPr>
                <w:rFonts w:asciiTheme="minorHAnsi" w:hAnsiTheme="minorHAnsi"/>
                <w:b/>
                <w:bCs/>
                <w:sz w:val="20"/>
              </w:rPr>
              <w:t>19</w:t>
            </w:r>
            <w:r w:rsidRPr="000944E4">
              <w:rPr>
                <w:rFonts w:asciiTheme="minorHAnsi" w:hAnsiTheme="minorHAnsi"/>
                <w:b/>
                <w:bCs/>
                <w:sz w:val="20"/>
              </w:rPr>
              <w:t>.</w:t>
            </w:r>
            <w:r>
              <w:rPr>
                <w:rFonts w:asciiTheme="minorHAnsi" w:hAnsiTheme="minorHAnsi"/>
                <w:b/>
                <w:bCs/>
                <w:sz w:val="20"/>
              </w:rPr>
              <w:t>4</w:t>
            </w:r>
          </w:p>
        </w:tc>
        <w:tc>
          <w:tcPr>
            <w:tcW w:w="817" w:type="pct"/>
            <w:tcBorders>
              <w:top w:val="single" w:sz="4" w:space="0" w:color="auto"/>
              <w:left w:val="nil"/>
              <w:bottom w:val="single" w:sz="4" w:space="0" w:color="auto"/>
              <w:right w:val="nil"/>
            </w:tcBorders>
          </w:tcPr>
          <w:p w14:paraId="40460963"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330.4</w:t>
            </w:r>
          </w:p>
        </w:tc>
      </w:tr>
      <w:tr w:rsidR="00794AFD" w:rsidRPr="00655898" w14:paraId="709DCCB4" w14:textId="77777777" w:rsidTr="00794AFD">
        <w:trPr>
          <w:trHeight w:val="70"/>
        </w:trPr>
        <w:tc>
          <w:tcPr>
            <w:tcW w:w="3216" w:type="pct"/>
            <w:gridSpan w:val="2"/>
            <w:tcBorders>
              <w:top w:val="single" w:sz="4" w:space="0" w:color="auto"/>
              <w:left w:val="nil"/>
              <w:bottom w:val="nil"/>
              <w:right w:val="nil"/>
            </w:tcBorders>
          </w:tcPr>
          <w:p w14:paraId="717D6406" w14:textId="77777777" w:rsidR="00794AFD" w:rsidRPr="00655898" w:rsidRDefault="00794AFD" w:rsidP="00794AFD">
            <w:pPr>
              <w:ind w:left="-90"/>
              <w:rPr>
                <w:rFonts w:asciiTheme="minorHAnsi" w:hAnsiTheme="minorHAnsi"/>
                <w:sz w:val="20"/>
              </w:rPr>
            </w:pPr>
          </w:p>
        </w:tc>
        <w:tc>
          <w:tcPr>
            <w:tcW w:w="371" w:type="pct"/>
            <w:tcBorders>
              <w:top w:val="single" w:sz="4" w:space="0" w:color="auto"/>
              <w:left w:val="nil"/>
              <w:bottom w:val="nil"/>
              <w:right w:val="nil"/>
            </w:tcBorders>
          </w:tcPr>
          <w:p w14:paraId="727335BC" w14:textId="77777777" w:rsidR="00794AFD" w:rsidRPr="00655898" w:rsidRDefault="00794AFD" w:rsidP="00794AFD">
            <w:pPr>
              <w:jc w:val="center"/>
              <w:rPr>
                <w:rFonts w:asciiTheme="minorHAnsi" w:hAnsiTheme="minorHAnsi"/>
                <w:iCs/>
                <w:sz w:val="20"/>
              </w:rPr>
            </w:pPr>
          </w:p>
        </w:tc>
        <w:tc>
          <w:tcPr>
            <w:tcW w:w="595" w:type="pct"/>
            <w:tcBorders>
              <w:top w:val="single" w:sz="4" w:space="0" w:color="auto"/>
              <w:left w:val="nil"/>
              <w:bottom w:val="nil"/>
              <w:right w:val="nil"/>
            </w:tcBorders>
          </w:tcPr>
          <w:p w14:paraId="48E15B5E" w14:textId="77777777" w:rsidR="00794AFD" w:rsidRPr="000944E4" w:rsidRDefault="00794AFD" w:rsidP="00794AFD">
            <w:pPr>
              <w:jc w:val="right"/>
              <w:rPr>
                <w:rFonts w:asciiTheme="minorHAnsi" w:hAnsiTheme="minorHAnsi"/>
                <w:b/>
                <w:bCs/>
                <w:sz w:val="20"/>
              </w:rPr>
            </w:pPr>
          </w:p>
        </w:tc>
        <w:tc>
          <w:tcPr>
            <w:tcW w:w="817" w:type="pct"/>
            <w:tcBorders>
              <w:top w:val="single" w:sz="4" w:space="0" w:color="auto"/>
              <w:left w:val="nil"/>
              <w:bottom w:val="nil"/>
              <w:right w:val="nil"/>
            </w:tcBorders>
          </w:tcPr>
          <w:p w14:paraId="087AF88C" w14:textId="77777777" w:rsidR="00794AFD" w:rsidRPr="003A5032" w:rsidRDefault="00794AFD" w:rsidP="00794AFD">
            <w:pPr>
              <w:jc w:val="right"/>
              <w:rPr>
                <w:rFonts w:asciiTheme="minorHAnsi" w:hAnsiTheme="minorHAnsi"/>
                <w:bCs/>
                <w:sz w:val="20"/>
              </w:rPr>
            </w:pPr>
          </w:p>
        </w:tc>
      </w:tr>
      <w:tr w:rsidR="00794AFD" w:rsidRPr="00655898" w14:paraId="1D0EC2C5" w14:textId="77777777" w:rsidTr="00794AFD">
        <w:tc>
          <w:tcPr>
            <w:tcW w:w="3216" w:type="pct"/>
            <w:gridSpan w:val="2"/>
            <w:tcBorders>
              <w:top w:val="nil"/>
              <w:left w:val="nil"/>
              <w:bottom w:val="nil"/>
              <w:right w:val="nil"/>
            </w:tcBorders>
          </w:tcPr>
          <w:p w14:paraId="70C2F7EB" w14:textId="77777777" w:rsidR="00794AFD" w:rsidRPr="00655898" w:rsidRDefault="00794AFD" w:rsidP="00794AFD">
            <w:pPr>
              <w:ind w:left="-90"/>
              <w:rPr>
                <w:rFonts w:asciiTheme="minorHAnsi" w:hAnsiTheme="minorHAnsi"/>
                <w:sz w:val="20"/>
              </w:rPr>
            </w:pPr>
            <w:r w:rsidRPr="00655898">
              <w:rPr>
                <w:rFonts w:asciiTheme="minorHAnsi" w:hAnsiTheme="minorHAnsi"/>
                <w:sz w:val="20"/>
              </w:rPr>
              <w:t>Purchase of property, plant and equipment</w:t>
            </w:r>
          </w:p>
        </w:tc>
        <w:tc>
          <w:tcPr>
            <w:tcW w:w="371" w:type="pct"/>
            <w:tcBorders>
              <w:top w:val="nil"/>
              <w:left w:val="nil"/>
              <w:bottom w:val="nil"/>
              <w:right w:val="nil"/>
            </w:tcBorders>
          </w:tcPr>
          <w:p w14:paraId="02ADED2F" w14:textId="77777777" w:rsidR="00794AFD" w:rsidRPr="00655898" w:rsidRDefault="00794AFD" w:rsidP="00794AFD">
            <w:pPr>
              <w:jc w:val="center"/>
              <w:rPr>
                <w:rFonts w:asciiTheme="minorHAnsi" w:hAnsiTheme="minorHAnsi"/>
                <w:iCs/>
                <w:sz w:val="20"/>
              </w:rPr>
            </w:pPr>
          </w:p>
        </w:tc>
        <w:tc>
          <w:tcPr>
            <w:tcW w:w="595" w:type="pct"/>
            <w:tcBorders>
              <w:top w:val="nil"/>
              <w:left w:val="nil"/>
              <w:bottom w:val="nil"/>
              <w:right w:val="nil"/>
            </w:tcBorders>
          </w:tcPr>
          <w:p w14:paraId="6570CC75" w14:textId="77777777" w:rsidR="00794AFD" w:rsidRPr="000944E4" w:rsidRDefault="00794AFD" w:rsidP="00794AFD">
            <w:pPr>
              <w:jc w:val="right"/>
              <w:rPr>
                <w:rFonts w:asciiTheme="minorHAnsi" w:hAnsiTheme="minorHAnsi"/>
                <w:bCs/>
                <w:sz w:val="20"/>
              </w:rPr>
            </w:pPr>
            <w:r w:rsidRPr="000944E4">
              <w:rPr>
                <w:rFonts w:asciiTheme="minorHAnsi" w:hAnsiTheme="minorHAnsi"/>
                <w:b/>
                <w:bCs/>
                <w:sz w:val="20"/>
              </w:rPr>
              <w:t>(44.0)</w:t>
            </w:r>
          </w:p>
        </w:tc>
        <w:tc>
          <w:tcPr>
            <w:tcW w:w="817" w:type="pct"/>
            <w:tcBorders>
              <w:top w:val="nil"/>
              <w:left w:val="nil"/>
              <w:bottom w:val="nil"/>
              <w:right w:val="nil"/>
            </w:tcBorders>
          </w:tcPr>
          <w:p w14:paraId="3360A10A"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(31.6)</w:t>
            </w:r>
          </w:p>
        </w:tc>
      </w:tr>
      <w:tr w:rsidR="00794AFD" w:rsidRPr="00655898" w14:paraId="47C8A2A1" w14:textId="77777777" w:rsidTr="00794AFD">
        <w:tc>
          <w:tcPr>
            <w:tcW w:w="3216" w:type="pct"/>
            <w:gridSpan w:val="2"/>
            <w:tcBorders>
              <w:top w:val="nil"/>
              <w:left w:val="nil"/>
              <w:bottom w:val="nil"/>
              <w:right w:val="nil"/>
            </w:tcBorders>
          </w:tcPr>
          <w:p w14:paraId="5A52B3A4" w14:textId="77777777" w:rsidR="00794AFD" w:rsidRPr="00655898" w:rsidRDefault="00794AFD" w:rsidP="00794AFD">
            <w:pPr>
              <w:ind w:left="-90"/>
              <w:rPr>
                <w:rFonts w:asciiTheme="minorHAnsi" w:hAnsiTheme="minorHAnsi"/>
                <w:sz w:val="20"/>
              </w:rPr>
            </w:pPr>
            <w:r w:rsidRPr="00655898">
              <w:rPr>
                <w:rFonts w:asciiTheme="minorHAnsi" w:hAnsiTheme="minorHAnsi"/>
                <w:sz w:val="20"/>
              </w:rPr>
              <w:t>Purchase of intangible assets</w:t>
            </w:r>
          </w:p>
        </w:tc>
        <w:tc>
          <w:tcPr>
            <w:tcW w:w="371" w:type="pct"/>
            <w:tcBorders>
              <w:top w:val="nil"/>
              <w:left w:val="nil"/>
              <w:bottom w:val="nil"/>
              <w:right w:val="nil"/>
            </w:tcBorders>
          </w:tcPr>
          <w:p w14:paraId="31C27DA2" w14:textId="77777777" w:rsidR="00794AFD" w:rsidRPr="00655898" w:rsidRDefault="00794AFD" w:rsidP="00794AFD">
            <w:pPr>
              <w:jc w:val="center"/>
              <w:rPr>
                <w:rFonts w:asciiTheme="minorHAnsi" w:hAnsiTheme="minorHAnsi"/>
                <w:iCs/>
                <w:sz w:val="20"/>
              </w:rPr>
            </w:pPr>
          </w:p>
        </w:tc>
        <w:tc>
          <w:tcPr>
            <w:tcW w:w="595" w:type="pct"/>
            <w:tcBorders>
              <w:top w:val="nil"/>
              <w:left w:val="nil"/>
              <w:bottom w:val="nil"/>
              <w:right w:val="nil"/>
            </w:tcBorders>
          </w:tcPr>
          <w:p w14:paraId="0D5A8EA4" w14:textId="77777777" w:rsidR="00794AFD" w:rsidRPr="000944E4" w:rsidRDefault="00794AFD" w:rsidP="00794AFD">
            <w:pPr>
              <w:jc w:val="right"/>
              <w:rPr>
                <w:rFonts w:asciiTheme="minorHAnsi" w:hAnsiTheme="minorHAnsi"/>
                <w:bCs/>
                <w:sz w:val="20"/>
              </w:rPr>
            </w:pPr>
            <w:r w:rsidRPr="000944E4">
              <w:rPr>
                <w:rFonts w:asciiTheme="minorHAnsi" w:hAnsiTheme="minorHAnsi"/>
                <w:b/>
                <w:bCs/>
                <w:sz w:val="20"/>
              </w:rPr>
              <w:t>(3</w:t>
            </w:r>
            <w:r>
              <w:rPr>
                <w:rFonts w:asciiTheme="minorHAnsi" w:hAnsiTheme="minorHAnsi"/>
                <w:b/>
                <w:bCs/>
                <w:sz w:val="20"/>
              </w:rPr>
              <w:t>3</w:t>
            </w:r>
            <w:r w:rsidRPr="000944E4">
              <w:rPr>
                <w:rFonts w:asciiTheme="minorHAnsi" w:hAnsiTheme="minorHAnsi"/>
                <w:b/>
                <w:bCs/>
                <w:sz w:val="20"/>
              </w:rPr>
              <w:t>.</w:t>
            </w:r>
            <w:r>
              <w:rPr>
                <w:rFonts w:asciiTheme="minorHAnsi" w:hAnsiTheme="minorHAnsi"/>
                <w:b/>
                <w:bCs/>
                <w:sz w:val="20"/>
              </w:rPr>
              <w:t>7</w:t>
            </w:r>
            <w:r w:rsidRPr="000944E4">
              <w:rPr>
                <w:rFonts w:asciiTheme="minorHAnsi" w:hAnsiTheme="minorHAnsi"/>
                <w:b/>
                <w:bCs/>
                <w:sz w:val="20"/>
              </w:rPr>
              <w:t>)</w:t>
            </w:r>
          </w:p>
        </w:tc>
        <w:tc>
          <w:tcPr>
            <w:tcW w:w="817" w:type="pct"/>
            <w:tcBorders>
              <w:top w:val="nil"/>
              <w:left w:val="nil"/>
              <w:bottom w:val="nil"/>
              <w:right w:val="nil"/>
            </w:tcBorders>
          </w:tcPr>
          <w:p w14:paraId="661ED46F"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(38.5)</w:t>
            </w:r>
          </w:p>
        </w:tc>
      </w:tr>
      <w:tr w:rsidR="00794AFD" w:rsidRPr="00655898" w14:paraId="5CAC16BD" w14:textId="77777777" w:rsidTr="00794AFD">
        <w:tc>
          <w:tcPr>
            <w:tcW w:w="3216" w:type="pct"/>
            <w:gridSpan w:val="2"/>
            <w:tcBorders>
              <w:top w:val="nil"/>
              <w:left w:val="nil"/>
              <w:bottom w:val="nil"/>
              <w:right w:val="nil"/>
            </w:tcBorders>
          </w:tcPr>
          <w:p w14:paraId="7713E170" w14:textId="77777777" w:rsidR="00794AFD" w:rsidRPr="00655898" w:rsidRDefault="00794AFD" w:rsidP="00794AFD">
            <w:pPr>
              <w:ind w:left="-90"/>
              <w:rPr>
                <w:rFonts w:asciiTheme="minorHAnsi" w:hAnsiTheme="minorHAnsi"/>
                <w:sz w:val="20"/>
              </w:rPr>
            </w:pPr>
            <w:r w:rsidRPr="00655898">
              <w:rPr>
                <w:rFonts w:asciiTheme="minorHAnsi" w:hAnsiTheme="minorHAnsi"/>
                <w:sz w:val="20"/>
              </w:rPr>
              <w:t>Proceeds from disposal of investment</w:t>
            </w:r>
          </w:p>
        </w:tc>
        <w:tc>
          <w:tcPr>
            <w:tcW w:w="371" w:type="pct"/>
            <w:tcBorders>
              <w:top w:val="nil"/>
              <w:left w:val="nil"/>
              <w:bottom w:val="nil"/>
              <w:right w:val="nil"/>
            </w:tcBorders>
          </w:tcPr>
          <w:p w14:paraId="50BC758E" w14:textId="77777777" w:rsidR="00794AFD" w:rsidRPr="00655898" w:rsidRDefault="00794AFD" w:rsidP="00794AFD">
            <w:pPr>
              <w:jc w:val="center"/>
              <w:rPr>
                <w:rFonts w:asciiTheme="minorHAnsi" w:hAnsiTheme="minorHAnsi"/>
                <w:iCs/>
                <w:sz w:val="20"/>
              </w:rPr>
            </w:pPr>
          </w:p>
        </w:tc>
        <w:tc>
          <w:tcPr>
            <w:tcW w:w="595" w:type="pct"/>
            <w:tcBorders>
              <w:top w:val="nil"/>
              <w:left w:val="nil"/>
              <w:bottom w:val="nil"/>
              <w:right w:val="nil"/>
            </w:tcBorders>
          </w:tcPr>
          <w:p w14:paraId="68F6A9C4" w14:textId="77777777" w:rsidR="00794AFD" w:rsidRPr="000944E4" w:rsidRDefault="00794AFD" w:rsidP="00794AFD">
            <w:pPr>
              <w:jc w:val="right"/>
              <w:rPr>
                <w:rFonts w:asciiTheme="minorHAnsi" w:hAnsiTheme="minorHAnsi"/>
                <w:b/>
                <w:bCs/>
                <w:sz w:val="20"/>
              </w:rPr>
            </w:pPr>
            <w:r w:rsidRPr="00655898">
              <w:rPr>
                <w:rFonts w:asciiTheme="minorHAnsi" w:hAnsiTheme="minorHAnsi"/>
                <w:b/>
                <w:bCs/>
                <w:sz w:val="20"/>
              </w:rPr>
              <w:t>2.3</w:t>
            </w:r>
          </w:p>
        </w:tc>
        <w:tc>
          <w:tcPr>
            <w:tcW w:w="817" w:type="pct"/>
            <w:tcBorders>
              <w:top w:val="nil"/>
              <w:left w:val="nil"/>
              <w:bottom w:val="nil"/>
              <w:right w:val="nil"/>
            </w:tcBorders>
          </w:tcPr>
          <w:p w14:paraId="59DBB498"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21.9</w:t>
            </w:r>
          </w:p>
        </w:tc>
      </w:tr>
      <w:tr w:rsidR="00794AFD" w:rsidRPr="00655898" w14:paraId="79CB55E2" w14:textId="77777777" w:rsidTr="00794AFD">
        <w:tc>
          <w:tcPr>
            <w:tcW w:w="3216" w:type="pct"/>
            <w:gridSpan w:val="2"/>
            <w:tcBorders>
              <w:top w:val="nil"/>
              <w:left w:val="nil"/>
              <w:bottom w:val="nil"/>
              <w:right w:val="nil"/>
            </w:tcBorders>
          </w:tcPr>
          <w:p w14:paraId="50F14399" w14:textId="77777777" w:rsidR="00794AFD" w:rsidRPr="00655898" w:rsidRDefault="00794AFD" w:rsidP="00794AFD">
            <w:pPr>
              <w:ind w:left="-90"/>
              <w:rPr>
                <w:rFonts w:asciiTheme="minorHAnsi" w:hAnsiTheme="minorHAnsi"/>
                <w:sz w:val="20"/>
              </w:rPr>
            </w:pPr>
            <w:r w:rsidRPr="00655898">
              <w:rPr>
                <w:rFonts w:asciiTheme="minorHAnsi" w:hAnsiTheme="minorHAnsi"/>
                <w:sz w:val="20"/>
              </w:rPr>
              <w:t>Cash in acquired businesses</w:t>
            </w:r>
          </w:p>
        </w:tc>
        <w:tc>
          <w:tcPr>
            <w:tcW w:w="371" w:type="pct"/>
            <w:tcBorders>
              <w:top w:val="nil"/>
              <w:left w:val="nil"/>
              <w:bottom w:val="nil"/>
              <w:right w:val="nil"/>
            </w:tcBorders>
          </w:tcPr>
          <w:p w14:paraId="52BB36D9" w14:textId="77777777" w:rsidR="00794AFD" w:rsidRPr="00655898" w:rsidRDefault="00794AFD" w:rsidP="00794AFD">
            <w:pPr>
              <w:jc w:val="center"/>
              <w:rPr>
                <w:rFonts w:asciiTheme="minorHAnsi" w:hAnsiTheme="minorHAnsi"/>
                <w:iCs/>
                <w:sz w:val="20"/>
              </w:rPr>
            </w:pPr>
            <w:r>
              <w:rPr>
                <w:rFonts w:asciiTheme="minorHAnsi" w:hAnsiTheme="minorHAnsi"/>
                <w:iCs/>
                <w:sz w:val="20"/>
              </w:rPr>
              <w:t>8</w:t>
            </w:r>
          </w:p>
        </w:tc>
        <w:tc>
          <w:tcPr>
            <w:tcW w:w="595" w:type="pct"/>
            <w:tcBorders>
              <w:top w:val="nil"/>
              <w:left w:val="nil"/>
              <w:bottom w:val="nil"/>
              <w:right w:val="nil"/>
            </w:tcBorders>
          </w:tcPr>
          <w:p w14:paraId="7333FCBE" w14:textId="77777777" w:rsidR="00794AFD" w:rsidRPr="00655898" w:rsidRDefault="00794AFD" w:rsidP="00794AFD">
            <w:pPr>
              <w:jc w:val="right"/>
              <w:rPr>
                <w:rFonts w:asciiTheme="minorHAnsi" w:hAnsiTheme="minorHAnsi"/>
                <w:b/>
                <w:bCs/>
                <w:sz w:val="20"/>
              </w:rPr>
            </w:pPr>
            <w:r w:rsidRPr="00655898">
              <w:rPr>
                <w:rFonts w:asciiTheme="minorHAnsi" w:hAnsiTheme="minorHAnsi"/>
                <w:b/>
                <w:bCs/>
                <w:sz w:val="20"/>
              </w:rPr>
              <w:t>0.2</w:t>
            </w:r>
          </w:p>
        </w:tc>
        <w:tc>
          <w:tcPr>
            <w:tcW w:w="817" w:type="pct"/>
            <w:tcBorders>
              <w:top w:val="nil"/>
              <w:left w:val="nil"/>
              <w:bottom w:val="nil"/>
              <w:right w:val="nil"/>
            </w:tcBorders>
          </w:tcPr>
          <w:p w14:paraId="2C740407"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20.4</w:t>
            </w:r>
          </w:p>
        </w:tc>
      </w:tr>
      <w:tr w:rsidR="00794AFD" w:rsidRPr="00655898" w14:paraId="543B8BC0" w14:textId="77777777" w:rsidTr="00794AFD">
        <w:tc>
          <w:tcPr>
            <w:tcW w:w="3216" w:type="pct"/>
            <w:gridSpan w:val="2"/>
            <w:tcBorders>
              <w:top w:val="nil"/>
              <w:left w:val="nil"/>
              <w:bottom w:val="nil"/>
              <w:right w:val="nil"/>
            </w:tcBorders>
          </w:tcPr>
          <w:p w14:paraId="08AABB09" w14:textId="77777777" w:rsidR="00794AFD" w:rsidRPr="00655898" w:rsidRDefault="00794AFD" w:rsidP="00794AFD">
            <w:pPr>
              <w:ind w:left="-90"/>
              <w:rPr>
                <w:rFonts w:asciiTheme="minorHAnsi" w:hAnsiTheme="minorHAnsi"/>
                <w:sz w:val="20"/>
              </w:rPr>
            </w:pPr>
            <w:r w:rsidRPr="00655898">
              <w:rPr>
                <w:rFonts w:asciiTheme="minorHAnsi" w:hAnsiTheme="minorHAnsi"/>
                <w:sz w:val="20"/>
              </w:rPr>
              <w:t>Purchase of businesses</w:t>
            </w:r>
          </w:p>
        </w:tc>
        <w:tc>
          <w:tcPr>
            <w:tcW w:w="371" w:type="pct"/>
            <w:tcBorders>
              <w:top w:val="nil"/>
              <w:left w:val="nil"/>
              <w:bottom w:val="nil"/>
              <w:right w:val="nil"/>
            </w:tcBorders>
          </w:tcPr>
          <w:p w14:paraId="18D60C88" w14:textId="77777777" w:rsidR="00794AFD" w:rsidRPr="00655898" w:rsidRDefault="00794AFD" w:rsidP="00794AFD">
            <w:pPr>
              <w:jc w:val="center"/>
              <w:rPr>
                <w:rFonts w:asciiTheme="minorHAnsi" w:hAnsiTheme="minorHAnsi"/>
                <w:iCs/>
                <w:sz w:val="20"/>
              </w:rPr>
            </w:pPr>
            <w:r>
              <w:rPr>
                <w:rFonts w:asciiTheme="minorHAnsi" w:hAnsiTheme="minorHAnsi"/>
                <w:iCs/>
                <w:sz w:val="20"/>
              </w:rPr>
              <w:t>8</w:t>
            </w:r>
          </w:p>
        </w:tc>
        <w:tc>
          <w:tcPr>
            <w:tcW w:w="595" w:type="pct"/>
            <w:tcBorders>
              <w:top w:val="nil"/>
              <w:left w:val="nil"/>
              <w:bottom w:val="nil"/>
              <w:right w:val="nil"/>
            </w:tcBorders>
          </w:tcPr>
          <w:p w14:paraId="66AB8316" w14:textId="77777777" w:rsidR="00794AFD" w:rsidRPr="00655898" w:rsidRDefault="00794AFD" w:rsidP="00794AFD">
            <w:pPr>
              <w:jc w:val="right"/>
              <w:rPr>
                <w:rFonts w:asciiTheme="minorHAnsi" w:hAnsiTheme="minorHAnsi"/>
                <w:bCs/>
                <w:sz w:val="20"/>
              </w:rPr>
            </w:pPr>
            <w:r w:rsidRPr="00655898">
              <w:rPr>
                <w:rFonts w:asciiTheme="minorHAnsi" w:hAnsiTheme="minorHAnsi"/>
                <w:b/>
                <w:bCs/>
                <w:sz w:val="20"/>
              </w:rPr>
              <w:t>(102.0)</w:t>
            </w:r>
          </w:p>
        </w:tc>
        <w:tc>
          <w:tcPr>
            <w:tcW w:w="817" w:type="pct"/>
            <w:tcBorders>
              <w:top w:val="nil"/>
              <w:left w:val="nil"/>
              <w:bottom w:val="nil"/>
              <w:right w:val="nil"/>
            </w:tcBorders>
          </w:tcPr>
          <w:p w14:paraId="5CD0E059"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(12.8)</w:t>
            </w:r>
          </w:p>
        </w:tc>
      </w:tr>
      <w:tr w:rsidR="00794AFD" w:rsidRPr="00655898" w14:paraId="10BA3222" w14:textId="77777777" w:rsidTr="00794AFD">
        <w:tc>
          <w:tcPr>
            <w:tcW w:w="3216" w:type="pct"/>
            <w:gridSpan w:val="2"/>
            <w:tcBorders>
              <w:top w:val="nil"/>
              <w:left w:val="nil"/>
              <w:bottom w:val="nil"/>
              <w:right w:val="nil"/>
            </w:tcBorders>
          </w:tcPr>
          <w:p w14:paraId="0B6D214A" w14:textId="77777777" w:rsidR="00794AFD" w:rsidRPr="00655898" w:rsidRDefault="00794AFD" w:rsidP="00794AFD">
            <w:pPr>
              <w:ind w:left="-90"/>
              <w:rPr>
                <w:rFonts w:asciiTheme="minorHAnsi" w:hAnsiTheme="minorHAnsi"/>
                <w:sz w:val="20"/>
              </w:rPr>
            </w:pPr>
            <w:r w:rsidRPr="00655898">
              <w:rPr>
                <w:rFonts w:asciiTheme="minorHAnsi" w:hAnsiTheme="minorHAnsi"/>
                <w:sz w:val="20"/>
              </w:rPr>
              <w:t>Capitalised internal development expenditure</w:t>
            </w:r>
          </w:p>
        </w:tc>
        <w:tc>
          <w:tcPr>
            <w:tcW w:w="371" w:type="pct"/>
            <w:tcBorders>
              <w:top w:val="nil"/>
              <w:left w:val="nil"/>
              <w:bottom w:val="nil"/>
              <w:right w:val="nil"/>
            </w:tcBorders>
          </w:tcPr>
          <w:p w14:paraId="74A2D3DE" w14:textId="77777777" w:rsidR="00794AFD" w:rsidRPr="00655898" w:rsidRDefault="00794AFD" w:rsidP="00794AFD">
            <w:pPr>
              <w:jc w:val="center"/>
              <w:rPr>
                <w:rFonts w:asciiTheme="minorHAnsi" w:hAnsiTheme="minorHAnsi"/>
                <w:iCs/>
                <w:sz w:val="20"/>
              </w:rPr>
            </w:pPr>
          </w:p>
        </w:tc>
        <w:tc>
          <w:tcPr>
            <w:tcW w:w="595" w:type="pct"/>
            <w:tcBorders>
              <w:top w:val="nil"/>
              <w:left w:val="nil"/>
              <w:bottom w:val="nil"/>
              <w:right w:val="nil"/>
            </w:tcBorders>
          </w:tcPr>
          <w:p w14:paraId="25A6F080" w14:textId="77777777" w:rsidR="00794AFD" w:rsidRPr="000944E4" w:rsidRDefault="00794AFD" w:rsidP="00794AFD">
            <w:pPr>
              <w:jc w:val="right"/>
              <w:rPr>
                <w:rFonts w:asciiTheme="minorHAnsi" w:hAnsiTheme="minorHAnsi"/>
                <w:b/>
                <w:bCs/>
                <w:sz w:val="20"/>
              </w:rPr>
            </w:pPr>
            <w:r w:rsidRPr="000944E4">
              <w:rPr>
                <w:rFonts w:asciiTheme="minorHAnsi" w:hAnsiTheme="minorHAnsi"/>
                <w:b/>
                <w:bCs/>
                <w:sz w:val="20"/>
              </w:rPr>
              <w:t>(53.1)</w:t>
            </w:r>
          </w:p>
        </w:tc>
        <w:tc>
          <w:tcPr>
            <w:tcW w:w="817" w:type="pct"/>
            <w:tcBorders>
              <w:top w:val="nil"/>
              <w:left w:val="nil"/>
              <w:bottom w:val="nil"/>
              <w:right w:val="nil"/>
            </w:tcBorders>
          </w:tcPr>
          <w:p w14:paraId="106513ED"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(30.3)</w:t>
            </w:r>
          </w:p>
        </w:tc>
      </w:tr>
      <w:tr w:rsidR="00794AFD" w:rsidRPr="00655898" w14:paraId="734D4D8B" w14:textId="77777777" w:rsidTr="00794AFD">
        <w:tc>
          <w:tcPr>
            <w:tcW w:w="3216" w:type="pct"/>
            <w:gridSpan w:val="2"/>
            <w:tcBorders>
              <w:top w:val="nil"/>
              <w:left w:val="nil"/>
              <w:bottom w:val="nil"/>
              <w:right w:val="nil"/>
            </w:tcBorders>
          </w:tcPr>
          <w:p w14:paraId="5221FD52" w14:textId="77777777" w:rsidR="00794AFD" w:rsidRPr="00655898" w:rsidRDefault="00794AFD" w:rsidP="00794AFD">
            <w:pPr>
              <w:ind w:left="-90"/>
              <w:rPr>
                <w:rFonts w:asciiTheme="minorHAnsi" w:hAnsiTheme="minorHAnsi"/>
                <w:sz w:val="20"/>
              </w:rPr>
            </w:pPr>
            <w:r w:rsidRPr="00655898">
              <w:rPr>
                <w:rFonts w:asciiTheme="minorHAnsi" w:hAnsiTheme="minorHAnsi"/>
                <w:sz w:val="20"/>
              </w:rPr>
              <w:t>Payment of contingent deferred consideration</w:t>
            </w:r>
          </w:p>
        </w:tc>
        <w:tc>
          <w:tcPr>
            <w:tcW w:w="371" w:type="pct"/>
            <w:tcBorders>
              <w:top w:val="nil"/>
              <w:left w:val="nil"/>
              <w:bottom w:val="nil"/>
              <w:right w:val="nil"/>
            </w:tcBorders>
          </w:tcPr>
          <w:p w14:paraId="7D000AC0" w14:textId="77777777" w:rsidR="00794AFD" w:rsidRPr="00655898" w:rsidRDefault="00794AFD" w:rsidP="00794AFD">
            <w:pPr>
              <w:jc w:val="center"/>
              <w:rPr>
                <w:rFonts w:asciiTheme="minorHAnsi" w:hAnsiTheme="minorHAnsi"/>
                <w:iCs/>
                <w:sz w:val="20"/>
              </w:rPr>
            </w:pPr>
            <w:r>
              <w:rPr>
                <w:rFonts w:asciiTheme="minorHAnsi" w:hAnsiTheme="minorHAnsi"/>
                <w:iCs/>
                <w:sz w:val="20"/>
              </w:rPr>
              <w:t>8</w:t>
            </w:r>
          </w:p>
        </w:tc>
        <w:tc>
          <w:tcPr>
            <w:tcW w:w="595" w:type="pct"/>
            <w:tcBorders>
              <w:top w:val="nil"/>
              <w:left w:val="nil"/>
              <w:bottom w:val="nil"/>
              <w:right w:val="nil"/>
            </w:tcBorders>
          </w:tcPr>
          <w:p w14:paraId="05A97166" w14:textId="77777777" w:rsidR="00794AFD" w:rsidRPr="000944E4" w:rsidRDefault="00794AFD" w:rsidP="00794AFD">
            <w:pPr>
              <w:jc w:val="right"/>
              <w:rPr>
                <w:rFonts w:asciiTheme="minorHAnsi" w:hAnsiTheme="minorHAnsi"/>
                <w:bCs/>
                <w:sz w:val="20"/>
              </w:rPr>
            </w:pPr>
            <w:r w:rsidRPr="000944E4">
              <w:rPr>
                <w:rFonts w:asciiTheme="minorHAnsi" w:hAnsiTheme="minorHAnsi"/>
                <w:b/>
                <w:bCs/>
                <w:sz w:val="20"/>
              </w:rPr>
              <w:t>(4.8)</w:t>
            </w:r>
          </w:p>
        </w:tc>
        <w:tc>
          <w:tcPr>
            <w:tcW w:w="817" w:type="pct"/>
            <w:tcBorders>
              <w:top w:val="nil"/>
              <w:left w:val="nil"/>
              <w:bottom w:val="nil"/>
              <w:right w:val="nil"/>
            </w:tcBorders>
          </w:tcPr>
          <w:p w14:paraId="506FFD17"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(6.1)</w:t>
            </w:r>
          </w:p>
        </w:tc>
      </w:tr>
      <w:tr w:rsidR="00794AFD" w:rsidRPr="00655898" w14:paraId="579D9ACA" w14:textId="77777777" w:rsidTr="00794AFD">
        <w:tc>
          <w:tcPr>
            <w:tcW w:w="3216" w:type="pct"/>
            <w:gridSpan w:val="2"/>
            <w:tcBorders>
              <w:top w:val="nil"/>
              <w:left w:val="nil"/>
              <w:right w:val="nil"/>
            </w:tcBorders>
          </w:tcPr>
          <w:p w14:paraId="77A4C6CD" w14:textId="77777777" w:rsidR="00794AFD" w:rsidRPr="00655898" w:rsidRDefault="00794AFD" w:rsidP="00794AFD">
            <w:pPr>
              <w:ind w:left="-90"/>
              <w:rPr>
                <w:rFonts w:asciiTheme="minorHAnsi" w:hAnsiTheme="minorHAnsi"/>
                <w:sz w:val="20"/>
              </w:rPr>
            </w:pPr>
            <w:r w:rsidRPr="00655898">
              <w:rPr>
                <w:rFonts w:asciiTheme="minorHAnsi" w:hAnsiTheme="minorHAnsi"/>
                <w:sz w:val="20"/>
              </w:rPr>
              <w:t>Proceeds from disposal of property, plant and equipment and intangible assets</w:t>
            </w:r>
          </w:p>
        </w:tc>
        <w:tc>
          <w:tcPr>
            <w:tcW w:w="371" w:type="pct"/>
            <w:tcBorders>
              <w:top w:val="nil"/>
              <w:left w:val="nil"/>
              <w:right w:val="nil"/>
            </w:tcBorders>
          </w:tcPr>
          <w:p w14:paraId="076BA9AD" w14:textId="77777777" w:rsidR="00794AFD" w:rsidRPr="00655898" w:rsidRDefault="00794AFD" w:rsidP="00794AFD">
            <w:pPr>
              <w:jc w:val="center"/>
              <w:rPr>
                <w:rFonts w:asciiTheme="minorHAnsi" w:hAnsiTheme="minorHAnsi"/>
                <w:iCs/>
                <w:sz w:val="20"/>
              </w:rPr>
            </w:pPr>
          </w:p>
        </w:tc>
        <w:tc>
          <w:tcPr>
            <w:tcW w:w="595" w:type="pct"/>
            <w:tcBorders>
              <w:top w:val="nil"/>
              <w:left w:val="nil"/>
              <w:right w:val="nil"/>
            </w:tcBorders>
          </w:tcPr>
          <w:p w14:paraId="4859076C" w14:textId="77777777" w:rsidR="00794AFD" w:rsidRPr="000944E4" w:rsidRDefault="00794AFD" w:rsidP="00794AFD">
            <w:pPr>
              <w:jc w:val="right"/>
              <w:rPr>
                <w:rFonts w:asciiTheme="minorHAnsi" w:hAnsiTheme="minorHAnsi"/>
                <w:b/>
                <w:bCs/>
                <w:sz w:val="20"/>
              </w:rPr>
            </w:pPr>
          </w:p>
          <w:p w14:paraId="1A7E8F35" w14:textId="77777777" w:rsidR="00794AFD" w:rsidRPr="000944E4" w:rsidRDefault="00794AFD" w:rsidP="00794AFD">
            <w:pPr>
              <w:jc w:val="right"/>
              <w:rPr>
                <w:rFonts w:asciiTheme="minorHAnsi" w:hAnsiTheme="minorHAnsi"/>
                <w:b/>
                <w:bCs/>
                <w:sz w:val="20"/>
              </w:rPr>
            </w:pPr>
            <w:r w:rsidRPr="000944E4">
              <w:rPr>
                <w:rFonts w:asciiTheme="minorHAnsi" w:hAnsiTheme="minorHAnsi"/>
                <w:b/>
                <w:bCs/>
                <w:sz w:val="20"/>
              </w:rPr>
              <w:t>-</w:t>
            </w:r>
          </w:p>
        </w:tc>
        <w:tc>
          <w:tcPr>
            <w:tcW w:w="817" w:type="pct"/>
            <w:tcBorders>
              <w:top w:val="nil"/>
              <w:left w:val="nil"/>
              <w:right w:val="nil"/>
            </w:tcBorders>
          </w:tcPr>
          <w:p w14:paraId="044896FC" w14:textId="77777777" w:rsidR="00794AFD" w:rsidRPr="003A5032" w:rsidRDefault="00794AFD" w:rsidP="00794AFD">
            <w:pPr>
              <w:jc w:val="right"/>
              <w:rPr>
                <w:rFonts w:asciiTheme="minorHAnsi" w:hAnsiTheme="minorHAnsi"/>
                <w:bCs/>
                <w:sz w:val="20"/>
              </w:rPr>
            </w:pPr>
          </w:p>
          <w:p w14:paraId="6FD4F3E5"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1.0</w:t>
            </w:r>
          </w:p>
        </w:tc>
      </w:tr>
      <w:tr w:rsidR="00794AFD" w:rsidRPr="00655898" w14:paraId="033E4AC2" w14:textId="77777777" w:rsidTr="00794AFD">
        <w:tc>
          <w:tcPr>
            <w:tcW w:w="3216" w:type="pct"/>
            <w:gridSpan w:val="2"/>
            <w:tcBorders>
              <w:left w:val="nil"/>
              <w:right w:val="nil"/>
            </w:tcBorders>
          </w:tcPr>
          <w:p w14:paraId="5448284D" w14:textId="77777777" w:rsidR="00794AFD" w:rsidRPr="00655898" w:rsidRDefault="00794AFD" w:rsidP="00794AFD">
            <w:pPr>
              <w:ind w:left="-90"/>
              <w:rPr>
                <w:rFonts w:asciiTheme="minorHAnsi" w:hAnsiTheme="minorHAnsi"/>
                <w:sz w:val="20"/>
              </w:rPr>
            </w:pPr>
            <w:r w:rsidRPr="00655898">
              <w:rPr>
                <w:rFonts w:asciiTheme="minorHAnsi" w:hAnsiTheme="minorHAnsi"/>
                <w:sz w:val="20"/>
              </w:rPr>
              <w:t>Interest received</w:t>
            </w:r>
          </w:p>
        </w:tc>
        <w:tc>
          <w:tcPr>
            <w:tcW w:w="371" w:type="pct"/>
            <w:tcBorders>
              <w:left w:val="nil"/>
              <w:right w:val="nil"/>
            </w:tcBorders>
          </w:tcPr>
          <w:p w14:paraId="6F3EE18B" w14:textId="77777777" w:rsidR="00794AFD" w:rsidRPr="00655898" w:rsidRDefault="00794AFD" w:rsidP="00794AFD">
            <w:pPr>
              <w:jc w:val="center"/>
              <w:rPr>
                <w:rFonts w:asciiTheme="minorHAnsi" w:hAnsiTheme="minorHAnsi"/>
                <w:iCs/>
                <w:sz w:val="20"/>
              </w:rPr>
            </w:pPr>
          </w:p>
        </w:tc>
        <w:tc>
          <w:tcPr>
            <w:tcW w:w="595" w:type="pct"/>
            <w:tcBorders>
              <w:left w:val="nil"/>
              <w:right w:val="nil"/>
            </w:tcBorders>
          </w:tcPr>
          <w:p w14:paraId="5A5F8DF3" w14:textId="77777777" w:rsidR="00794AFD" w:rsidRPr="000944E4" w:rsidRDefault="00794AFD" w:rsidP="00794AFD">
            <w:pPr>
              <w:jc w:val="right"/>
              <w:rPr>
                <w:rFonts w:asciiTheme="minorHAnsi" w:hAnsiTheme="minorHAnsi"/>
                <w:bCs/>
                <w:sz w:val="20"/>
              </w:rPr>
            </w:pPr>
            <w:r w:rsidRPr="000944E4">
              <w:rPr>
                <w:rFonts w:asciiTheme="minorHAnsi" w:hAnsiTheme="minorHAnsi"/>
                <w:b/>
                <w:bCs/>
                <w:sz w:val="20"/>
              </w:rPr>
              <w:t>0.9</w:t>
            </w:r>
          </w:p>
        </w:tc>
        <w:tc>
          <w:tcPr>
            <w:tcW w:w="817" w:type="pct"/>
            <w:tcBorders>
              <w:left w:val="nil"/>
              <w:right w:val="nil"/>
            </w:tcBorders>
          </w:tcPr>
          <w:p w14:paraId="1ED5983E"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1.7</w:t>
            </w:r>
          </w:p>
        </w:tc>
      </w:tr>
      <w:tr w:rsidR="00794AFD" w:rsidRPr="00655898" w14:paraId="48EF3313" w14:textId="77777777" w:rsidTr="00794AFD">
        <w:tc>
          <w:tcPr>
            <w:tcW w:w="3216" w:type="pct"/>
            <w:gridSpan w:val="2"/>
            <w:tcBorders>
              <w:top w:val="single" w:sz="4" w:space="0" w:color="auto"/>
              <w:left w:val="nil"/>
              <w:bottom w:val="single" w:sz="4" w:space="0" w:color="auto"/>
              <w:right w:val="nil"/>
            </w:tcBorders>
          </w:tcPr>
          <w:p w14:paraId="07C6ABDA" w14:textId="77777777" w:rsidR="00794AFD" w:rsidRPr="00655898" w:rsidRDefault="00794AFD" w:rsidP="00794AFD">
            <w:pPr>
              <w:ind w:left="-90"/>
              <w:rPr>
                <w:rFonts w:asciiTheme="minorHAnsi" w:hAnsiTheme="minorHAnsi"/>
                <w:b/>
                <w:bCs/>
                <w:sz w:val="20"/>
              </w:rPr>
            </w:pPr>
            <w:r w:rsidRPr="00655898">
              <w:rPr>
                <w:rFonts w:asciiTheme="minorHAnsi" w:hAnsiTheme="minorHAnsi"/>
                <w:b/>
                <w:bCs/>
                <w:sz w:val="20"/>
              </w:rPr>
              <w:t>Net cash used in investing activities</w:t>
            </w:r>
          </w:p>
        </w:tc>
        <w:tc>
          <w:tcPr>
            <w:tcW w:w="371" w:type="pct"/>
            <w:tcBorders>
              <w:top w:val="single" w:sz="4" w:space="0" w:color="auto"/>
              <w:left w:val="nil"/>
              <w:bottom w:val="single" w:sz="4" w:space="0" w:color="auto"/>
              <w:right w:val="nil"/>
            </w:tcBorders>
          </w:tcPr>
          <w:p w14:paraId="6BBB8696" w14:textId="77777777" w:rsidR="00794AFD" w:rsidRPr="00655898" w:rsidRDefault="00794AFD" w:rsidP="00794AFD">
            <w:pPr>
              <w:jc w:val="center"/>
              <w:rPr>
                <w:rFonts w:asciiTheme="minorHAnsi" w:hAnsiTheme="minorHAnsi"/>
                <w:iCs/>
                <w:sz w:val="20"/>
              </w:rPr>
            </w:pPr>
          </w:p>
        </w:tc>
        <w:tc>
          <w:tcPr>
            <w:tcW w:w="595" w:type="pct"/>
            <w:tcBorders>
              <w:top w:val="single" w:sz="4" w:space="0" w:color="auto"/>
              <w:left w:val="nil"/>
              <w:bottom w:val="single" w:sz="4" w:space="0" w:color="auto"/>
              <w:right w:val="nil"/>
            </w:tcBorders>
          </w:tcPr>
          <w:p w14:paraId="142728C3" w14:textId="77777777" w:rsidR="00794AFD" w:rsidRPr="000944E4" w:rsidRDefault="00794AFD" w:rsidP="00794AFD">
            <w:pPr>
              <w:jc w:val="right"/>
              <w:rPr>
                <w:rFonts w:asciiTheme="minorHAnsi" w:hAnsiTheme="minorHAnsi"/>
                <w:bCs/>
                <w:sz w:val="20"/>
              </w:rPr>
            </w:pPr>
            <w:r w:rsidRPr="000944E4">
              <w:rPr>
                <w:rFonts w:asciiTheme="minorHAnsi" w:hAnsiTheme="minorHAnsi"/>
                <w:b/>
                <w:bCs/>
                <w:sz w:val="20"/>
              </w:rPr>
              <w:t>(23</w:t>
            </w:r>
            <w:r>
              <w:rPr>
                <w:rFonts w:asciiTheme="minorHAnsi" w:hAnsiTheme="minorHAnsi"/>
                <w:b/>
                <w:bCs/>
                <w:sz w:val="20"/>
              </w:rPr>
              <w:t>4</w:t>
            </w:r>
            <w:r w:rsidRPr="000944E4">
              <w:rPr>
                <w:rFonts w:asciiTheme="minorHAnsi" w:hAnsiTheme="minorHAnsi"/>
                <w:b/>
                <w:bCs/>
                <w:sz w:val="20"/>
              </w:rPr>
              <w:t>.</w:t>
            </w:r>
            <w:r>
              <w:rPr>
                <w:rFonts w:asciiTheme="minorHAnsi" w:hAnsiTheme="minorHAnsi"/>
                <w:b/>
                <w:bCs/>
                <w:sz w:val="20"/>
              </w:rPr>
              <w:t>2</w:t>
            </w:r>
            <w:r w:rsidRPr="000944E4">
              <w:rPr>
                <w:rFonts w:asciiTheme="minorHAnsi" w:hAnsiTheme="minorHAnsi"/>
                <w:b/>
                <w:bCs/>
                <w:sz w:val="20"/>
              </w:rPr>
              <w:t>)</w:t>
            </w:r>
          </w:p>
        </w:tc>
        <w:tc>
          <w:tcPr>
            <w:tcW w:w="817" w:type="pct"/>
            <w:tcBorders>
              <w:top w:val="single" w:sz="4" w:space="0" w:color="auto"/>
              <w:left w:val="nil"/>
              <w:bottom w:val="single" w:sz="4" w:space="0" w:color="auto"/>
              <w:right w:val="nil"/>
            </w:tcBorders>
          </w:tcPr>
          <w:p w14:paraId="3D538A58"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(74.3)</w:t>
            </w:r>
          </w:p>
        </w:tc>
      </w:tr>
      <w:tr w:rsidR="00794AFD" w:rsidRPr="00655898" w14:paraId="3288F67D" w14:textId="77777777" w:rsidTr="00794AFD">
        <w:trPr>
          <w:gridAfter w:val="2"/>
          <w:wAfter w:w="1412" w:type="pct"/>
          <w:trHeight w:val="100"/>
        </w:trPr>
        <w:tc>
          <w:tcPr>
            <w:tcW w:w="582" w:type="pct"/>
            <w:tcBorders>
              <w:top w:val="single" w:sz="4" w:space="0" w:color="auto"/>
              <w:left w:val="nil"/>
              <w:bottom w:val="nil"/>
              <w:right w:val="nil"/>
            </w:tcBorders>
          </w:tcPr>
          <w:p w14:paraId="1B874954" w14:textId="77777777" w:rsidR="00794AFD" w:rsidRPr="00655898" w:rsidRDefault="00794AFD" w:rsidP="00794AFD">
            <w:pPr>
              <w:jc w:val="right"/>
              <w:rPr>
                <w:rFonts w:asciiTheme="minorHAnsi" w:hAnsiTheme="minorHAnsi"/>
                <w:bCs/>
                <w:sz w:val="20"/>
              </w:rPr>
            </w:pPr>
          </w:p>
        </w:tc>
        <w:tc>
          <w:tcPr>
            <w:tcW w:w="2634" w:type="pct"/>
            <w:tcBorders>
              <w:top w:val="single" w:sz="4" w:space="0" w:color="auto"/>
              <w:left w:val="nil"/>
              <w:bottom w:val="nil"/>
              <w:right w:val="nil"/>
            </w:tcBorders>
          </w:tcPr>
          <w:p w14:paraId="3014E4CC" w14:textId="77777777" w:rsidR="00794AFD" w:rsidRPr="00655898" w:rsidRDefault="00794AFD" w:rsidP="00794AFD">
            <w:pPr>
              <w:jc w:val="right"/>
              <w:rPr>
                <w:rFonts w:asciiTheme="minorHAnsi" w:hAnsiTheme="minorHAnsi"/>
                <w:bCs/>
                <w:sz w:val="20"/>
              </w:rPr>
            </w:pPr>
          </w:p>
        </w:tc>
        <w:tc>
          <w:tcPr>
            <w:tcW w:w="371" w:type="pct"/>
            <w:tcBorders>
              <w:top w:val="single" w:sz="4" w:space="0" w:color="auto"/>
              <w:left w:val="nil"/>
              <w:bottom w:val="nil"/>
              <w:right w:val="nil"/>
            </w:tcBorders>
          </w:tcPr>
          <w:p w14:paraId="2C9A3250" w14:textId="77777777" w:rsidR="00794AFD" w:rsidRPr="00655898" w:rsidRDefault="00794AFD" w:rsidP="00794AFD">
            <w:pPr>
              <w:jc w:val="right"/>
              <w:rPr>
                <w:rFonts w:asciiTheme="minorHAnsi" w:hAnsiTheme="minorHAnsi"/>
                <w:bCs/>
                <w:sz w:val="20"/>
              </w:rPr>
            </w:pPr>
          </w:p>
        </w:tc>
      </w:tr>
      <w:tr w:rsidR="00794AFD" w:rsidRPr="00655898" w14:paraId="3759FABD" w14:textId="77777777" w:rsidTr="00794AFD">
        <w:tc>
          <w:tcPr>
            <w:tcW w:w="3216" w:type="pct"/>
            <w:gridSpan w:val="2"/>
            <w:tcBorders>
              <w:top w:val="nil"/>
              <w:left w:val="nil"/>
              <w:bottom w:val="nil"/>
              <w:right w:val="nil"/>
            </w:tcBorders>
          </w:tcPr>
          <w:p w14:paraId="4B64E191" w14:textId="77777777" w:rsidR="00794AFD" w:rsidRPr="00655898" w:rsidRDefault="00794AFD" w:rsidP="00794AFD">
            <w:pPr>
              <w:ind w:left="-90"/>
              <w:rPr>
                <w:rFonts w:asciiTheme="minorHAnsi" w:hAnsiTheme="minorHAnsi"/>
                <w:sz w:val="20"/>
              </w:rPr>
            </w:pPr>
            <w:r w:rsidRPr="00655898">
              <w:rPr>
                <w:rFonts w:asciiTheme="minorHAnsi" w:hAnsiTheme="minorHAnsi"/>
                <w:sz w:val="20"/>
              </w:rPr>
              <w:t xml:space="preserve">Proceeds from the issue of new shares </w:t>
            </w:r>
          </w:p>
        </w:tc>
        <w:tc>
          <w:tcPr>
            <w:tcW w:w="371" w:type="pct"/>
            <w:tcBorders>
              <w:top w:val="nil"/>
              <w:left w:val="nil"/>
              <w:bottom w:val="nil"/>
              <w:right w:val="nil"/>
            </w:tcBorders>
          </w:tcPr>
          <w:p w14:paraId="782E4E71" w14:textId="77777777" w:rsidR="00794AFD" w:rsidRPr="00655898" w:rsidRDefault="00794AFD" w:rsidP="00794AFD">
            <w:pPr>
              <w:jc w:val="center"/>
              <w:rPr>
                <w:rFonts w:asciiTheme="minorHAnsi" w:hAnsiTheme="minorHAnsi"/>
                <w:iCs/>
                <w:sz w:val="20"/>
              </w:rPr>
            </w:pPr>
          </w:p>
        </w:tc>
        <w:tc>
          <w:tcPr>
            <w:tcW w:w="595" w:type="pct"/>
            <w:tcBorders>
              <w:top w:val="nil"/>
              <w:left w:val="nil"/>
              <w:bottom w:val="nil"/>
              <w:right w:val="nil"/>
            </w:tcBorders>
            <w:shd w:val="clear" w:color="auto" w:fill="auto"/>
          </w:tcPr>
          <w:p w14:paraId="23842BEE" w14:textId="77777777" w:rsidR="00794AFD" w:rsidRPr="00655898" w:rsidRDefault="00794AFD" w:rsidP="00794AFD">
            <w:pPr>
              <w:jc w:val="right"/>
              <w:rPr>
                <w:rFonts w:asciiTheme="minorHAnsi" w:hAnsiTheme="minorHAnsi"/>
                <w:bCs/>
                <w:sz w:val="20"/>
              </w:rPr>
            </w:pPr>
            <w:r w:rsidRPr="00655898">
              <w:rPr>
                <w:rFonts w:asciiTheme="minorHAnsi" w:hAnsiTheme="minorHAnsi"/>
                <w:b/>
                <w:bCs/>
                <w:sz w:val="20"/>
              </w:rPr>
              <w:t>3.6</w:t>
            </w:r>
          </w:p>
        </w:tc>
        <w:tc>
          <w:tcPr>
            <w:tcW w:w="817" w:type="pct"/>
            <w:tcBorders>
              <w:top w:val="nil"/>
              <w:left w:val="nil"/>
              <w:bottom w:val="nil"/>
              <w:right w:val="nil"/>
            </w:tcBorders>
            <w:shd w:val="clear" w:color="auto" w:fill="auto"/>
          </w:tcPr>
          <w:p w14:paraId="20960C13"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2.3</w:t>
            </w:r>
          </w:p>
        </w:tc>
      </w:tr>
      <w:tr w:rsidR="00794AFD" w:rsidRPr="00655898" w14:paraId="7F0E3AC0" w14:textId="77777777" w:rsidTr="00794AFD">
        <w:tc>
          <w:tcPr>
            <w:tcW w:w="3216" w:type="pct"/>
            <w:gridSpan w:val="2"/>
            <w:tcBorders>
              <w:top w:val="nil"/>
              <w:left w:val="nil"/>
              <w:bottom w:val="nil"/>
              <w:right w:val="nil"/>
            </w:tcBorders>
          </w:tcPr>
          <w:p w14:paraId="11F4E33A" w14:textId="77777777" w:rsidR="00794AFD" w:rsidRPr="00655898" w:rsidRDefault="00794AFD" w:rsidP="00794AFD">
            <w:pPr>
              <w:ind w:left="-90"/>
              <w:rPr>
                <w:rFonts w:asciiTheme="minorHAnsi" w:hAnsiTheme="minorHAnsi"/>
                <w:sz w:val="20"/>
              </w:rPr>
            </w:pPr>
            <w:r w:rsidRPr="00655898">
              <w:rPr>
                <w:rFonts w:asciiTheme="minorHAnsi" w:hAnsiTheme="minorHAnsi"/>
                <w:sz w:val="20"/>
              </w:rPr>
              <w:t>Proceeds from the issue of shares to Non-controlling interest</w:t>
            </w:r>
          </w:p>
        </w:tc>
        <w:tc>
          <w:tcPr>
            <w:tcW w:w="371" w:type="pct"/>
            <w:tcBorders>
              <w:top w:val="nil"/>
              <w:left w:val="nil"/>
              <w:bottom w:val="nil"/>
              <w:right w:val="nil"/>
            </w:tcBorders>
          </w:tcPr>
          <w:p w14:paraId="7ABDF53E" w14:textId="77777777" w:rsidR="00794AFD" w:rsidRPr="00655898" w:rsidRDefault="00794AFD" w:rsidP="00794AFD">
            <w:pPr>
              <w:jc w:val="center"/>
              <w:rPr>
                <w:rFonts w:asciiTheme="minorHAnsi" w:hAnsiTheme="minorHAnsi"/>
                <w:iCs/>
                <w:sz w:val="20"/>
              </w:rPr>
            </w:pPr>
          </w:p>
        </w:tc>
        <w:tc>
          <w:tcPr>
            <w:tcW w:w="595" w:type="pct"/>
            <w:tcBorders>
              <w:top w:val="nil"/>
              <w:left w:val="nil"/>
              <w:bottom w:val="nil"/>
              <w:right w:val="nil"/>
            </w:tcBorders>
            <w:shd w:val="clear" w:color="auto" w:fill="auto"/>
          </w:tcPr>
          <w:p w14:paraId="64764F2C" w14:textId="77777777" w:rsidR="00794AFD" w:rsidRPr="00655898" w:rsidRDefault="00794AFD" w:rsidP="00794AFD">
            <w:pPr>
              <w:jc w:val="right"/>
              <w:rPr>
                <w:rFonts w:asciiTheme="minorHAnsi" w:hAnsiTheme="minorHAnsi"/>
                <w:b/>
                <w:bCs/>
                <w:sz w:val="20"/>
              </w:rPr>
            </w:pPr>
            <w:r w:rsidRPr="00655898">
              <w:rPr>
                <w:rFonts w:asciiTheme="minorHAnsi" w:hAnsiTheme="minorHAnsi"/>
                <w:b/>
                <w:bCs/>
                <w:sz w:val="20"/>
              </w:rPr>
              <w:t>-</w:t>
            </w:r>
          </w:p>
        </w:tc>
        <w:tc>
          <w:tcPr>
            <w:tcW w:w="817" w:type="pct"/>
            <w:tcBorders>
              <w:top w:val="nil"/>
              <w:left w:val="nil"/>
              <w:bottom w:val="nil"/>
              <w:right w:val="nil"/>
            </w:tcBorders>
            <w:shd w:val="clear" w:color="auto" w:fill="auto"/>
          </w:tcPr>
          <w:p w14:paraId="29C82A5F"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7.5</w:t>
            </w:r>
          </w:p>
        </w:tc>
      </w:tr>
      <w:tr w:rsidR="00794AFD" w:rsidRPr="00655898" w14:paraId="3B34EC8F" w14:textId="77777777" w:rsidTr="00794AFD">
        <w:tc>
          <w:tcPr>
            <w:tcW w:w="3216" w:type="pct"/>
            <w:gridSpan w:val="2"/>
            <w:tcBorders>
              <w:top w:val="nil"/>
              <w:left w:val="nil"/>
              <w:right w:val="nil"/>
            </w:tcBorders>
          </w:tcPr>
          <w:p w14:paraId="5FF0D973" w14:textId="77777777" w:rsidR="00794AFD" w:rsidRPr="00655898" w:rsidRDefault="00794AFD" w:rsidP="00794AFD">
            <w:pPr>
              <w:ind w:left="-90"/>
              <w:rPr>
                <w:rFonts w:asciiTheme="minorHAnsi" w:hAnsiTheme="minorHAnsi"/>
                <w:sz w:val="20"/>
              </w:rPr>
            </w:pPr>
            <w:r w:rsidRPr="00655898">
              <w:rPr>
                <w:rFonts w:asciiTheme="minorHAnsi" w:hAnsiTheme="minorHAnsi"/>
                <w:sz w:val="20"/>
              </w:rPr>
              <w:t>Dividends paid</w:t>
            </w:r>
          </w:p>
        </w:tc>
        <w:tc>
          <w:tcPr>
            <w:tcW w:w="371" w:type="pct"/>
            <w:tcBorders>
              <w:top w:val="nil"/>
              <w:left w:val="nil"/>
              <w:right w:val="nil"/>
            </w:tcBorders>
          </w:tcPr>
          <w:p w14:paraId="35D2FACD" w14:textId="77777777" w:rsidR="00794AFD" w:rsidRPr="00655898" w:rsidRDefault="00794AFD" w:rsidP="00794AFD">
            <w:pPr>
              <w:jc w:val="center"/>
              <w:rPr>
                <w:rFonts w:asciiTheme="minorHAnsi" w:hAnsiTheme="minorHAnsi"/>
                <w:iCs/>
                <w:sz w:val="20"/>
              </w:rPr>
            </w:pPr>
            <w:r>
              <w:rPr>
                <w:rFonts w:asciiTheme="minorHAnsi" w:hAnsiTheme="minorHAnsi"/>
                <w:iCs/>
                <w:sz w:val="20"/>
              </w:rPr>
              <w:t>12</w:t>
            </w:r>
          </w:p>
        </w:tc>
        <w:tc>
          <w:tcPr>
            <w:tcW w:w="595" w:type="pct"/>
            <w:tcBorders>
              <w:top w:val="nil"/>
              <w:left w:val="nil"/>
              <w:right w:val="nil"/>
            </w:tcBorders>
            <w:shd w:val="clear" w:color="auto" w:fill="auto"/>
          </w:tcPr>
          <w:p w14:paraId="79EC6522" w14:textId="77777777" w:rsidR="00794AFD" w:rsidRPr="000944E4" w:rsidRDefault="00794AFD" w:rsidP="00794AFD">
            <w:pPr>
              <w:jc w:val="right"/>
              <w:rPr>
                <w:rFonts w:asciiTheme="minorHAnsi" w:hAnsiTheme="minorHAnsi"/>
                <w:bCs/>
                <w:sz w:val="20"/>
              </w:rPr>
            </w:pPr>
            <w:r w:rsidRPr="00655898">
              <w:rPr>
                <w:rFonts w:asciiTheme="minorHAnsi" w:hAnsiTheme="minorHAnsi"/>
                <w:b/>
                <w:bCs/>
                <w:sz w:val="20"/>
              </w:rPr>
              <w:t>(156.2)</w:t>
            </w:r>
          </w:p>
        </w:tc>
        <w:tc>
          <w:tcPr>
            <w:tcW w:w="817" w:type="pct"/>
            <w:tcBorders>
              <w:top w:val="nil"/>
              <w:left w:val="nil"/>
              <w:right w:val="nil"/>
            </w:tcBorders>
            <w:shd w:val="clear" w:color="auto" w:fill="auto"/>
          </w:tcPr>
          <w:p w14:paraId="7CF0C14F"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(169.0)</w:t>
            </w:r>
          </w:p>
        </w:tc>
      </w:tr>
      <w:tr w:rsidR="00794AFD" w:rsidRPr="00655898" w14:paraId="4DFCA066" w14:textId="77777777" w:rsidTr="00794AFD">
        <w:tc>
          <w:tcPr>
            <w:tcW w:w="3216" w:type="pct"/>
            <w:gridSpan w:val="2"/>
            <w:tcBorders>
              <w:top w:val="nil"/>
              <w:left w:val="nil"/>
              <w:right w:val="nil"/>
            </w:tcBorders>
          </w:tcPr>
          <w:p w14:paraId="78640356" w14:textId="77777777" w:rsidR="00794AFD" w:rsidRPr="00655898" w:rsidRDefault="00794AFD" w:rsidP="00794AFD">
            <w:pPr>
              <w:ind w:left="-90"/>
              <w:rPr>
                <w:rFonts w:asciiTheme="minorHAnsi" w:hAnsiTheme="minorHAnsi"/>
                <w:sz w:val="20"/>
              </w:rPr>
            </w:pPr>
            <w:r w:rsidRPr="00655898">
              <w:rPr>
                <w:rFonts w:asciiTheme="minorHAnsi" w:hAnsiTheme="minorHAnsi"/>
                <w:sz w:val="20"/>
              </w:rPr>
              <w:t>Payment of lease liabilities</w:t>
            </w:r>
          </w:p>
        </w:tc>
        <w:tc>
          <w:tcPr>
            <w:tcW w:w="371" w:type="pct"/>
            <w:tcBorders>
              <w:top w:val="nil"/>
              <w:left w:val="nil"/>
              <w:right w:val="nil"/>
            </w:tcBorders>
          </w:tcPr>
          <w:p w14:paraId="2FE0EED5" w14:textId="77777777" w:rsidR="00794AFD" w:rsidRPr="00655898" w:rsidRDefault="00794AFD" w:rsidP="00794AFD">
            <w:pPr>
              <w:jc w:val="center"/>
              <w:rPr>
                <w:rFonts w:asciiTheme="minorHAnsi" w:hAnsiTheme="minorHAnsi"/>
                <w:iCs/>
                <w:sz w:val="20"/>
              </w:rPr>
            </w:pPr>
            <w:r>
              <w:rPr>
                <w:rFonts w:asciiTheme="minorHAnsi" w:hAnsiTheme="minorHAnsi"/>
                <w:iCs/>
                <w:sz w:val="20"/>
              </w:rPr>
              <w:t>14</w:t>
            </w:r>
          </w:p>
        </w:tc>
        <w:tc>
          <w:tcPr>
            <w:tcW w:w="595" w:type="pct"/>
            <w:tcBorders>
              <w:top w:val="nil"/>
              <w:left w:val="nil"/>
              <w:right w:val="nil"/>
            </w:tcBorders>
            <w:shd w:val="clear" w:color="auto" w:fill="auto"/>
          </w:tcPr>
          <w:p w14:paraId="63372D21" w14:textId="77777777" w:rsidR="00794AFD" w:rsidRPr="000944E4" w:rsidRDefault="00794AFD" w:rsidP="00794AFD">
            <w:pPr>
              <w:jc w:val="right"/>
              <w:rPr>
                <w:rFonts w:asciiTheme="minorHAnsi" w:hAnsiTheme="minorHAnsi"/>
                <w:b/>
                <w:bCs/>
                <w:sz w:val="20"/>
              </w:rPr>
            </w:pPr>
            <w:r w:rsidRPr="000944E4">
              <w:rPr>
                <w:rFonts w:asciiTheme="minorHAnsi" w:hAnsiTheme="minorHAnsi"/>
                <w:b/>
                <w:bCs/>
                <w:sz w:val="20"/>
              </w:rPr>
              <w:t>(41.4)</w:t>
            </w:r>
          </w:p>
        </w:tc>
        <w:tc>
          <w:tcPr>
            <w:tcW w:w="817" w:type="pct"/>
            <w:tcBorders>
              <w:top w:val="nil"/>
              <w:left w:val="nil"/>
              <w:right w:val="nil"/>
            </w:tcBorders>
            <w:shd w:val="clear" w:color="auto" w:fill="auto"/>
          </w:tcPr>
          <w:p w14:paraId="56CB3D54"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w:t>
            </w:r>
          </w:p>
        </w:tc>
      </w:tr>
      <w:tr w:rsidR="00794AFD" w:rsidRPr="00655898" w14:paraId="6B81BD58" w14:textId="77777777" w:rsidTr="00794AFD">
        <w:tc>
          <w:tcPr>
            <w:tcW w:w="3216" w:type="pct"/>
            <w:gridSpan w:val="2"/>
            <w:tcBorders>
              <w:top w:val="nil"/>
              <w:left w:val="nil"/>
              <w:right w:val="nil"/>
            </w:tcBorders>
          </w:tcPr>
          <w:p w14:paraId="6FA23D92" w14:textId="77777777" w:rsidR="00794AFD" w:rsidRPr="00655898" w:rsidRDefault="00794AFD" w:rsidP="00794AFD">
            <w:pPr>
              <w:ind w:left="-90"/>
              <w:rPr>
                <w:rFonts w:asciiTheme="minorHAnsi" w:hAnsiTheme="minorHAnsi"/>
                <w:sz w:val="20"/>
              </w:rPr>
            </w:pPr>
            <w:r w:rsidRPr="00655898">
              <w:rPr>
                <w:rFonts w:asciiTheme="minorHAnsi" w:hAnsiTheme="minorHAnsi"/>
                <w:sz w:val="20"/>
              </w:rPr>
              <w:t>Net amounts drawn down on borrowing facilities</w:t>
            </w:r>
          </w:p>
        </w:tc>
        <w:tc>
          <w:tcPr>
            <w:tcW w:w="371" w:type="pct"/>
            <w:tcBorders>
              <w:top w:val="nil"/>
              <w:left w:val="nil"/>
              <w:right w:val="nil"/>
            </w:tcBorders>
          </w:tcPr>
          <w:p w14:paraId="3E21060C" w14:textId="77777777" w:rsidR="00794AFD" w:rsidRPr="00655898" w:rsidRDefault="00794AFD" w:rsidP="00794AFD">
            <w:pPr>
              <w:jc w:val="center"/>
              <w:rPr>
                <w:rFonts w:asciiTheme="minorHAnsi" w:hAnsiTheme="minorHAnsi"/>
                <w:iCs/>
                <w:sz w:val="20"/>
              </w:rPr>
            </w:pPr>
            <w:r>
              <w:rPr>
                <w:rFonts w:asciiTheme="minorHAnsi" w:hAnsiTheme="minorHAnsi"/>
                <w:iCs/>
                <w:sz w:val="20"/>
              </w:rPr>
              <w:t>14</w:t>
            </w:r>
          </w:p>
        </w:tc>
        <w:tc>
          <w:tcPr>
            <w:tcW w:w="595" w:type="pct"/>
            <w:tcBorders>
              <w:top w:val="nil"/>
              <w:left w:val="nil"/>
              <w:right w:val="nil"/>
            </w:tcBorders>
            <w:shd w:val="clear" w:color="auto" w:fill="auto"/>
          </w:tcPr>
          <w:p w14:paraId="13F1C584" w14:textId="77777777" w:rsidR="00794AFD" w:rsidRPr="000944E4" w:rsidRDefault="00794AFD" w:rsidP="00794AFD">
            <w:pPr>
              <w:jc w:val="right"/>
              <w:rPr>
                <w:rFonts w:asciiTheme="minorHAnsi" w:hAnsiTheme="minorHAnsi"/>
                <w:b/>
                <w:bCs/>
                <w:sz w:val="20"/>
              </w:rPr>
            </w:pPr>
            <w:r w:rsidRPr="000944E4">
              <w:rPr>
                <w:rFonts w:asciiTheme="minorHAnsi" w:hAnsiTheme="minorHAnsi"/>
                <w:b/>
                <w:bCs/>
                <w:sz w:val="20"/>
              </w:rPr>
              <w:t>82.8</w:t>
            </w:r>
          </w:p>
        </w:tc>
        <w:tc>
          <w:tcPr>
            <w:tcW w:w="817" w:type="pct"/>
            <w:tcBorders>
              <w:top w:val="nil"/>
              <w:left w:val="nil"/>
              <w:right w:val="nil"/>
            </w:tcBorders>
            <w:shd w:val="clear" w:color="auto" w:fill="auto"/>
          </w:tcPr>
          <w:p w14:paraId="3D33138C"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223.1</w:t>
            </w:r>
          </w:p>
        </w:tc>
      </w:tr>
      <w:tr w:rsidR="00794AFD" w:rsidRPr="00655898" w14:paraId="5808578D" w14:textId="77777777" w:rsidTr="00794AFD">
        <w:tc>
          <w:tcPr>
            <w:tcW w:w="3216" w:type="pct"/>
            <w:gridSpan w:val="2"/>
            <w:tcBorders>
              <w:left w:val="nil"/>
              <w:right w:val="nil"/>
            </w:tcBorders>
          </w:tcPr>
          <w:p w14:paraId="6B49D0DA" w14:textId="77777777" w:rsidR="00794AFD" w:rsidRPr="00655898" w:rsidRDefault="00794AFD" w:rsidP="00794AFD">
            <w:pPr>
              <w:ind w:left="-90"/>
              <w:rPr>
                <w:rFonts w:asciiTheme="minorHAnsi" w:hAnsiTheme="minorHAnsi"/>
                <w:sz w:val="20"/>
              </w:rPr>
            </w:pPr>
            <w:r w:rsidRPr="00655898">
              <w:rPr>
                <w:rFonts w:asciiTheme="minorHAnsi" w:hAnsiTheme="minorHAnsi"/>
                <w:sz w:val="20"/>
              </w:rPr>
              <w:t>Repayment of FanDuel debt and debt like items</w:t>
            </w:r>
          </w:p>
        </w:tc>
        <w:tc>
          <w:tcPr>
            <w:tcW w:w="371" w:type="pct"/>
            <w:tcBorders>
              <w:left w:val="nil"/>
              <w:right w:val="nil"/>
            </w:tcBorders>
          </w:tcPr>
          <w:p w14:paraId="09DE2D04" w14:textId="77777777" w:rsidR="00794AFD" w:rsidRPr="00655898" w:rsidRDefault="00794AFD" w:rsidP="00794AFD">
            <w:pPr>
              <w:jc w:val="center"/>
              <w:rPr>
                <w:rFonts w:asciiTheme="minorHAnsi" w:hAnsiTheme="minorHAnsi"/>
                <w:iCs/>
                <w:sz w:val="20"/>
              </w:rPr>
            </w:pPr>
            <w:r>
              <w:rPr>
                <w:rFonts w:asciiTheme="minorHAnsi" w:hAnsiTheme="minorHAnsi"/>
                <w:iCs/>
                <w:sz w:val="20"/>
              </w:rPr>
              <w:t>8</w:t>
            </w:r>
          </w:p>
        </w:tc>
        <w:tc>
          <w:tcPr>
            <w:tcW w:w="595" w:type="pct"/>
            <w:tcBorders>
              <w:left w:val="nil"/>
              <w:right w:val="nil"/>
            </w:tcBorders>
            <w:shd w:val="clear" w:color="auto" w:fill="auto"/>
          </w:tcPr>
          <w:p w14:paraId="2B71A2A2" w14:textId="77777777" w:rsidR="00794AFD" w:rsidRPr="000944E4" w:rsidRDefault="00794AFD" w:rsidP="00794AFD">
            <w:pPr>
              <w:jc w:val="right"/>
              <w:rPr>
                <w:rFonts w:asciiTheme="minorHAnsi" w:hAnsiTheme="minorHAnsi"/>
                <w:b/>
                <w:bCs/>
                <w:sz w:val="20"/>
              </w:rPr>
            </w:pPr>
            <w:r w:rsidRPr="00655898">
              <w:rPr>
                <w:rFonts w:asciiTheme="minorHAnsi" w:hAnsiTheme="minorHAnsi"/>
                <w:b/>
                <w:bCs/>
                <w:sz w:val="20"/>
              </w:rPr>
              <w:t>-</w:t>
            </w:r>
          </w:p>
        </w:tc>
        <w:tc>
          <w:tcPr>
            <w:tcW w:w="817" w:type="pct"/>
            <w:tcBorders>
              <w:left w:val="nil"/>
              <w:right w:val="nil"/>
            </w:tcBorders>
            <w:shd w:val="clear" w:color="auto" w:fill="auto"/>
          </w:tcPr>
          <w:p w14:paraId="4178F2D3"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(79.9)</w:t>
            </w:r>
          </w:p>
        </w:tc>
      </w:tr>
      <w:tr w:rsidR="00794AFD" w:rsidRPr="00655898" w14:paraId="2AC58350" w14:textId="77777777" w:rsidTr="00794AFD">
        <w:tc>
          <w:tcPr>
            <w:tcW w:w="3216" w:type="pct"/>
            <w:gridSpan w:val="2"/>
            <w:tcBorders>
              <w:left w:val="nil"/>
              <w:right w:val="nil"/>
            </w:tcBorders>
          </w:tcPr>
          <w:p w14:paraId="5313A053" w14:textId="77777777" w:rsidR="00794AFD" w:rsidRPr="00655898" w:rsidRDefault="00794AFD" w:rsidP="00794AFD">
            <w:pPr>
              <w:ind w:left="-90"/>
              <w:rPr>
                <w:rFonts w:asciiTheme="minorHAnsi" w:hAnsiTheme="minorHAnsi"/>
                <w:sz w:val="20"/>
              </w:rPr>
            </w:pPr>
            <w:r w:rsidRPr="00655898">
              <w:rPr>
                <w:rFonts w:asciiTheme="minorHAnsi" w:hAnsiTheme="minorHAnsi"/>
                <w:sz w:val="20"/>
              </w:rPr>
              <w:t>Interest paid</w:t>
            </w:r>
          </w:p>
        </w:tc>
        <w:tc>
          <w:tcPr>
            <w:tcW w:w="371" w:type="pct"/>
            <w:tcBorders>
              <w:left w:val="nil"/>
              <w:right w:val="nil"/>
            </w:tcBorders>
          </w:tcPr>
          <w:p w14:paraId="32FA83C5" w14:textId="77777777" w:rsidR="00794AFD" w:rsidRPr="00655898" w:rsidRDefault="00794AFD" w:rsidP="00794AFD">
            <w:pPr>
              <w:jc w:val="center"/>
              <w:rPr>
                <w:rFonts w:asciiTheme="minorHAnsi" w:hAnsiTheme="minorHAnsi"/>
                <w:iCs/>
                <w:sz w:val="20"/>
              </w:rPr>
            </w:pPr>
            <w:r>
              <w:rPr>
                <w:rFonts w:asciiTheme="minorHAnsi" w:hAnsiTheme="minorHAnsi"/>
                <w:iCs/>
                <w:sz w:val="20"/>
              </w:rPr>
              <w:t>14</w:t>
            </w:r>
          </w:p>
        </w:tc>
        <w:tc>
          <w:tcPr>
            <w:tcW w:w="595" w:type="pct"/>
            <w:tcBorders>
              <w:left w:val="nil"/>
              <w:right w:val="nil"/>
            </w:tcBorders>
            <w:shd w:val="clear" w:color="auto" w:fill="auto"/>
          </w:tcPr>
          <w:p w14:paraId="4F9DDA75" w14:textId="77777777" w:rsidR="00794AFD" w:rsidRPr="000944E4" w:rsidRDefault="00794AFD" w:rsidP="00794AFD">
            <w:pPr>
              <w:jc w:val="right"/>
              <w:rPr>
                <w:rFonts w:asciiTheme="minorHAnsi" w:hAnsiTheme="minorHAnsi"/>
                <w:bCs/>
                <w:sz w:val="20"/>
              </w:rPr>
            </w:pPr>
            <w:r w:rsidRPr="000944E4">
              <w:rPr>
                <w:rFonts w:asciiTheme="minorHAnsi" w:hAnsiTheme="minorHAnsi"/>
                <w:b/>
                <w:bCs/>
                <w:sz w:val="20"/>
              </w:rPr>
              <w:t>(7.1)</w:t>
            </w:r>
          </w:p>
        </w:tc>
        <w:tc>
          <w:tcPr>
            <w:tcW w:w="817" w:type="pct"/>
            <w:tcBorders>
              <w:left w:val="nil"/>
              <w:right w:val="nil"/>
            </w:tcBorders>
            <w:shd w:val="clear" w:color="auto" w:fill="auto"/>
          </w:tcPr>
          <w:p w14:paraId="75D295B0"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(3.1)</w:t>
            </w:r>
          </w:p>
        </w:tc>
      </w:tr>
      <w:tr w:rsidR="00794AFD" w:rsidRPr="00655898" w14:paraId="7BA55B8C" w14:textId="77777777" w:rsidTr="00794AFD">
        <w:tc>
          <w:tcPr>
            <w:tcW w:w="3216" w:type="pct"/>
            <w:gridSpan w:val="2"/>
            <w:tcBorders>
              <w:top w:val="nil"/>
              <w:left w:val="nil"/>
              <w:right w:val="nil"/>
            </w:tcBorders>
          </w:tcPr>
          <w:p w14:paraId="764B6FFF" w14:textId="77777777" w:rsidR="00794AFD" w:rsidRPr="00655898" w:rsidRDefault="00794AFD" w:rsidP="00794AFD">
            <w:pPr>
              <w:ind w:left="-90"/>
              <w:rPr>
                <w:rFonts w:asciiTheme="minorHAnsi" w:hAnsiTheme="minorHAnsi"/>
                <w:sz w:val="20"/>
              </w:rPr>
            </w:pPr>
            <w:r w:rsidRPr="00655898">
              <w:rPr>
                <w:rFonts w:asciiTheme="minorHAnsi" w:hAnsiTheme="minorHAnsi"/>
                <w:sz w:val="20"/>
              </w:rPr>
              <w:t>Fees in respect of borrowing facility</w:t>
            </w:r>
          </w:p>
        </w:tc>
        <w:tc>
          <w:tcPr>
            <w:tcW w:w="371" w:type="pct"/>
            <w:tcBorders>
              <w:top w:val="nil"/>
              <w:left w:val="nil"/>
              <w:right w:val="nil"/>
            </w:tcBorders>
          </w:tcPr>
          <w:p w14:paraId="471484F8" w14:textId="77777777" w:rsidR="00794AFD" w:rsidRPr="00655898" w:rsidRDefault="00794AFD" w:rsidP="00794AFD">
            <w:pPr>
              <w:jc w:val="center"/>
              <w:rPr>
                <w:rFonts w:asciiTheme="minorHAnsi" w:hAnsiTheme="minorHAnsi"/>
                <w:iCs/>
                <w:sz w:val="20"/>
              </w:rPr>
            </w:pPr>
            <w:r>
              <w:rPr>
                <w:rFonts w:asciiTheme="minorHAnsi" w:hAnsiTheme="minorHAnsi"/>
                <w:iCs/>
                <w:sz w:val="20"/>
              </w:rPr>
              <w:t>14</w:t>
            </w:r>
          </w:p>
        </w:tc>
        <w:tc>
          <w:tcPr>
            <w:tcW w:w="595" w:type="pct"/>
            <w:tcBorders>
              <w:top w:val="nil"/>
              <w:left w:val="nil"/>
              <w:right w:val="nil"/>
            </w:tcBorders>
            <w:shd w:val="clear" w:color="auto" w:fill="auto"/>
          </w:tcPr>
          <w:p w14:paraId="793DF755" w14:textId="77777777" w:rsidR="00794AFD" w:rsidRPr="000944E4" w:rsidRDefault="00794AFD" w:rsidP="00794AFD">
            <w:pPr>
              <w:jc w:val="right"/>
              <w:rPr>
                <w:rFonts w:asciiTheme="minorHAnsi" w:hAnsiTheme="minorHAnsi"/>
                <w:b/>
                <w:bCs/>
                <w:sz w:val="20"/>
              </w:rPr>
            </w:pPr>
            <w:r w:rsidRPr="000944E4">
              <w:rPr>
                <w:rFonts w:asciiTheme="minorHAnsi" w:hAnsiTheme="minorHAnsi"/>
                <w:b/>
                <w:bCs/>
                <w:sz w:val="20"/>
              </w:rPr>
              <w:t>(0.8)</w:t>
            </w:r>
          </w:p>
        </w:tc>
        <w:tc>
          <w:tcPr>
            <w:tcW w:w="817" w:type="pct"/>
            <w:tcBorders>
              <w:top w:val="nil"/>
              <w:left w:val="nil"/>
              <w:right w:val="nil"/>
            </w:tcBorders>
            <w:shd w:val="clear" w:color="auto" w:fill="auto"/>
          </w:tcPr>
          <w:p w14:paraId="59465E88"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(2.4)</w:t>
            </w:r>
          </w:p>
        </w:tc>
      </w:tr>
      <w:tr w:rsidR="00794AFD" w:rsidRPr="00655898" w14:paraId="68F003D8" w14:textId="77777777" w:rsidTr="00794AFD">
        <w:tc>
          <w:tcPr>
            <w:tcW w:w="3216" w:type="pct"/>
            <w:gridSpan w:val="2"/>
            <w:tcBorders>
              <w:top w:val="nil"/>
              <w:left w:val="nil"/>
              <w:right w:val="nil"/>
            </w:tcBorders>
          </w:tcPr>
          <w:p w14:paraId="11B60964" w14:textId="77777777" w:rsidR="00794AFD" w:rsidRPr="00655898" w:rsidRDefault="00794AFD" w:rsidP="00794AFD">
            <w:pPr>
              <w:ind w:left="-90"/>
              <w:rPr>
                <w:rFonts w:asciiTheme="minorHAnsi" w:hAnsiTheme="minorHAnsi"/>
                <w:sz w:val="20"/>
              </w:rPr>
            </w:pPr>
            <w:r w:rsidRPr="00655898">
              <w:rPr>
                <w:rFonts w:asciiTheme="minorHAnsi" w:hAnsiTheme="minorHAnsi"/>
                <w:sz w:val="20"/>
              </w:rPr>
              <w:t>Purchase of own shares including direct purchase costs</w:t>
            </w:r>
          </w:p>
        </w:tc>
        <w:tc>
          <w:tcPr>
            <w:tcW w:w="371" w:type="pct"/>
            <w:tcBorders>
              <w:top w:val="nil"/>
              <w:left w:val="nil"/>
              <w:right w:val="nil"/>
            </w:tcBorders>
          </w:tcPr>
          <w:p w14:paraId="0F92FACD" w14:textId="77777777" w:rsidR="00794AFD" w:rsidRPr="00655898" w:rsidRDefault="00794AFD" w:rsidP="00794AFD">
            <w:pPr>
              <w:jc w:val="center"/>
              <w:rPr>
                <w:rFonts w:asciiTheme="minorHAnsi" w:hAnsiTheme="minorHAnsi"/>
                <w:iCs/>
                <w:sz w:val="20"/>
              </w:rPr>
            </w:pPr>
            <w:r>
              <w:rPr>
                <w:rFonts w:asciiTheme="minorHAnsi" w:hAnsiTheme="minorHAnsi"/>
                <w:iCs/>
                <w:sz w:val="20"/>
              </w:rPr>
              <w:t>11</w:t>
            </w:r>
          </w:p>
        </w:tc>
        <w:tc>
          <w:tcPr>
            <w:tcW w:w="595" w:type="pct"/>
            <w:tcBorders>
              <w:top w:val="nil"/>
              <w:left w:val="nil"/>
              <w:right w:val="nil"/>
            </w:tcBorders>
            <w:shd w:val="clear" w:color="auto" w:fill="auto"/>
          </w:tcPr>
          <w:p w14:paraId="14AC4A2A" w14:textId="77777777" w:rsidR="00794AFD" w:rsidRPr="000944E4" w:rsidRDefault="00794AFD" w:rsidP="00794AFD">
            <w:pPr>
              <w:jc w:val="right"/>
              <w:rPr>
                <w:rFonts w:asciiTheme="minorHAnsi" w:hAnsiTheme="minorHAnsi"/>
                <w:bCs/>
                <w:sz w:val="20"/>
              </w:rPr>
            </w:pPr>
            <w:r w:rsidRPr="00655898">
              <w:rPr>
                <w:rFonts w:asciiTheme="minorHAnsi" w:hAnsiTheme="minorHAnsi"/>
                <w:b/>
                <w:bCs/>
                <w:sz w:val="20"/>
              </w:rPr>
              <w:t>(86.8)</w:t>
            </w:r>
          </w:p>
        </w:tc>
        <w:tc>
          <w:tcPr>
            <w:tcW w:w="817" w:type="pct"/>
            <w:tcBorders>
              <w:top w:val="nil"/>
              <w:left w:val="nil"/>
              <w:right w:val="nil"/>
            </w:tcBorders>
            <w:shd w:val="clear" w:color="auto" w:fill="auto"/>
          </w:tcPr>
          <w:p w14:paraId="30A5EFDF"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(415.0)</w:t>
            </w:r>
          </w:p>
        </w:tc>
      </w:tr>
      <w:tr w:rsidR="00794AFD" w:rsidRPr="00655898" w14:paraId="62AA59CE" w14:textId="77777777" w:rsidTr="00794AFD">
        <w:tc>
          <w:tcPr>
            <w:tcW w:w="3216" w:type="pct"/>
            <w:gridSpan w:val="2"/>
            <w:tcBorders>
              <w:top w:val="single" w:sz="4" w:space="0" w:color="auto"/>
              <w:left w:val="nil"/>
              <w:bottom w:val="single" w:sz="4" w:space="0" w:color="auto"/>
              <w:right w:val="nil"/>
            </w:tcBorders>
          </w:tcPr>
          <w:p w14:paraId="5AD05A65" w14:textId="77777777" w:rsidR="00794AFD" w:rsidRPr="00655898" w:rsidRDefault="00794AFD" w:rsidP="00794AFD">
            <w:pPr>
              <w:ind w:left="-90"/>
              <w:rPr>
                <w:rFonts w:asciiTheme="minorHAnsi" w:hAnsiTheme="minorHAnsi"/>
                <w:sz w:val="20"/>
              </w:rPr>
            </w:pPr>
            <w:r w:rsidRPr="00655898">
              <w:rPr>
                <w:rFonts w:asciiTheme="minorHAnsi" w:hAnsiTheme="minorHAnsi"/>
                <w:b/>
                <w:bCs/>
                <w:sz w:val="20"/>
              </w:rPr>
              <w:t>Net cash used in financing activities</w:t>
            </w:r>
          </w:p>
        </w:tc>
        <w:tc>
          <w:tcPr>
            <w:tcW w:w="371" w:type="pct"/>
            <w:tcBorders>
              <w:top w:val="single" w:sz="4" w:space="0" w:color="auto"/>
              <w:left w:val="nil"/>
              <w:bottom w:val="single" w:sz="4" w:space="0" w:color="auto"/>
              <w:right w:val="nil"/>
            </w:tcBorders>
          </w:tcPr>
          <w:p w14:paraId="0628C83C" w14:textId="77777777" w:rsidR="00794AFD" w:rsidRPr="00655898" w:rsidRDefault="00794AFD" w:rsidP="00794AFD">
            <w:pPr>
              <w:jc w:val="center"/>
              <w:rPr>
                <w:rFonts w:asciiTheme="minorHAnsi" w:hAnsiTheme="minorHAnsi"/>
                <w:iCs/>
                <w:sz w:val="20"/>
              </w:rPr>
            </w:pPr>
          </w:p>
        </w:tc>
        <w:tc>
          <w:tcPr>
            <w:tcW w:w="595" w:type="pct"/>
            <w:tcBorders>
              <w:top w:val="single" w:sz="4" w:space="0" w:color="auto"/>
              <w:left w:val="nil"/>
              <w:bottom w:val="single" w:sz="4" w:space="0" w:color="auto"/>
              <w:right w:val="nil"/>
            </w:tcBorders>
            <w:shd w:val="clear" w:color="auto" w:fill="auto"/>
          </w:tcPr>
          <w:p w14:paraId="65965CB8" w14:textId="77777777" w:rsidR="00794AFD" w:rsidRPr="000944E4" w:rsidRDefault="00794AFD" w:rsidP="00794AFD">
            <w:pPr>
              <w:jc w:val="right"/>
              <w:rPr>
                <w:rFonts w:asciiTheme="minorHAnsi" w:hAnsiTheme="minorHAnsi"/>
                <w:bCs/>
                <w:sz w:val="20"/>
              </w:rPr>
            </w:pPr>
            <w:r w:rsidRPr="000944E4">
              <w:rPr>
                <w:rFonts w:asciiTheme="minorHAnsi" w:hAnsiTheme="minorHAnsi"/>
                <w:b/>
                <w:bCs/>
                <w:sz w:val="20"/>
              </w:rPr>
              <w:t>(205.9)</w:t>
            </w:r>
          </w:p>
        </w:tc>
        <w:tc>
          <w:tcPr>
            <w:tcW w:w="817" w:type="pct"/>
            <w:tcBorders>
              <w:top w:val="single" w:sz="4" w:space="0" w:color="auto"/>
              <w:left w:val="nil"/>
              <w:bottom w:val="single" w:sz="4" w:space="0" w:color="auto"/>
              <w:right w:val="nil"/>
            </w:tcBorders>
            <w:shd w:val="clear" w:color="auto" w:fill="auto"/>
          </w:tcPr>
          <w:p w14:paraId="546FDE27"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(436.5)</w:t>
            </w:r>
          </w:p>
        </w:tc>
      </w:tr>
      <w:tr w:rsidR="00794AFD" w:rsidRPr="00655898" w14:paraId="6AA32C9C" w14:textId="77777777" w:rsidTr="00794AFD">
        <w:trPr>
          <w:trHeight w:val="256"/>
        </w:trPr>
        <w:tc>
          <w:tcPr>
            <w:tcW w:w="3216" w:type="pct"/>
            <w:gridSpan w:val="2"/>
            <w:tcBorders>
              <w:top w:val="single" w:sz="4" w:space="0" w:color="auto"/>
              <w:left w:val="nil"/>
              <w:right w:val="nil"/>
            </w:tcBorders>
          </w:tcPr>
          <w:p w14:paraId="3C44134C" w14:textId="77777777" w:rsidR="00794AFD" w:rsidRPr="00655898" w:rsidRDefault="00794AFD" w:rsidP="00794AFD">
            <w:pPr>
              <w:ind w:left="-90"/>
              <w:rPr>
                <w:rFonts w:asciiTheme="minorHAnsi" w:hAnsiTheme="minorHAnsi"/>
                <w:b/>
                <w:bCs/>
                <w:sz w:val="20"/>
              </w:rPr>
            </w:pPr>
            <w:r w:rsidRPr="00655898">
              <w:rPr>
                <w:rFonts w:asciiTheme="minorHAnsi" w:hAnsiTheme="minorHAnsi"/>
                <w:b/>
                <w:bCs/>
                <w:sz w:val="20"/>
              </w:rPr>
              <w:t>Net decrease in cash and cash equivalents</w:t>
            </w:r>
          </w:p>
        </w:tc>
        <w:tc>
          <w:tcPr>
            <w:tcW w:w="371" w:type="pct"/>
            <w:tcBorders>
              <w:top w:val="single" w:sz="4" w:space="0" w:color="auto"/>
              <w:left w:val="nil"/>
              <w:right w:val="nil"/>
            </w:tcBorders>
          </w:tcPr>
          <w:p w14:paraId="1AA50DD3" w14:textId="77777777" w:rsidR="00794AFD" w:rsidRPr="00655898" w:rsidRDefault="00794AFD" w:rsidP="00794AFD">
            <w:pPr>
              <w:jc w:val="center"/>
              <w:rPr>
                <w:rFonts w:asciiTheme="minorHAnsi" w:hAnsiTheme="minorHAnsi"/>
                <w:iCs/>
                <w:sz w:val="20"/>
              </w:rPr>
            </w:pPr>
          </w:p>
        </w:tc>
        <w:tc>
          <w:tcPr>
            <w:tcW w:w="595" w:type="pct"/>
            <w:tcBorders>
              <w:top w:val="single" w:sz="4" w:space="0" w:color="auto"/>
              <w:left w:val="nil"/>
              <w:right w:val="nil"/>
            </w:tcBorders>
            <w:shd w:val="clear" w:color="auto" w:fill="auto"/>
          </w:tcPr>
          <w:p w14:paraId="49100881" w14:textId="77777777" w:rsidR="00794AFD" w:rsidRPr="000944E4" w:rsidRDefault="00794AFD" w:rsidP="00794AFD">
            <w:pPr>
              <w:jc w:val="right"/>
              <w:rPr>
                <w:rFonts w:asciiTheme="minorHAnsi" w:hAnsiTheme="minorHAnsi"/>
                <w:bCs/>
                <w:sz w:val="20"/>
              </w:rPr>
            </w:pPr>
            <w:r w:rsidRPr="000944E4">
              <w:rPr>
                <w:rFonts w:asciiTheme="minorHAnsi" w:hAnsiTheme="minorHAnsi"/>
                <w:b/>
                <w:bCs/>
                <w:sz w:val="20"/>
              </w:rPr>
              <w:t>(20.7)</w:t>
            </w:r>
          </w:p>
        </w:tc>
        <w:tc>
          <w:tcPr>
            <w:tcW w:w="817" w:type="pct"/>
            <w:tcBorders>
              <w:top w:val="single" w:sz="4" w:space="0" w:color="auto"/>
              <w:left w:val="nil"/>
              <w:right w:val="nil"/>
            </w:tcBorders>
            <w:shd w:val="clear" w:color="auto" w:fill="auto"/>
          </w:tcPr>
          <w:p w14:paraId="07232731"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(180.4)</w:t>
            </w:r>
          </w:p>
        </w:tc>
      </w:tr>
      <w:tr w:rsidR="00794AFD" w:rsidRPr="00655898" w14:paraId="620BA1CD" w14:textId="77777777" w:rsidTr="00794AFD">
        <w:tc>
          <w:tcPr>
            <w:tcW w:w="3216" w:type="pct"/>
            <w:gridSpan w:val="2"/>
            <w:tcBorders>
              <w:top w:val="nil"/>
              <w:left w:val="nil"/>
              <w:right w:val="nil"/>
            </w:tcBorders>
          </w:tcPr>
          <w:p w14:paraId="10F34427" w14:textId="77777777" w:rsidR="00794AFD" w:rsidRPr="00655898" w:rsidRDefault="00794AFD" w:rsidP="00794AFD">
            <w:pPr>
              <w:ind w:left="-90"/>
              <w:rPr>
                <w:rFonts w:asciiTheme="minorHAnsi" w:hAnsiTheme="minorHAnsi"/>
                <w:b/>
                <w:bCs/>
                <w:sz w:val="20"/>
              </w:rPr>
            </w:pPr>
            <w:r w:rsidRPr="00655898">
              <w:rPr>
                <w:rFonts w:asciiTheme="minorHAnsi" w:hAnsiTheme="minorHAnsi"/>
                <w:b/>
                <w:bCs/>
                <w:sz w:val="20"/>
              </w:rPr>
              <w:t>Cash and cash equivalents at start of year</w:t>
            </w:r>
          </w:p>
        </w:tc>
        <w:tc>
          <w:tcPr>
            <w:tcW w:w="371" w:type="pct"/>
            <w:tcBorders>
              <w:top w:val="nil"/>
              <w:left w:val="nil"/>
              <w:right w:val="nil"/>
            </w:tcBorders>
          </w:tcPr>
          <w:p w14:paraId="5F8A39B9" w14:textId="77777777" w:rsidR="00794AFD" w:rsidRPr="00655898" w:rsidRDefault="00794AFD" w:rsidP="00794AFD">
            <w:pPr>
              <w:jc w:val="center"/>
              <w:rPr>
                <w:rFonts w:asciiTheme="minorHAnsi" w:hAnsiTheme="minorHAnsi"/>
                <w:iCs/>
                <w:sz w:val="20"/>
              </w:rPr>
            </w:pPr>
          </w:p>
        </w:tc>
        <w:tc>
          <w:tcPr>
            <w:tcW w:w="595" w:type="pct"/>
            <w:tcBorders>
              <w:top w:val="nil"/>
              <w:left w:val="nil"/>
              <w:right w:val="nil"/>
            </w:tcBorders>
            <w:shd w:val="clear" w:color="auto" w:fill="auto"/>
          </w:tcPr>
          <w:p w14:paraId="54D558D4" w14:textId="77777777" w:rsidR="00794AFD" w:rsidRPr="00655898" w:rsidRDefault="00794AFD" w:rsidP="00794AFD">
            <w:pPr>
              <w:jc w:val="right"/>
              <w:rPr>
                <w:rFonts w:asciiTheme="minorHAnsi" w:hAnsiTheme="minorHAnsi"/>
                <w:b/>
                <w:bCs/>
                <w:sz w:val="20"/>
              </w:rPr>
            </w:pPr>
            <w:r w:rsidRPr="00655898">
              <w:rPr>
                <w:rFonts w:asciiTheme="minorHAnsi" w:hAnsiTheme="minorHAnsi"/>
                <w:b/>
                <w:bCs/>
                <w:sz w:val="20"/>
              </w:rPr>
              <w:t>123.7</w:t>
            </w:r>
          </w:p>
        </w:tc>
        <w:tc>
          <w:tcPr>
            <w:tcW w:w="817" w:type="pct"/>
            <w:tcBorders>
              <w:top w:val="nil"/>
              <w:left w:val="nil"/>
              <w:right w:val="nil"/>
            </w:tcBorders>
            <w:shd w:val="clear" w:color="auto" w:fill="auto"/>
          </w:tcPr>
          <w:p w14:paraId="17BDA911" w14:textId="77777777" w:rsidR="00794AFD" w:rsidRPr="00655898" w:rsidRDefault="00794AFD" w:rsidP="00794AFD">
            <w:pPr>
              <w:jc w:val="right"/>
              <w:rPr>
                <w:rFonts w:asciiTheme="minorHAnsi" w:hAnsiTheme="minorHAnsi"/>
                <w:bCs/>
                <w:sz w:val="20"/>
              </w:rPr>
            </w:pPr>
            <w:r w:rsidRPr="00655898">
              <w:rPr>
                <w:rFonts w:asciiTheme="minorHAnsi" w:hAnsiTheme="minorHAnsi"/>
                <w:bCs/>
                <w:sz w:val="20"/>
              </w:rPr>
              <w:t>306.6</w:t>
            </w:r>
          </w:p>
        </w:tc>
      </w:tr>
      <w:tr w:rsidR="00794AFD" w:rsidRPr="00655898" w14:paraId="2EA8830F" w14:textId="77777777" w:rsidTr="00794AFD">
        <w:tc>
          <w:tcPr>
            <w:tcW w:w="3216" w:type="pct"/>
            <w:gridSpan w:val="2"/>
            <w:tcBorders>
              <w:left w:val="nil"/>
              <w:bottom w:val="single" w:sz="4" w:space="0" w:color="auto"/>
              <w:right w:val="nil"/>
            </w:tcBorders>
          </w:tcPr>
          <w:p w14:paraId="734B3140" w14:textId="77777777" w:rsidR="00794AFD" w:rsidRPr="003A5032" w:rsidRDefault="00794AFD" w:rsidP="00794AFD">
            <w:pPr>
              <w:ind w:left="-90"/>
              <w:rPr>
                <w:rFonts w:asciiTheme="minorHAnsi" w:hAnsiTheme="minorHAnsi"/>
                <w:sz w:val="20"/>
              </w:rPr>
            </w:pPr>
            <w:r w:rsidRPr="000944E4">
              <w:rPr>
                <w:rFonts w:asciiTheme="minorHAnsi" w:hAnsiTheme="minorHAnsi"/>
                <w:bCs/>
                <w:sz w:val="20"/>
              </w:rPr>
              <w:t>Foreign currency exchange gain / (loss) on cash and cash equivalents</w:t>
            </w:r>
          </w:p>
        </w:tc>
        <w:tc>
          <w:tcPr>
            <w:tcW w:w="371" w:type="pct"/>
            <w:tcBorders>
              <w:left w:val="nil"/>
              <w:bottom w:val="single" w:sz="4" w:space="0" w:color="auto"/>
              <w:right w:val="nil"/>
            </w:tcBorders>
          </w:tcPr>
          <w:p w14:paraId="26AD6727" w14:textId="77777777" w:rsidR="00794AFD" w:rsidRPr="00655898" w:rsidRDefault="00794AFD" w:rsidP="00794AFD">
            <w:pPr>
              <w:jc w:val="center"/>
              <w:rPr>
                <w:rFonts w:asciiTheme="minorHAnsi" w:hAnsiTheme="minorHAnsi"/>
                <w:iCs/>
                <w:sz w:val="20"/>
              </w:rPr>
            </w:pPr>
          </w:p>
        </w:tc>
        <w:tc>
          <w:tcPr>
            <w:tcW w:w="595" w:type="pct"/>
            <w:tcBorders>
              <w:left w:val="nil"/>
              <w:bottom w:val="single" w:sz="4" w:space="0" w:color="auto"/>
              <w:right w:val="nil"/>
            </w:tcBorders>
            <w:shd w:val="clear" w:color="auto" w:fill="auto"/>
          </w:tcPr>
          <w:p w14:paraId="655B033B" w14:textId="77777777" w:rsidR="00794AFD" w:rsidRPr="000944E4" w:rsidRDefault="00794AFD" w:rsidP="00794AFD">
            <w:pPr>
              <w:jc w:val="right"/>
              <w:rPr>
                <w:rFonts w:asciiTheme="minorHAnsi" w:hAnsiTheme="minorHAnsi"/>
                <w:bCs/>
                <w:sz w:val="20"/>
              </w:rPr>
            </w:pPr>
            <w:r w:rsidRPr="000944E4">
              <w:rPr>
                <w:rFonts w:asciiTheme="minorHAnsi" w:hAnsiTheme="minorHAnsi"/>
                <w:b/>
                <w:bCs/>
                <w:sz w:val="20"/>
              </w:rPr>
              <w:t>0.1</w:t>
            </w:r>
          </w:p>
        </w:tc>
        <w:tc>
          <w:tcPr>
            <w:tcW w:w="817" w:type="pct"/>
            <w:tcBorders>
              <w:left w:val="nil"/>
              <w:bottom w:val="single" w:sz="4" w:space="0" w:color="auto"/>
              <w:right w:val="nil"/>
            </w:tcBorders>
            <w:shd w:val="clear" w:color="auto" w:fill="auto"/>
          </w:tcPr>
          <w:p w14:paraId="6F97D3E2"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(2.5)</w:t>
            </w:r>
          </w:p>
        </w:tc>
      </w:tr>
      <w:tr w:rsidR="00794AFD" w:rsidRPr="00655898" w14:paraId="44F08656" w14:textId="77777777" w:rsidTr="00794AFD">
        <w:tc>
          <w:tcPr>
            <w:tcW w:w="3216" w:type="pct"/>
            <w:gridSpan w:val="2"/>
            <w:tcBorders>
              <w:top w:val="single" w:sz="4" w:space="0" w:color="auto"/>
              <w:left w:val="nil"/>
              <w:bottom w:val="single" w:sz="4" w:space="0" w:color="auto"/>
              <w:right w:val="nil"/>
            </w:tcBorders>
          </w:tcPr>
          <w:p w14:paraId="11B896F7" w14:textId="77777777" w:rsidR="00794AFD" w:rsidRPr="00655898" w:rsidRDefault="00794AFD" w:rsidP="00794AFD">
            <w:pPr>
              <w:ind w:left="-90"/>
              <w:rPr>
                <w:rFonts w:asciiTheme="minorHAnsi" w:hAnsiTheme="minorHAnsi"/>
                <w:sz w:val="20"/>
              </w:rPr>
            </w:pPr>
            <w:r w:rsidRPr="00655898">
              <w:rPr>
                <w:rFonts w:asciiTheme="minorHAnsi" w:hAnsiTheme="minorHAnsi"/>
                <w:b/>
                <w:bCs/>
                <w:sz w:val="20"/>
              </w:rPr>
              <w:t>Net Cash and cash equivalents at end of year</w:t>
            </w:r>
          </w:p>
        </w:tc>
        <w:tc>
          <w:tcPr>
            <w:tcW w:w="371" w:type="pct"/>
            <w:tcBorders>
              <w:top w:val="single" w:sz="4" w:space="0" w:color="auto"/>
              <w:left w:val="nil"/>
              <w:bottom w:val="single" w:sz="4" w:space="0" w:color="auto"/>
              <w:right w:val="nil"/>
            </w:tcBorders>
          </w:tcPr>
          <w:p w14:paraId="71844444" w14:textId="77777777" w:rsidR="00794AFD" w:rsidRPr="00655898" w:rsidRDefault="00794AFD" w:rsidP="00794AFD">
            <w:pPr>
              <w:jc w:val="center"/>
              <w:rPr>
                <w:rFonts w:asciiTheme="minorHAnsi" w:hAnsiTheme="minorHAnsi"/>
                <w:iCs/>
                <w:sz w:val="20"/>
              </w:rPr>
            </w:pPr>
          </w:p>
        </w:tc>
        <w:tc>
          <w:tcPr>
            <w:tcW w:w="595" w:type="pct"/>
            <w:tcBorders>
              <w:top w:val="single" w:sz="4" w:space="0" w:color="auto"/>
              <w:left w:val="nil"/>
              <w:bottom w:val="single" w:sz="4" w:space="0" w:color="auto"/>
              <w:right w:val="nil"/>
            </w:tcBorders>
            <w:shd w:val="clear" w:color="auto" w:fill="auto"/>
          </w:tcPr>
          <w:p w14:paraId="7A3BC9EE" w14:textId="77777777" w:rsidR="00794AFD" w:rsidRPr="000944E4" w:rsidRDefault="00794AFD" w:rsidP="00794AFD">
            <w:pPr>
              <w:jc w:val="right"/>
              <w:rPr>
                <w:rFonts w:asciiTheme="minorHAnsi" w:hAnsiTheme="minorHAnsi"/>
                <w:bCs/>
                <w:sz w:val="20"/>
              </w:rPr>
            </w:pPr>
            <w:r w:rsidRPr="000944E4">
              <w:rPr>
                <w:rFonts w:asciiTheme="minorHAnsi" w:hAnsiTheme="minorHAnsi"/>
                <w:b/>
                <w:bCs/>
                <w:sz w:val="20"/>
              </w:rPr>
              <w:t>103.1</w:t>
            </w:r>
          </w:p>
        </w:tc>
        <w:tc>
          <w:tcPr>
            <w:tcW w:w="817" w:type="pct"/>
            <w:tcBorders>
              <w:top w:val="single" w:sz="4" w:space="0" w:color="auto"/>
              <w:left w:val="nil"/>
              <w:bottom w:val="single" w:sz="4" w:space="0" w:color="auto"/>
              <w:right w:val="nil"/>
            </w:tcBorders>
            <w:shd w:val="clear" w:color="auto" w:fill="auto"/>
          </w:tcPr>
          <w:p w14:paraId="62BE9895"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123.7</w:t>
            </w:r>
          </w:p>
        </w:tc>
      </w:tr>
      <w:tr w:rsidR="00794AFD" w:rsidRPr="00655898" w14:paraId="2DED632F" w14:textId="77777777" w:rsidTr="00794AFD">
        <w:tc>
          <w:tcPr>
            <w:tcW w:w="3216" w:type="pct"/>
            <w:gridSpan w:val="2"/>
            <w:tcBorders>
              <w:left w:val="nil"/>
              <w:bottom w:val="single" w:sz="4" w:space="0" w:color="auto"/>
              <w:right w:val="nil"/>
            </w:tcBorders>
          </w:tcPr>
          <w:p w14:paraId="5A5E74E5" w14:textId="77777777" w:rsidR="00794AFD" w:rsidRPr="003A5032" w:rsidRDefault="00794AFD" w:rsidP="00794AFD">
            <w:pPr>
              <w:ind w:left="-90"/>
              <w:rPr>
                <w:rFonts w:asciiTheme="minorHAnsi" w:hAnsiTheme="minorHAnsi"/>
                <w:sz w:val="20"/>
              </w:rPr>
            </w:pPr>
            <w:r w:rsidRPr="00655898">
              <w:rPr>
                <w:rFonts w:asciiTheme="minorHAnsi" w:hAnsiTheme="minorHAnsi"/>
                <w:bCs/>
                <w:sz w:val="20"/>
              </w:rPr>
              <w:t xml:space="preserve">Bank </w:t>
            </w:r>
            <w:r w:rsidRPr="003A5032">
              <w:rPr>
                <w:rFonts w:asciiTheme="minorHAnsi" w:hAnsiTheme="minorHAnsi"/>
                <w:bCs/>
                <w:sz w:val="20"/>
              </w:rPr>
              <w:t>o</w:t>
            </w:r>
            <w:r w:rsidRPr="000944E4">
              <w:rPr>
                <w:rFonts w:asciiTheme="minorHAnsi" w:hAnsiTheme="minorHAnsi"/>
                <w:bCs/>
                <w:sz w:val="20"/>
              </w:rPr>
              <w:t>verdraft</w:t>
            </w:r>
          </w:p>
        </w:tc>
        <w:tc>
          <w:tcPr>
            <w:tcW w:w="371" w:type="pct"/>
            <w:tcBorders>
              <w:left w:val="nil"/>
              <w:bottom w:val="single" w:sz="4" w:space="0" w:color="auto"/>
              <w:right w:val="nil"/>
            </w:tcBorders>
          </w:tcPr>
          <w:p w14:paraId="74B7655B" w14:textId="77777777" w:rsidR="00794AFD" w:rsidRPr="00655898" w:rsidRDefault="00794AFD" w:rsidP="00794AFD">
            <w:pPr>
              <w:jc w:val="center"/>
              <w:rPr>
                <w:rFonts w:asciiTheme="minorHAnsi" w:hAnsiTheme="minorHAnsi"/>
                <w:iCs/>
                <w:sz w:val="20"/>
              </w:rPr>
            </w:pPr>
          </w:p>
        </w:tc>
        <w:tc>
          <w:tcPr>
            <w:tcW w:w="595" w:type="pct"/>
            <w:tcBorders>
              <w:left w:val="nil"/>
              <w:bottom w:val="single" w:sz="4" w:space="0" w:color="auto"/>
              <w:right w:val="nil"/>
            </w:tcBorders>
            <w:shd w:val="clear" w:color="auto" w:fill="auto"/>
          </w:tcPr>
          <w:p w14:paraId="3AB8510A" w14:textId="77777777" w:rsidR="00794AFD" w:rsidRPr="000944E4" w:rsidRDefault="00794AFD" w:rsidP="00794AFD">
            <w:pPr>
              <w:jc w:val="right"/>
              <w:rPr>
                <w:rFonts w:asciiTheme="minorHAnsi" w:hAnsiTheme="minorHAnsi"/>
                <w:b/>
                <w:bCs/>
                <w:sz w:val="20"/>
              </w:rPr>
            </w:pPr>
            <w:r w:rsidRPr="000944E4">
              <w:rPr>
                <w:rFonts w:asciiTheme="minorHAnsi" w:hAnsiTheme="minorHAnsi"/>
                <w:b/>
                <w:bCs/>
                <w:sz w:val="20"/>
              </w:rPr>
              <w:t>5.0</w:t>
            </w:r>
          </w:p>
        </w:tc>
        <w:tc>
          <w:tcPr>
            <w:tcW w:w="817" w:type="pct"/>
            <w:tcBorders>
              <w:left w:val="nil"/>
              <w:bottom w:val="single" w:sz="4" w:space="0" w:color="auto"/>
              <w:right w:val="nil"/>
            </w:tcBorders>
            <w:shd w:val="clear" w:color="auto" w:fill="auto"/>
          </w:tcPr>
          <w:p w14:paraId="4C09C593"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w:t>
            </w:r>
          </w:p>
        </w:tc>
      </w:tr>
      <w:bookmarkEnd w:id="17"/>
      <w:bookmarkEnd w:id="18"/>
      <w:bookmarkEnd w:id="19"/>
      <w:bookmarkEnd w:id="20"/>
      <w:tr w:rsidR="00794AFD" w:rsidRPr="00655898" w14:paraId="4DEDB835" w14:textId="77777777" w:rsidTr="00794AFD">
        <w:tc>
          <w:tcPr>
            <w:tcW w:w="3216" w:type="pct"/>
            <w:gridSpan w:val="2"/>
            <w:tcBorders>
              <w:top w:val="single" w:sz="4" w:space="0" w:color="auto"/>
              <w:left w:val="nil"/>
              <w:bottom w:val="single" w:sz="4" w:space="0" w:color="auto"/>
              <w:right w:val="nil"/>
            </w:tcBorders>
          </w:tcPr>
          <w:p w14:paraId="0702C032" w14:textId="77777777" w:rsidR="00794AFD" w:rsidRPr="00655898" w:rsidRDefault="00794AFD" w:rsidP="00794AFD">
            <w:pPr>
              <w:ind w:left="-90"/>
              <w:rPr>
                <w:rFonts w:asciiTheme="minorHAnsi" w:hAnsiTheme="minorHAnsi"/>
                <w:b/>
                <w:bCs/>
                <w:sz w:val="20"/>
              </w:rPr>
            </w:pPr>
            <w:r w:rsidRPr="00655898">
              <w:rPr>
                <w:rFonts w:asciiTheme="minorHAnsi" w:hAnsiTheme="minorHAnsi"/>
                <w:b/>
                <w:bCs/>
                <w:sz w:val="20"/>
              </w:rPr>
              <w:t>Cash and cash equivalents at end of year</w:t>
            </w:r>
          </w:p>
        </w:tc>
        <w:tc>
          <w:tcPr>
            <w:tcW w:w="371" w:type="pct"/>
            <w:tcBorders>
              <w:top w:val="single" w:sz="4" w:space="0" w:color="auto"/>
              <w:left w:val="nil"/>
              <w:bottom w:val="single" w:sz="4" w:space="0" w:color="auto"/>
              <w:right w:val="nil"/>
            </w:tcBorders>
          </w:tcPr>
          <w:p w14:paraId="0F93E189" w14:textId="77777777" w:rsidR="00794AFD" w:rsidRPr="00655898" w:rsidRDefault="00794AFD" w:rsidP="00794AFD">
            <w:pPr>
              <w:jc w:val="center"/>
              <w:rPr>
                <w:rFonts w:asciiTheme="minorHAnsi" w:hAnsiTheme="minorHAnsi"/>
                <w:iCs/>
                <w:sz w:val="20"/>
              </w:rPr>
            </w:pPr>
            <w:r>
              <w:rPr>
                <w:rFonts w:asciiTheme="minorHAnsi" w:hAnsiTheme="minorHAnsi"/>
                <w:iCs/>
                <w:sz w:val="20"/>
              </w:rPr>
              <w:t>10</w:t>
            </w:r>
          </w:p>
        </w:tc>
        <w:tc>
          <w:tcPr>
            <w:tcW w:w="595" w:type="pct"/>
            <w:tcBorders>
              <w:top w:val="single" w:sz="4" w:space="0" w:color="auto"/>
              <w:left w:val="nil"/>
              <w:bottom w:val="single" w:sz="4" w:space="0" w:color="auto"/>
              <w:right w:val="nil"/>
            </w:tcBorders>
            <w:shd w:val="clear" w:color="auto" w:fill="auto"/>
          </w:tcPr>
          <w:p w14:paraId="373FEE0E" w14:textId="77777777" w:rsidR="00794AFD" w:rsidRPr="000944E4" w:rsidRDefault="00794AFD" w:rsidP="00794AFD">
            <w:pPr>
              <w:jc w:val="right"/>
              <w:rPr>
                <w:rFonts w:asciiTheme="minorHAnsi" w:hAnsiTheme="minorHAnsi"/>
                <w:b/>
                <w:bCs/>
                <w:sz w:val="20"/>
              </w:rPr>
            </w:pPr>
            <w:r w:rsidRPr="000944E4">
              <w:rPr>
                <w:rFonts w:asciiTheme="minorHAnsi" w:hAnsiTheme="minorHAnsi"/>
                <w:b/>
                <w:bCs/>
                <w:sz w:val="20"/>
              </w:rPr>
              <w:t>108.1</w:t>
            </w:r>
          </w:p>
        </w:tc>
        <w:tc>
          <w:tcPr>
            <w:tcW w:w="817" w:type="pct"/>
            <w:tcBorders>
              <w:top w:val="single" w:sz="4" w:space="0" w:color="auto"/>
              <w:left w:val="nil"/>
              <w:bottom w:val="single" w:sz="4" w:space="0" w:color="auto"/>
              <w:right w:val="nil"/>
            </w:tcBorders>
            <w:shd w:val="clear" w:color="auto" w:fill="auto"/>
          </w:tcPr>
          <w:p w14:paraId="2A9C6C26" w14:textId="77777777" w:rsidR="00794AFD" w:rsidRPr="003A5032" w:rsidRDefault="00794AFD" w:rsidP="00794AFD">
            <w:pPr>
              <w:jc w:val="right"/>
              <w:rPr>
                <w:rFonts w:asciiTheme="minorHAnsi" w:hAnsiTheme="minorHAnsi"/>
                <w:bCs/>
                <w:sz w:val="20"/>
              </w:rPr>
            </w:pPr>
            <w:r w:rsidRPr="003A5032">
              <w:rPr>
                <w:rFonts w:asciiTheme="minorHAnsi" w:hAnsiTheme="minorHAnsi"/>
                <w:bCs/>
                <w:sz w:val="20"/>
              </w:rPr>
              <w:t>123.7</w:t>
            </w:r>
          </w:p>
        </w:tc>
      </w:tr>
    </w:tbl>
    <w:p w14:paraId="33C0B141" w14:textId="77777777" w:rsidR="00794AFD" w:rsidRPr="00655898" w:rsidRDefault="00794AFD" w:rsidP="00794AFD">
      <w:pPr>
        <w:jc w:val="both"/>
        <w:rPr>
          <w:rFonts w:asciiTheme="minorHAnsi" w:hAnsiTheme="minorHAnsi" w:cs="Times New Roman"/>
          <w:sz w:val="20"/>
          <w:szCs w:val="20"/>
        </w:rPr>
      </w:pPr>
    </w:p>
    <w:bookmarkEnd w:id="21"/>
    <w:bookmarkEnd w:id="22"/>
    <w:p w14:paraId="025CE8F4" w14:textId="77777777" w:rsidR="00794AFD" w:rsidRPr="00FC3D06" w:rsidRDefault="00794AFD" w:rsidP="00794AFD">
      <w:pPr>
        <w:rPr>
          <w:rFonts w:asciiTheme="minorHAnsi" w:hAnsiTheme="minorHAnsi" w:cs="Times New Roman"/>
          <w:sz w:val="20"/>
          <w:szCs w:val="20"/>
        </w:rPr>
      </w:pPr>
      <w:r w:rsidRPr="000944E4">
        <w:rPr>
          <w:rFonts w:asciiTheme="minorHAnsi" w:hAnsiTheme="minorHAnsi" w:cs="Times New Roman"/>
          <w:sz w:val="20"/>
          <w:szCs w:val="20"/>
        </w:rPr>
        <w:t xml:space="preserve">Notes 1 to </w:t>
      </w:r>
      <w:r>
        <w:rPr>
          <w:rFonts w:asciiTheme="minorHAnsi" w:hAnsiTheme="minorHAnsi" w:cs="Times New Roman"/>
          <w:sz w:val="20"/>
          <w:szCs w:val="20"/>
        </w:rPr>
        <w:t>17</w:t>
      </w:r>
      <w:r w:rsidRPr="000944E4">
        <w:rPr>
          <w:rFonts w:asciiTheme="minorHAnsi" w:hAnsiTheme="minorHAnsi" w:cs="Times New Roman"/>
          <w:sz w:val="20"/>
          <w:szCs w:val="20"/>
        </w:rPr>
        <w:t xml:space="preserve"> on pages </w:t>
      </w:r>
      <w:r>
        <w:rPr>
          <w:rFonts w:asciiTheme="minorHAnsi" w:hAnsiTheme="minorHAnsi" w:cs="Times New Roman"/>
          <w:sz w:val="20"/>
          <w:szCs w:val="20"/>
        </w:rPr>
        <w:t>29</w:t>
      </w:r>
      <w:r w:rsidRPr="000944E4">
        <w:rPr>
          <w:rFonts w:asciiTheme="minorHAnsi" w:hAnsiTheme="minorHAnsi" w:cs="Times New Roman"/>
          <w:sz w:val="20"/>
          <w:szCs w:val="20"/>
        </w:rPr>
        <w:t xml:space="preserve"> to </w:t>
      </w:r>
      <w:r>
        <w:rPr>
          <w:rFonts w:asciiTheme="minorHAnsi" w:hAnsiTheme="minorHAnsi" w:cs="Times New Roman"/>
          <w:sz w:val="20"/>
          <w:szCs w:val="20"/>
        </w:rPr>
        <w:t>54</w:t>
      </w:r>
      <w:r w:rsidRPr="000944E4">
        <w:rPr>
          <w:rFonts w:asciiTheme="minorHAnsi" w:hAnsiTheme="minorHAnsi" w:cs="Times New Roman"/>
          <w:sz w:val="20"/>
          <w:szCs w:val="20"/>
        </w:rPr>
        <w:t xml:space="preserve"> form an integral part of these</w:t>
      </w:r>
      <w:r>
        <w:rPr>
          <w:rFonts w:asciiTheme="minorHAnsi" w:hAnsiTheme="minorHAnsi" w:cs="Times New Roman"/>
          <w:sz w:val="20"/>
          <w:szCs w:val="20"/>
        </w:rPr>
        <w:t xml:space="preserve"> condensed</w:t>
      </w:r>
      <w:r w:rsidRPr="000944E4">
        <w:rPr>
          <w:rFonts w:asciiTheme="minorHAnsi" w:hAnsiTheme="minorHAnsi" w:cs="Times New Roman"/>
          <w:sz w:val="20"/>
          <w:szCs w:val="20"/>
        </w:rPr>
        <w:t xml:space="preserve"> consolidated financial statements.</w:t>
      </w:r>
    </w:p>
    <w:p w14:paraId="4161800E" w14:textId="77777777" w:rsidR="00794AFD" w:rsidRPr="00FC3D06" w:rsidRDefault="00794AFD" w:rsidP="00794AFD">
      <w:pPr>
        <w:framePr w:w="10782" w:wrap="auto" w:hAnchor="text"/>
        <w:rPr>
          <w:rFonts w:asciiTheme="minorHAnsi" w:hAnsiTheme="minorHAnsi" w:cs="Times New Roman"/>
          <w:sz w:val="20"/>
          <w:szCs w:val="20"/>
        </w:rPr>
        <w:sectPr w:rsidR="00794AFD" w:rsidRPr="00FC3D06" w:rsidSect="00505BE0">
          <w:headerReference w:type="even" r:id="rId24"/>
          <w:headerReference w:type="default" r:id="rId25"/>
          <w:footerReference w:type="even" r:id="rId26"/>
          <w:footerReference w:type="default" r:id="rId27"/>
          <w:headerReference w:type="first" r:id="rId28"/>
          <w:footerReference w:type="first" r:id="rId29"/>
          <w:pgSz w:w="11907" w:h="16839" w:code="9"/>
          <w:pgMar w:top="810" w:right="1170" w:bottom="630" w:left="1260" w:header="720" w:footer="720" w:gutter="0"/>
          <w:cols w:space="720"/>
          <w:noEndnote/>
          <w:docGrid w:linePitch="326"/>
        </w:sectPr>
      </w:pPr>
    </w:p>
    <w:p w14:paraId="547A6165" w14:textId="77777777" w:rsidR="00794AFD" w:rsidRPr="001C5950" w:rsidRDefault="00794AFD" w:rsidP="00794AFD">
      <w:pPr>
        <w:rPr>
          <w:rFonts w:asciiTheme="minorHAnsi" w:hAnsiTheme="minorHAnsi" w:cs="Times New Roman"/>
          <w:b/>
          <w:sz w:val="20"/>
          <w:szCs w:val="20"/>
        </w:rPr>
      </w:pPr>
      <w:bookmarkStart w:id="23" w:name="_Hlk532206584"/>
      <w:r>
        <w:rPr>
          <w:rFonts w:asciiTheme="minorHAnsi" w:hAnsiTheme="minorHAnsi" w:cs="Times New Roman"/>
          <w:b/>
          <w:sz w:val="20"/>
          <w:szCs w:val="20"/>
        </w:rPr>
        <w:lastRenderedPageBreak/>
        <w:t xml:space="preserve">CONDENSED </w:t>
      </w:r>
      <w:r w:rsidRPr="001C5950">
        <w:rPr>
          <w:rFonts w:asciiTheme="minorHAnsi" w:hAnsiTheme="minorHAnsi" w:cs="Times New Roman"/>
          <w:b/>
          <w:sz w:val="20"/>
          <w:szCs w:val="20"/>
        </w:rPr>
        <w:t>CONSOLIDATED STATEMENT OF CHANGES IN EQUITY</w:t>
      </w:r>
    </w:p>
    <w:p w14:paraId="75F73508" w14:textId="77777777" w:rsidR="00794AFD" w:rsidRPr="001C5950" w:rsidRDefault="00794AFD" w:rsidP="00794AFD">
      <w:pPr>
        <w:rPr>
          <w:rFonts w:asciiTheme="minorHAnsi" w:hAnsiTheme="minorHAnsi" w:cs="Times New Roman"/>
          <w:b/>
          <w:sz w:val="20"/>
          <w:szCs w:val="20"/>
        </w:rPr>
      </w:pPr>
      <w:r w:rsidRPr="001C5950">
        <w:rPr>
          <w:rFonts w:asciiTheme="minorHAnsi" w:hAnsiTheme="minorHAnsi" w:cs="Times New Roman"/>
          <w:b/>
          <w:sz w:val="20"/>
          <w:szCs w:val="20"/>
        </w:rPr>
        <w:t xml:space="preserve">Year ended 31 December </w:t>
      </w:r>
      <w:r>
        <w:rPr>
          <w:rFonts w:asciiTheme="minorHAnsi" w:hAnsiTheme="minorHAnsi" w:cs="Times New Roman"/>
          <w:b/>
          <w:sz w:val="20"/>
          <w:szCs w:val="20"/>
        </w:rPr>
        <w:t>2019</w:t>
      </w:r>
    </w:p>
    <w:p w14:paraId="27BA6FD7" w14:textId="77777777" w:rsidR="00794AFD" w:rsidRPr="00FC3D06" w:rsidRDefault="00794AFD" w:rsidP="00794AFD">
      <w:pPr>
        <w:rPr>
          <w:rFonts w:asciiTheme="minorHAnsi" w:hAnsiTheme="minorHAnsi" w:cs="Times New Roman"/>
          <w:sz w:val="18"/>
          <w:szCs w:val="18"/>
        </w:rPr>
      </w:pPr>
    </w:p>
    <w:tbl>
      <w:tblPr>
        <w:tblW w:w="5000" w:type="pct"/>
        <w:tblLayout w:type="fixed"/>
        <w:tblLook w:val="0000" w:firstRow="0" w:lastRow="0" w:firstColumn="0" w:lastColumn="0" w:noHBand="0" w:noVBand="0"/>
      </w:tblPr>
      <w:tblGrid>
        <w:gridCol w:w="2745"/>
        <w:gridCol w:w="1026"/>
        <w:gridCol w:w="118"/>
        <w:gridCol w:w="866"/>
        <w:gridCol w:w="959"/>
        <w:gridCol w:w="959"/>
        <w:gridCol w:w="885"/>
        <w:gridCol w:w="28"/>
        <w:gridCol w:w="997"/>
        <w:gridCol w:w="1093"/>
        <w:gridCol w:w="1012"/>
        <w:gridCol w:w="1199"/>
        <w:gridCol w:w="928"/>
        <w:gridCol w:w="947"/>
        <w:gridCol w:w="900"/>
        <w:gridCol w:w="913"/>
      </w:tblGrid>
      <w:tr w:rsidR="00794AFD" w:rsidRPr="001C5950" w14:paraId="528D09EE" w14:textId="77777777" w:rsidTr="00794AFD">
        <w:trPr>
          <w:gridAfter w:val="3"/>
          <w:wAfter w:w="885" w:type="pct"/>
          <w:trHeight w:val="223"/>
        </w:trPr>
        <w:tc>
          <w:tcPr>
            <w:tcW w:w="881" w:type="pct"/>
            <w:tcBorders>
              <w:left w:val="nil"/>
            </w:tcBorders>
          </w:tcPr>
          <w:p w14:paraId="36614F5E" w14:textId="77777777" w:rsidR="00794AFD" w:rsidRPr="00FC3D06" w:rsidRDefault="00794AFD" w:rsidP="00794AFD">
            <w:pPr>
              <w:ind w:left="-108"/>
              <w:rPr>
                <w:rFonts w:asciiTheme="minorHAnsi" w:hAnsiTheme="minorHAnsi" w:cs="Times New Roman"/>
                <w:sz w:val="16"/>
                <w:szCs w:val="16"/>
              </w:rPr>
            </w:pPr>
          </w:p>
        </w:tc>
        <w:tc>
          <w:tcPr>
            <w:tcW w:w="329" w:type="pct"/>
          </w:tcPr>
          <w:p w14:paraId="4E2E8ED5" w14:textId="77777777" w:rsidR="00794AFD" w:rsidRPr="001C5950" w:rsidRDefault="00794AFD" w:rsidP="00794AFD">
            <w:pPr>
              <w:jc w:val="center"/>
              <w:rPr>
                <w:rFonts w:asciiTheme="minorHAnsi" w:hAnsiTheme="minorHAnsi" w:cs="Times New Roman"/>
                <w:b/>
                <w:bCs/>
                <w:sz w:val="16"/>
                <w:szCs w:val="16"/>
              </w:rPr>
            </w:pPr>
          </w:p>
        </w:tc>
        <w:tc>
          <w:tcPr>
            <w:tcW w:w="2904" w:type="pct"/>
            <w:gridSpan w:val="11"/>
            <w:tcBorders>
              <w:top w:val="single" w:sz="4" w:space="0" w:color="auto"/>
            </w:tcBorders>
          </w:tcPr>
          <w:p w14:paraId="6B2A585E" w14:textId="77777777" w:rsidR="00794AFD" w:rsidRPr="001C5950" w:rsidRDefault="00794AFD" w:rsidP="00794AFD">
            <w:pPr>
              <w:jc w:val="center"/>
              <w:rPr>
                <w:rFonts w:asciiTheme="minorHAnsi" w:hAnsiTheme="minorHAnsi" w:cs="Times New Roman"/>
                <w:b/>
                <w:bCs/>
                <w:sz w:val="16"/>
                <w:szCs w:val="16"/>
              </w:rPr>
            </w:pPr>
            <w:r w:rsidRPr="001C5950">
              <w:rPr>
                <w:rFonts w:asciiTheme="minorHAnsi" w:hAnsiTheme="minorHAnsi" w:cs="Times New Roman"/>
                <w:b/>
                <w:bCs/>
                <w:sz w:val="16"/>
                <w:szCs w:val="16"/>
              </w:rPr>
              <w:t xml:space="preserve">Attributable to equity holders of the Company (see Note </w:t>
            </w:r>
            <w:r w:rsidRPr="00FC3D06">
              <w:rPr>
                <w:rFonts w:asciiTheme="minorHAnsi" w:hAnsiTheme="minorHAnsi" w:cs="Times New Roman"/>
                <w:b/>
                <w:bCs/>
                <w:sz w:val="16"/>
                <w:szCs w:val="16"/>
              </w:rPr>
              <w:t>1</w:t>
            </w:r>
            <w:r>
              <w:rPr>
                <w:rFonts w:asciiTheme="minorHAnsi" w:hAnsiTheme="minorHAnsi" w:cs="Times New Roman"/>
                <w:b/>
                <w:bCs/>
                <w:sz w:val="16"/>
                <w:szCs w:val="16"/>
              </w:rPr>
              <w:t>1</w:t>
            </w:r>
            <w:r w:rsidRPr="001C5950">
              <w:rPr>
                <w:rFonts w:asciiTheme="minorHAnsi" w:hAnsiTheme="minorHAnsi" w:cs="Times New Roman"/>
                <w:b/>
                <w:bCs/>
                <w:sz w:val="16"/>
                <w:szCs w:val="16"/>
              </w:rPr>
              <w:t>)</w:t>
            </w:r>
          </w:p>
        </w:tc>
      </w:tr>
      <w:tr w:rsidR="00794AFD" w:rsidRPr="001C5950" w14:paraId="27719968" w14:textId="77777777" w:rsidTr="00794AFD">
        <w:trPr>
          <w:gridAfter w:val="3"/>
          <w:wAfter w:w="885" w:type="pct"/>
          <w:trHeight w:val="223"/>
        </w:trPr>
        <w:tc>
          <w:tcPr>
            <w:tcW w:w="881" w:type="pct"/>
            <w:tcBorders>
              <w:left w:val="nil"/>
            </w:tcBorders>
          </w:tcPr>
          <w:p w14:paraId="07C2CC00" w14:textId="77777777" w:rsidR="00794AFD" w:rsidRPr="00FC3D06" w:rsidRDefault="00794AFD" w:rsidP="00794AFD">
            <w:pPr>
              <w:ind w:left="-108"/>
              <w:rPr>
                <w:rFonts w:asciiTheme="minorHAnsi" w:hAnsiTheme="minorHAnsi" w:cs="Times New Roman"/>
                <w:sz w:val="16"/>
                <w:szCs w:val="16"/>
              </w:rPr>
            </w:pPr>
          </w:p>
        </w:tc>
        <w:tc>
          <w:tcPr>
            <w:tcW w:w="329" w:type="pct"/>
          </w:tcPr>
          <w:p w14:paraId="5718DBFD" w14:textId="77777777" w:rsidR="00794AFD" w:rsidRPr="001C5950" w:rsidRDefault="00794AFD" w:rsidP="00794AFD">
            <w:pPr>
              <w:jc w:val="center"/>
              <w:rPr>
                <w:rFonts w:asciiTheme="minorHAnsi" w:hAnsiTheme="minorHAnsi" w:cs="Times New Roman"/>
                <w:b/>
                <w:bCs/>
                <w:sz w:val="16"/>
                <w:szCs w:val="16"/>
              </w:rPr>
            </w:pPr>
          </w:p>
        </w:tc>
        <w:tc>
          <w:tcPr>
            <w:tcW w:w="2904" w:type="pct"/>
            <w:gridSpan w:val="11"/>
            <w:tcBorders>
              <w:top w:val="single" w:sz="4" w:space="0" w:color="auto"/>
            </w:tcBorders>
          </w:tcPr>
          <w:p w14:paraId="6FBC5764" w14:textId="77777777" w:rsidR="00794AFD" w:rsidRPr="001C5950" w:rsidRDefault="00794AFD" w:rsidP="00794AFD">
            <w:pPr>
              <w:jc w:val="center"/>
              <w:rPr>
                <w:rFonts w:asciiTheme="minorHAnsi" w:hAnsiTheme="minorHAnsi" w:cs="Times New Roman"/>
                <w:b/>
                <w:bCs/>
                <w:sz w:val="16"/>
                <w:szCs w:val="16"/>
              </w:rPr>
            </w:pPr>
          </w:p>
        </w:tc>
      </w:tr>
      <w:tr w:rsidR="00794AFD" w:rsidRPr="001C5950" w14:paraId="010B32E4" w14:textId="77777777" w:rsidTr="00794AFD">
        <w:trPr>
          <w:gridAfter w:val="1"/>
          <w:wAfter w:w="294" w:type="pct"/>
          <w:trHeight w:val="1070"/>
        </w:trPr>
        <w:tc>
          <w:tcPr>
            <w:tcW w:w="881" w:type="pct"/>
            <w:tcBorders>
              <w:top w:val="single" w:sz="4" w:space="0" w:color="auto"/>
              <w:left w:val="nil"/>
              <w:bottom w:val="single" w:sz="4" w:space="0" w:color="auto"/>
              <w:right w:val="nil"/>
            </w:tcBorders>
          </w:tcPr>
          <w:p w14:paraId="4C16EAD8" w14:textId="77777777" w:rsidR="00794AFD" w:rsidRPr="001C5950" w:rsidRDefault="00794AFD" w:rsidP="00794AFD">
            <w:pPr>
              <w:ind w:left="-108"/>
              <w:rPr>
                <w:rFonts w:asciiTheme="minorHAnsi" w:hAnsiTheme="minorHAnsi" w:cs="Times New Roman"/>
                <w:sz w:val="16"/>
                <w:szCs w:val="16"/>
              </w:rPr>
            </w:pPr>
          </w:p>
          <w:p w14:paraId="263C45EC" w14:textId="77777777" w:rsidR="00794AFD" w:rsidRPr="001C5950" w:rsidRDefault="00794AFD" w:rsidP="00794AFD">
            <w:pPr>
              <w:ind w:left="-108"/>
              <w:rPr>
                <w:rFonts w:asciiTheme="minorHAnsi" w:hAnsiTheme="minorHAnsi" w:cs="Times New Roman"/>
                <w:sz w:val="16"/>
                <w:szCs w:val="16"/>
              </w:rPr>
            </w:pPr>
          </w:p>
          <w:p w14:paraId="71534653" w14:textId="77777777" w:rsidR="00794AFD" w:rsidRPr="001C5950" w:rsidRDefault="00794AFD" w:rsidP="00794AFD">
            <w:pPr>
              <w:ind w:left="-108"/>
              <w:rPr>
                <w:rFonts w:asciiTheme="minorHAnsi" w:hAnsiTheme="minorHAnsi" w:cs="Times New Roman"/>
                <w:sz w:val="16"/>
                <w:szCs w:val="16"/>
              </w:rPr>
            </w:pPr>
          </w:p>
          <w:p w14:paraId="22BDC4F5" w14:textId="77777777" w:rsidR="00794AFD" w:rsidRPr="001C5950" w:rsidRDefault="00794AFD" w:rsidP="00794AFD">
            <w:pPr>
              <w:ind w:left="-108"/>
              <w:rPr>
                <w:rFonts w:asciiTheme="minorHAnsi" w:hAnsiTheme="minorHAnsi" w:cs="Times New Roman"/>
                <w:sz w:val="16"/>
                <w:szCs w:val="16"/>
              </w:rPr>
            </w:pPr>
          </w:p>
          <w:p w14:paraId="6539A692" w14:textId="77777777" w:rsidR="00794AFD" w:rsidRPr="001C5950" w:rsidRDefault="00794AFD" w:rsidP="00794AFD">
            <w:pPr>
              <w:ind w:left="-108"/>
              <w:rPr>
                <w:rFonts w:asciiTheme="minorHAnsi" w:hAnsiTheme="minorHAnsi" w:cs="Times New Roman"/>
                <w:sz w:val="16"/>
                <w:szCs w:val="16"/>
              </w:rPr>
            </w:pPr>
          </w:p>
          <w:p w14:paraId="6FB81863" w14:textId="77777777" w:rsidR="00794AFD" w:rsidRPr="001C5950" w:rsidRDefault="00794AFD" w:rsidP="00794AFD">
            <w:pPr>
              <w:ind w:left="-108"/>
              <w:rPr>
                <w:rFonts w:asciiTheme="minorHAnsi" w:hAnsiTheme="minorHAnsi" w:cs="Times New Roman"/>
                <w:sz w:val="16"/>
                <w:szCs w:val="16"/>
              </w:rPr>
            </w:pPr>
          </w:p>
        </w:tc>
        <w:tc>
          <w:tcPr>
            <w:tcW w:w="366" w:type="pct"/>
            <w:gridSpan w:val="2"/>
            <w:tcBorders>
              <w:top w:val="single" w:sz="4" w:space="0" w:color="auto"/>
              <w:left w:val="nil"/>
              <w:bottom w:val="single" w:sz="4" w:space="0" w:color="auto"/>
              <w:right w:val="nil"/>
            </w:tcBorders>
          </w:tcPr>
          <w:p w14:paraId="048C76A5" w14:textId="77777777" w:rsidR="00794AFD" w:rsidRPr="001C5950" w:rsidRDefault="00794AFD" w:rsidP="00794AFD">
            <w:pPr>
              <w:jc w:val="right"/>
              <w:rPr>
                <w:rFonts w:asciiTheme="minorHAnsi" w:hAnsiTheme="minorHAnsi" w:cs="Times New Roman"/>
                <w:b/>
                <w:bCs/>
                <w:sz w:val="16"/>
                <w:szCs w:val="16"/>
              </w:rPr>
            </w:pPr>
          </w:p>
          <w:p w14:paraId="1BB041FB" w14:textId="77777777" w:rsidR="00794AFD" w:rsidRPr="001C5950" w:rsidRDefault="00794AFD" w:rsidP="00794AFD">
            <w:pPr>
              <w:jc w:val="right"/>
              <w:rPr>
                <w:rFonts w:asciiTheme="minorHAnsi" w:hAnsiTheme="minorHAnsi" w:cs="Times New Roman"/>
                <w:b/>
                <w:bCs/>
                <w:i/>
                <w:sz w:val="16"/>
                <w:szCs w:val="16"/>
              </w:rPr>
            </w:pPr>
            <w:r w:rsidRPr="001C5950">
              <w:rPr>
                <w:rFonts w:asciiTheme="minorHAnsi" w:hAnsiTheme="minorHAnsi" w:cs="Times New Roman"/>
                <w:b/>
                <w:bCs/>
                <w:i/>
                <w:sz w:val="16"/>
                <w:szCs w:val="16"/>
              </w:rPr>
              <w:t>Number of</w:t>
            </w:r>
          </w:p>
          <w:p w14:paraId="53DFE9D6" w14:textId="77777777" w:rsidR="00794AFD" w:rsidRPr="001C5950" w:rsidRDefault="00794AFD" w:rsidP="00794AFD">
            <w:pPr>
              <w:jc w:val="right"/>
              <w:rPr>
                <w:rFonts w:asciiTheme="minorHAnsi" w:hAnsiTheme="minorHAnsi" w:cs="Times New Roman"/>
                <w:b/>
                <w:bCs/>
                <w:i/>
                <w:sz w:val="16"/>
                <w:szCs w:val="16"/>
              </w:rPr>
            </w:pPr>
            <w:r w:rsidRPr="001C5950">
              <w:rPr>
                <w:rFonts w:asciiTheme="minorHAnsi" w:hAnsiTheme="minorHAnsi" w:cs="Times New Roman"/>
                <w:b/>
                <w:bCs/>
                <w:i/>
                <w:sz w:val="16"/>
                <w:szCs w:val="16"/>
              </w:rPr>
              <w:t xml:space="preserve"> ordinary</w:t>
            </w:r>
          </w:p>
          <w:p w14:paraId="501AA4A9" w14:textId="77777777" w:rsidR="00794AFD" w:rsidRPr="001C5950" w:rsidRDefault="00794AFD" w:rsidP="00794AFD">
            <w:pPr>
              <w:jc w:val="right"/>
              <w:rPr>
                <w:rFonts w:asciiTheme="minorHAnsi" w:hAnsiTheme="minorHAnsi" w:cs="Times New Roman"/>
                <w:b/>
                <w:bCs/>
                <w:i/>
                <w:sz w:val="16"/>
                <w:szCs w:val="16"/>
              </w:rPr>
            </w:pPr>
            <w:r w:rsidRPr="001C5950">
              <w:rPr>
                <w:rFonts w:asciiTheme="minorHAnsi" w:hAnsiTheme="minorHAnsi" w:cs="Times New Roman"/>
                <w:b/>
                <w:bCs/>
                <w:i/>
                <w:sz w:val="16"/>
                <w:szCs w:val="16"/>
              </w:rPr>
              <w:t xml:space="preserve"> shares in</w:t>
            </w:r>
          </w:p>
          <w:p w14:paraId="292BD325"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i/>
                <w:sz w:val="16"/>
                <w:szCs w:val="16"/>
              </w:rPr>
              <w:t xml:space="preserve"> issu</w:t>
            </w:r>
            <w:r w:rsidRPr="001C5950">
              <w:rPr>
                <w:rFonts w:asciiTheme="minorHAnsi" w:hAnsiTheme="minorHAnsi" w:cs="Times New Roman"/>
                <w:b/>
                <w:bCs/>
                <w:sz w:val="16"/>
                <w:szCs w:val="16"/>
              </w:rPr>
              <w:t>e</w:t>
            </w:r>
          </w:p>
          <w:p w14:paraId="114FED90" w14:textId="77777777" w:rsidR="00794AFD" w:rsidRPr="001C5950" w:rsidRDefault="00794AFD" w:rsidP="00794AFD">
            <w:pPr>
              <w:jc w:val="right"/>
              <w:rPr>
                <w:rFonts w:asciiTheme="minorHAnsi" w:hAnsiTheme="minorHAnsi" w:cs="Times New Roman"/>
                <w:i/>
                <w:sz w:val="16"/>
                <w:szCs w:val="16"/>
              </w:rPr>
            </w:pPr>
            <w:r w:rsidRPr="001C5950">
              <w:rPr>
                <w:rFonts w:asciiTheme="minorHAnsi" w:hAnsiTheme="minorHAnsi" w:cs="Times New Roman"/>
                <w:b/>
                <w:bCs/>
                <w:i/>
                <w:sz w:val="16"/>
                <w:szCs w:val="16"/>
              </w:rPr>
              <w:t>millions</w:t>
            </w:r>
          </w:p>
        </w:tc>
        <w:tc>
          <w:tcPr>
            <w:tcW w:w="278" w:type="pct"/>
            <w:tcBorders>
              <w:top w:val="single" w:sz="4" w:space="0" w:color="auto"/>
              <w:left w:val="nil"/>
              <w:bottom w:val="single" w:sz="4" w:space="0" w:color="auto"/>
              <w:right w:val="nil"/>
            </w:tcBorders>
          </w:tcPr>
          <w:p w14:paraId="42596CDA"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Issued</w:t>
            </w:r>
          </w:p>
          <w:p w14:paraId="7BB1C23B"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share</w:t>
            </w:r>
          </w:p>
          <w:p w14:paraId="6D7545DF"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capital and share premium</w:t>
            </w:r>
          </w:p>
          <w:p w14:paraId="47066057" w14:textId="77777777" w:rsidR="00794AFD" w:rsidRPr="001C5950" w:rsidRDefault="00794AFD" w:rsidP="00794AFD">
            <w:pPr>
              <w:jc w:val="right"/>
              <w:rPr>
                <w:rFonts w:asciiTheme="minorHAnsi" w:hAnsiTheme="minorHAnsi" w:cs="Times New Roman"/>
                <w:sz w:val="16"/>
                <w:szCs w:val="16"/>
              </w:rPr>
            </w:pPr>
            <w:r w:rsidRPr="001C5950">
              <w:rPr>
                <w:rFonts w:asciiTheme="minorHAnsi" w:hAnsiTheme="minorHAnsi" w:cs="Times New Roman"/>
                <w:b/>
                <w:bCs/>
                <w:sz w:val="16"/>
                <w:szCs w:val="16"/>
              </w:rPr>
              <w:t>£m</w:t>
            </w:r>
          </w:p>
        </w:tc>
        <w:tc>
          <w:tcPr>
            <w:tcW w:w="308" w:type="pct"/>
            <w:tcBorders>
              <w:top w:val="single" w:sz="4" w:space="0" w:color="auto"/>
              <w:left w:val="nil"/>
              <w:bottom w:val="single" w:sz="4" w:space="0" w:color="auto"/>
              <w:right w:val="nil"/>
            </w:tcBorders>
          </w:tcPr>
          <w:p w14:paraId="5AAACBD6" w14:textId="77777777" w:rsidR="00794AFD" w:rsidRPr="001C5950" w:rsidRDefault="00794AFD" w:rsidP="00794AFD">
            <w:pPr>
              <w:jc w:val="right"/>
              <w:rPr>
                <w:rFonts w:asciiTheme="minorHAnsi" w:hAnsiTheme="minorHAnsi" w:cs="Times New Roman"/>
                <w:b/>
                <w:bCs/>
                <w:sz w:val="16"/>
                <w:szCs w:val="16"/>
              </w:rPr>
            </w:pPr>
          </w:p>
          <w:p w14:paraId="655AAF99" w14:textId="77777777" w:rsidR="00794AFD" w:rsidRDefault="00794AFD" w:rsidP="00794AFD">
            <w:pPr>
              <w:jc w:val="right"/>
              <w:rPr>
                <w:rFonts w:asciiTheme="minorHAnsi" w:hAnsiTheme="minorHAnsi" w:cs="Times New Roman"/>
                <w:b/>
                <w:bCs/>
                <w:sz w:val="16"/>
                <w:szCs w:val="16"/>
              </w:rPr>
            </w:pPr>
          </w:p>
          <w:p w14:paraId="630F7F22"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Foreign</w:t>
            </w:r>
          </w:p>
          <w:p w14:paraId="648D3389"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exchange translation</w:t>
            </w:r>
          </w:p>
          <w:p w14:paraId="17FEF619" w14:textId="77777777" w:rsidR="00794AFD" w:rsidRPr="001C5950" w:rsidRDefault="00794AFD" w:rsidP="00794AFD">
            <w:pPr>
              <w:jc w:val="right"/>
              <w:rPr>
                <w:rFonts w:asciiTheme="minorHAnsi" w:hAnsiTheme="minorHAnsi" w:cs="Times New Roman"/>
                <w:sz w:val="18"/>
                <w:szCs w:val="18"/>
              </w:rPr>
            </w:pPr>
            <w:r w:rsidRPr="001C5950">
              <w:rPr>
                <w:rFonts w:asciiTheme="minorHAnsi" w:hAnsiTheme="minorHAnsi" w:cs="Times New Roman"/>
                <w:b/>
                <w:bCs/>
                <w:sz w:val="16"/>
                <w:szCs w:val="16"/>
              </w:rPr>
              <w:t xml:space="preserve"> reserve</w:t>
            </w:r>
          </w:p>
          <w:p w14:paraId="2B33E311" w14:textId="77777777" w:rsidR="00794AFD" w:rsidRPr="001C5950" w:rsidRDefault="00794AFD" w:rsidP="00794AFD">
            <w:pPr>
              <w:jc w:val="right"/>
              <w:rPr>
                <w:rFonts w:asciiTheme="minorHAnsi" w:hAnsiTheme="minorHAnsi" w:cs="Times New Roman"/>
                <w:sz w:val="16"/>
                <w:szCs w:val="16"/>
              </w:rPr>
            </w:pPr>
            <w:r w:rsidRPr="001C5950">
              <w:rPr>
                <w:rFonts w:asciiTheme="minorHAnsi" w:hAnsiTheme="minorHAnsi" w:cs="Times New Roman"/>
                <w:b/>
                <w:bCs/>
                <w:sz w:val="16"/>
                <w:szCs w:val="16"/>
              </w:rPr>
              <w:t>£m</w:t>
            </w:r>
          </w:p>
        </w:tc>
        <w:tc>
          <w:tcPr>
            <w:tcW w:w="308" w:type="pct"/>
            <w:tcBorders>
              <w:top w:val="single" w:sz="4" w:space="0" w:color="auto"/>
              <w:left w:val="nil"/>
              <w:bottom w:val="single" w:sz="4" w:space="0" w:color="auto"/>
              <w:right w:val="nil"/>
            </w:tcBorders>
          </w:tcPr>
          <w:p w14:paraId="009ACFAF" w14:textId="77777777" w:rsidR="00794AFD" w:rsidRPr="001C5950" w:rsidRDefault="00794AFD" w:rsidP="00794AFD">
            <w:pPr>
              <w:jc w:val="right"/>
              <w:rPr>
                <w:rFonts w:asciiTheme="minorHAnsi" w:hAnsiTheme="minorHAnsi" w:cs="Times New Roman"/>
                <w:b/>
                <w:bCs/>
                <w:sz w:val="16"/>
                <w:szCs w:val="16"/>
              </w:rPr>
            </w:pPr>
          </w:p>
          <w:p w14:paraId="4E1E0B25" w14:textId="77777777" w:rsidR="00794AFD" w:rsidRPr="001C5950" w:rsidRDefault="00794AFD" w:rsidP="00794AFD">
            <w:pPr>
              <w:jc w:val="right"/>
              <w:rPr>
                <w:rFonts w:asciiTheme="minorHAnsi" w:hAnsiTheme="minorHAnsi" w:cs="Times New Roman"/>
                <w:b/>
                <w:bCs/>
                <w:sz w:val="16"/>
                <w:szCs w:val="16"/>
              </w:rPr>
            </w:pPr>
          </w:p>
          <w:p w14:paraId="719E687A" w14:textId="77777777" w:rsidR="00794AFD" w:rsidRPr="001C5950" w:rsidRDefault="00794AFD" w:rsidP="00794AFD">
            <w:pPr>
              <w:jc w:val="right"/>
              <w:rPr>
                <w:rFonts w:asciiTheme="minorHAnsi" w:hAnsiTheme="minorHAnsi" w:cs="Times New Roman"/>
                <w:b/>
                <w:bCs/>
                <w:sz w:val="16"/>
                <w:szCs w:val="16"/>
              </w:rPr>
            </w:pPr>
          </w:p>
          <w:p w14:paraId="651AF40C" w14:textId="77777777" w:rsidR="00794AFD" w:rsidRPr="001C5950" w:rsidRDefault="00794AFD" w:rsidP="00794AFD">
            <w:pPr>
              <w:jc w:val="right"/>
              <w:rPr>
                <w:rFonts w:asciiTheme="minorHAnsi" w:hAnsiTheme="minorHAnsi" w:cs="Times New Roman"/>
                <w:b/>
                <w:bCs/>
                <w:sz w:val="16"/>
                <w:szCs w:val="16"/>
              </w:rPr>
            </w:pPr>
            <w:r>
              <w:rPr>
                <w:rFonts w:asciiTheme="minorHAnsi" w:hAnsiTheme="minorHAnsi" w:cs="Times New Roman"/>
                <w:b/>
                <w:bCs/>
                <w:sz w:val="16"/>
                <w:szCs w:val="16"/>
              </w:rPr>
              <w:t>Cash flow hedge</w:t>
            </w:r>
          </w:p>
          <w:p w14:paraId="56116792"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reserve</w:t>
            </w:r>
          </w:p>
          <w:p w14:paraId="74BF2580" w14:textId="77777777" w:rsidR="00794AFD" w:rsidRPr="001C5950" w:rsidRDefault="00794AFD" w:rsidP="00794AFD">
            <w:pPr>
              <w:jc w:val="right"/>
              <w:rPr>
                <w:rFonts w:asciiTheme="minorHAnsi" w:hAnsiTheme="minorHAnsi" w:cs="Times New Roman"/>
                <w:sz w:val="16"/>
                <w:szCs w:val="16"/>
              </w:rPr>
            </w:pPr>
            <w:r w:rsidRPr="001C5950">
              <w:rPr>
                <w:rFonts w:asciiTheme="minorHAnsi" w:hAnsiTheme="minorHAnsi" w:cs="Times New Roman"/>
                <w:b/>
                <w:bCs/>
                <w:sz w:val="16"/>
                <w:szCs w:val="16"/>
              </w:rPr>
              <w:t>£m</w:t>
            </w:r>
          </w:p>
        </w:tc>
        <w:tc>
          <w:tcPr>
            <w:tcW w:w="284" w:type="pct"/>
            <w:tcBorders>
              <w:top w:val="single" w:sz="4" w:space="0" w:color="auto"/>
              <w:left w:val="nil"/>
              <w:bottom w:val="single" w:sz="4" w:space="0" w:color="auto"/>
              <w:right w:val="nil"/>
            </w:tcBorders>
          </w:tcPr>
          <w:p w14:paraId="640E9B0E" w14:textId="77777777" w:rsidR="00794AFD" w:rsidRPr="001C5950" w:rsidRDefault="00794AFD" w:rsidP="00794AFD">
            <w:pPr>
              <w:jc w:val="right"/>
              <w:rPr>
                <w:rFonts w:asciiTheme="minorHAnsi" w:hAnsiTheme="minorHAnsi" w:cs="Times New Roman"/>
                <w:b/>
                <w:bCs/>
                <w:sz w:val="16"/>
                <w:szCs w:val="16"/>
              </w:rPr>
            </w:pPr>
          </w:p>
          <w:p w14:paraId="1F5F5628" w14:textId="77777777" w:rsidR="00794AFD" w:rsidRPr="001C5950" w:rsidRDefault="00794AFD" w:rsidP="00794AFD">
            <w:pPr>
              <w:jc w:val="right"/>
              <w:rPr>
                <w:rFonts w:asciiTheme="minorHAnsi" w:hAnsiTheme="minorHAnsi" w:cs="Times New Roman"/>
                <w:b/>
                <w:bCs/>
                <w:sz w:val="16"/>
                <w:szCs w:val="16"/>
              </w:rPr>
            </w:pPr>
          </w:p>
          <w:p w14:paraId="27790FDA" w14:textId="77777777" w:rsidR="00794AFD" w:rsidRPr="001C5950" w:rsidRDefault="00794AFD" w:rsidP="00794AFD">
            <w:pPr>
              <w:jc w:val="right"/>
              <w:rPr>
                <w:rFonts w:asciiTheme="minorHAnsi" w:hAnsiTheme="minorHAnsi" w:cs="Times New Roman"/>
                <w:b/>
                <w:bCs/>
                <w:sz w:val="16"/>
                <w:szCs w:val="16"/>
              </w:rPr>
            </w:pPr>
          </w:p>
          <w:p w14:paraId="6A61F76F" w14:textId="77777777" w:rsidR="00794AFD" w:rsidRDefault="00794AFD" w:rsidP="00794AFD">
            <w:pPr>
              <w:jc w:val="right"/>
              <w:rPr>
                <w:rFonts w:asciiTheme="minorHAnsi" w:hAnsiTheme="minorHAnsi" w:cs="Times New Roman"/>
                <w:b/>
                <w:bCs/>
                <w:sz w:val="16"/>
                <w:szCs w:val="16"/>
              </w:rPr>
            </w:pPr>
          </w:p>
          <w:p w14:paraId="4B5E43FA"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Other</w:t>
            </w:r>
          </w:p>
          <w:p w14:paraId="7A62A1D0"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reserves</w:t>
            </w:r>
          </w:p>
          <w:p w14:paraId="34E69A28"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£m</w:t>
            </w:r>
          </w:p>
        </w:tc>
        <w:tc>
          <w:tcPr>
            <w:tcW w:w="329" w:type="pct"/>
            <w:gridSpan w:val="2"/>
            <w:tcBorders>
              <w:top w:val="single" w:sz="4" w:space="0" w:color="auto"/>
              <w:left w:val="nil"/>
              <w:bottom w:val="single" w:sz="4" w:space="0" w:color="auto"/>
              <w:right w:val="nil"/>
            </w:tcBorders>
          </w:tcPr>
          <w:p w14:paraId="0DB4B219" w14:textId="77777777" w:rsidR="00794AFD" w:rsidRPr="001C5950" w:rsidRDefault="00794AFD" w:rsidP="00794AFD">
            <w:pPr>
              <w:jc w:val="right"/>
              <w:rPr>
                <w:rFonts w:asciiTheme="minorHAnsi" w:hAnsiTheme="minorHAnsi" w:cs="Times New Roman"/>
                <w:b/>
                <w:bCs/>
                <w:sz w:val="16"/>
                <w:szCs w:val="16"/>
              </w:rPr>
            </w:pPr>
          </w:p>
          <w:p w14:paraId="68211A15" w14:textId="77777777" w:rsidR="00794AFD" w:rsidRPr="001C5950" w:rsidRDefault="00794AFD" w:rsidP="00794AFD">
            <w:pPr>
              <w:jc w:val="right"/>
              <w:rPr>
                <w:rFonts w:asciiTheme="minorHAnsi" w:hAnsiTheme="minorHAnsi" w:cs="Times New Roman"/>
                <w:b/>
                <w:bCs/>
                <w:sz w:val="16"/>
                <w:szCs w:val="16"/>
              </w:rPr>
            </w:pPr>
          </w:p>
          <w:p w14:paraId="58F28FE3" w14:textId="77777777" w:rsidR="00794AFD" w:rsidRPr="001C5950" w:rsidRDefault="00794AFD" w:rsidP="00794AFD">
            <w:pPr>
              <w:jc w:val="right"/>
              <w:rPr>
                <w:rFonts w:asciiTheme="minorHAnsi" w:hAnsiTheme="minorHAnsi" w:cs="Times New Roman"/>
                <w:b/>
                <w:bCs/>
                <w:sz w:val="16"/>
                <w:szCs w:val="16"/>
              </w:rPr>
            </w:pPr>
          </w:p>
          <w:p w14:paraId="6C86E5C2" w14:textId="77777777" w:rsidR="00794AFD" w:rsidRDefault="00794AFD" w:rsidP="00794AFD">
            <w:pPr>
              <w:jc w:val="right"/>
              <w:rPr>
                <w:rFonts w:asciiTheme="minorHAnsi" w:hAnsiTheme="minorHAnsi" w:cs="Times New Roman"/>
                <w:b/>
                <w:bCs/>
                <w:sz w:val="16"/>
                <w:szCs w:val="16"/>
              </w:rPr>
            </w:pPr>
          </w:p>
          <w:p w14:paraId="0E292BB5"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Treasury</w:t>
            </w:r>
          </w:p>
          <w:p w14:paraId="5C7E6557"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shares</w:t>
            </w:r>
          </w:p>
          <w:p w14:paraId="7802A959" w14:textId="77777777" w:rsidR="00794AFD" w:rsidRPr="001C5950" w:rsidRDefault="00794AFD" w:rsidP="00794AFD">
            <w:pPr>
              <w:jc w:val="right"/>
              <w:rPr>
                <w:rFonts w:asciiTheme="minorHAnsi" w:hAnsiTheme="minorHAnsi" w:cs="Times New Roman"/>
                <w:sz w:val="16"/>
                <w:szCs w:val="16"/>
              </w:rPr>
            </w:pPr>
            <w:r w:rsidRPr="001C5950">
              <w:rPr>
                <w:rFonts w:asciiTheme="minorHAnsi" w:hAnsiTheme="minorHAnsi" w:cs="Times New Roman"/>
                <w:b/>
                <w:bCs/>
                <w:sz w:val="16"/>
                <w:szCs w:val="16"/>
              </w:rPr>
              <w:t>£m</w:t>
            </w:r>
          </w:p>
        </w:tc>
        <w:tc>
          <w:tcPr>
            <w:tcW w:w="351" w:type="pct"/>
            <w:tcBorders>
              <w:top w:val="single" w:sz="4" w:space="0" w:color="auto"/>
              <w:left w:val="nil"/>
              <w:bottom w:val="single" w:sz="4" w:space="0" w:color="auto"/>
              <w:right w:val="nil"/>
            </w:tcBorders>
          </w:tcPr>
          <w:p w14:paraId="1927A702" w14:textId="77777777" w:rsidR="00794AFD" w:rsidRPr="001C5950" w:rsidRDefault="00794AFD" w:rsidP="00794AFD">
            <w:pPr>
              <w:jc w:val="right"/>
              <w:rPr>
                <w:rFonts w:asciiTheme="minorHAnsi" w:hAnsiTheme="minorHAnsi" w:cs="Times New Roman"/>
                <w:b/>
                <w:bCs/>
                <w:sz w:val="16"/>
                <w:szCs w:val="16"/>
              </w:rPr>
            </w:pPr>
          </w:p>
          <w:p w14:paraId="213EABF4" w14:textId="77777777" w:rsidR="00794AFD" w:rsidRDefault="00794AFD" w:rsidP="00794AFD">
            <w:pPr>
              <w:jc w:val="right"/>
              <w:rPr>
                <w:rFonts w:asciiTheme="minorHAnsi" w:hAnsiTheme="minorHAnsi" w:cs="Times New Roman"/>
                <w:b/>
                <w:bCs/>
                <w:sz w:val="16"/>
                <w:szCs w:val="16"/>
              </w:rPr>
            </w:pPr>
          </w:p>
          <w:p w14:paraId="7C577A44"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Shares</w:t>
            </w:r>
          </w:p>
          <w:p w14:paraId="42FA7F9C"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held by</w:t>
            </w:r>
          </w:p>
          <w:p w14:paraId="1EFE55B8"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employee benefit trust</w:t>
            </w:r>
          </w:p>
          <w:p w14:paraId="1E2B49B7" w14:textId="77777777" w:rsidR="00794AFD" w:rsidRPr="001C5950" w:rsidRDefault="00794AFD" w:rsidP="00794AFD">
            <w:pPr>
              <w:jc w:val="right"/>
              <w:rPr>
                <w:rFonts w:asciiTheme="minorHAnsi" w:hAnsiTheme="minorHAnsi" w:cs="Times New Roman"/>
                <w:sz w:val="16"/>
                <w:szCs w:val="16"/>
              </w:rPr>
            </w:pPr>
            <w:r w:rsidRPr="001C5950">
              <w:rPr>
                <w:rFonts w:asciiTheme="minorHAnsi" w:hAnsiTheme="minorHAnsi" w:cs="Times New Roman"/>
                <w:b/>
                <w:bCs/>
                <w:sz w:val="16"/>
                <w:szCs w:val="16"/>
              </w:rPr>
              <w:t>£m</w:t>
            </w:r>
          </w:p>
        </w:tc>
        <w:tc>
          <w:tcPr>
            <w:tcW w:w="325" w:type="pct"/>
            <w:tcBorders>
              <w:top w:val="single" w:sz="4" w:space="0" w:color="auto"/>
              <w:left w:val="nil"/>
              <w:bottom w:val="single" w:sz="4" w:space="0" w:color="auto"/>
              <w:right w:val="nil"/>
            </w:tcBorders>
          </w:tcPr>
          <w:p w14:paraId="7DB7AB19" w14:textId="77777777" w:rsidR="00794AFD" w:rsidRPr="001C5950" w:rsidRDefault="00794AFD" w:rsidP="00794AFD">
            <w:pPr>
              <w:jc w:val="right"/>
              <w:rPr>
                <w:rFonts w:asciiTheme="minorHAnsi" w:hAnsiTheme="minorHAnsi" w:cs="Times New Roman"/>
                <w:b/>
                <w:bCs/>
                <w:sz w:val="16"/>
                <w:szCs w:val="16"/>
              </w:rPr>
            </w:pPr>
          </w:p>
          <w:p w14:paraId="0A2BD213" w14:textId="77777777" w:rsidR="00794AFD" w:rsidRDefault="00794AFD" w:rsidP="00794AFD">
            <w:pPr>
              <w:jc w:val="right"/>
              <w:rPr>
                <w:rFonts w:asciiTheme="minorHAnsi" w:hAnsiTheme="minorHAnsi" w:cs="Times New Roman"/>
                <w:b/>
                <w:bCs/>
                <w:sz w:val="16"/>
                <w:szCs w:val="16"/>
              </w:rPr>
            </w:pPr>
          </w:p>
          <w:p w14:paraId="4E26DD45"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Share-</w:t>
            </w:r>
          </w:p>
          <w:p w14:paraId="44038D03"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based</w:t>
            </w:r>
          </w:p>
          <w:p w14:paraId="574589F9"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payment</w:t>
            </w:r>
          </w:p>
          <w:p w14:paraId="21CB0627"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reserve</w:t>
            </w:r>
          </w:p>
          <w:p w14:paraId="04B7C0D7" w14:textId="77777777" w:rsidR="00794AFD" w:rsidRPr="001C5950" w:rsidRDefault="00794AFD" w:rsidP="00794AFD">
            <w:pPr>
              <w:jc w:val="right"/>
              <w:rPr>
                <w:rFonts w:asciiTheme="minorHAnsi" w:hAnsiTheme="minorHAnsi" w:cs="Times New Roman"/>
                <w:sz w:val="16"/>
                <w:szCs w:val="16"/>
              </w:rPr>
            </w:pPr>
            <w:r w:rsidRPr="001C5950">
              <w:rPr>
                <w:rFonts w:asciiTheme="minorHAnsi" w:hAnsiTheme="minorHAnsi" w:cs="Times New Roman"/>
                <w:b/>
                <w:bCs/>
                <w:sz w:val="16"/>
                <w:szCs w:val="16"/>
              </w:rPr>
              <w:t>£m</w:t>
            </w:r>
          </w:p>
        </w:tc>
        <w:tc>
          <w:tcPr>
            <w:tcW w:w="385" w:type="pct"/>
            <w:tcBorders>
              <w:top w:val="single" w:sz="4" w:space="0" w:color="auto"/>
              <w:left w:val="nil"/>
              <w:bottom w:val="single" w:sz="4" w:space="0" w:color="auto"/>
              <w:right w:val="nil"/>
            </w:tcBorders>
          </w:tcPr>
          <w:p w14:paraId="186DB433" w14:textId="77777777" w:rsidR="00794AFD" w:rsidRPr="001C5950" w:rsidRDefault="00794AFD" w:rsidP="00794AFD">
            <w:pPr>
              <w:jc w:val="right"/>
              <w:rPr>
                <w:rFonts w:asciiTheme="minorHAnsi" w:hAnsiTheme="minorHAnsi" w:cs="Times New Roman"/>
                <w:b/>
                <w:bCs/>
                <w:sz w:val="16"/>
                <w:szCs w:val="16"/>
              </w:rPr>
            </w:pPr>
          </w:p>
          <w:p w14:paraId="43A6D5EE" w14:textId="77777777" w:rsidR="00794AFD" w:rsidRPr="001C5950" w:rsidRDefault="00794AFD" w:rsidP="00794AFD">
            <w:pPr>
              <w:jc w:val="right"/>
              <w:rPr>
                <w:rFonts w:asciiTheme="minorHAnsi" w:hAnsiTheme="minorHAnsi" w:cs="Times New Roman"/>
                <w:b/>
                <w:bCs/>
                <w:sz w:val="16"/>
                <w:szCs w:val="16"/>
              </w:rPr>
            </w:pPr>
          </w:p>
          <w:p w14:paraId="7269D749" w14:textId="77777777" w:rsidR="00794AFD" w:rsidRPr="001C5950" w:rsidRDefault="00794AFD" w:rsidP="00794AFD">
            <w:pPr>
              <w:jc w:val="right"/>
              <w:rPr>
                <w:rFonts w:asciiTheme="minorHAnsi" w:hAnsiTheme="minorHAnsi" w:cs="Times New Roman"/>
                <w:b/>
                <w:bCs/>
                <w:sz w:val="16"/>
                <w:szCs w:val="16"/>
              </w:rPr>
            </w:pPr>
          </w:p>
          <w:p w14:paraId="617504D4" w14:textId="77777777" w:rsidR="00794AFD" w:rsidRDefault="00794AFD" w:rsidP="00794AFD">
            <w:pPr>
              <w:jc w:val="right"/>
              <w:rPr>
                <w:rFonts w:asciiTheme="minorHAnsi" w:hAnsiTheme="minorHAnsi" w:cs="Times New Roman"/>
                <w:b/>
                <w:bCs/>
                <w:sz w:val="16"/>
                <w:szCs w:val="16"/>
              </w:rPr>
            </w:pPr>
          </w:p>
          <w:p w14:paraId="614715DA"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Retained</w:t>
            </w:r>
          </w:p>
          <w:p w14:paraId="7F1E280E"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earnings</w:t>
            </w:r>
          </w:p>
          <w:p w14:paraId="42F39573" w14:textId="77777777" w:rsidR="00794AFD" w:rsidRPr="001C5950" w:rsidRDefault="00794AFD" w:rsidP="00794AFD">
            <w:pPr>
              <w:jc w:val="right"/>
              <w:rPr>
                <w:rFonts w:asciiTheme="minorHAnsi" w:hAnsiTheme="minorHAnsi" w:cs="Times New Roman"/>
                <w:sz w:val="16"/>
                <w:szCs w:val="16"/>
              </w:rPr>
            </w:pPr>
            <w:r w:rsidRPr="001C5950">
              <w:rPr>
                <w:rFonts w:asciiTheme="minorHAnsi" w:hAnsiTheme="minorHAnsi" w:cs="Times New Roman"/>
                <w:b/>
                <w:bCs/>
                <w:sz w:val="16"/>
                <w:szCs w:val="16"/>
              </w:rPr>
              <w:t>£m</w:t>
            </w:r>
          </w:p>
        </w:tc>
        <w:tc>
          <w:tcPr>
            <w:tcW w:w="298" w:type="pct"/>
            <w:tcBorders>
              <w:top w:val="single" w:sz="4" w:space="0" w:color="auto"/>
              <w:left w:val="nil"/>
              <w:bottom w:val="single" w:sz="4" w:space="0" w:color="auto"/>
              <w:right w:val="nil"/>
            </w:tcBorders>
          </w:tcPr>
          <w:p w14:paraId="15B93A11" w14:textId="77777777" w:rsidR="00794AFD" w:rsidRPr="001C5950" w:rsidRDefault="00794AFD" w:rsidP="00794AFD">
            <w:pPr>
              <w:jc w:val="right"/>
              <w:rPr>
                <w:rFonts w:asciiTheme="minorHAnsi" w:hAnsiTheme="minorHAnsi" w:cs="Times New Roman"/>
                <w:b/>
                <w:bCs/>
                <w:sz w:val="16"/>
                <w:szCs w:val="16"/>
              </w:rPr>
            </w:pPr>
          </w:p>
          <w:p w14:paraId="7DF5571E" w14:textId="77777777" w:rsidR="00794AFD" w:rsidRPr="001C5950" w:rsidRDefault="00794AFD" w:rsidP="00794AFD">
            <w:pPr>
              <w:jc w:val="right"/>
              <w:rPr>
                <w:rFonts w:asciiTheme="minorHAnsi" w:hAnsiTheme="minorHAnsi" w:cs="Times New Roman"/>
                <w:b/>
                <w:bCs/>
                <w:sz w:val="16"/>
                <w:szCs w:val="16"/>
              </w:rPr>
            </w:pPr>
          </w:p>
          <w:p w14:paraId="481C1BE6" w14:textId="77777777" w:rsidR="00794AFD" w:rsidRPr="001C5950" w:rsidRDefault="00794AFD" w:rsidP="00794AFD">
            <w:pPr>
              <w:jc w:val="right"/>
              <w:rPr>
                <w:rFonts w:asciiTheme="minorHAnsi" w:hAnsiTheme="minorHAnsi" w:cs="Times New Roman"/>
                <w:b/>
                <w:bCs/>
                <w:sz w:val="16"/>
                <w:szCs w:val="16"/>
              </w:rPr>
            </w:pPr>
          </w:p>
          <w:p w14:paraId="79672616" w14:textId="77777777" w:rsidR="00794AFD" w:rsidRDefault="00794AFD" w:rsidP="00794AFD">
            <w:pPr>
              <w:jc w:val="right"/>
              <w:rPr>
                <w:rFonts w:asciiTheme="minorHAnsi" w:hAnsiTheme="minorHAnsi" w:cs="Times New Roman"/>
                <w:b/>
                <w:bCs/>
                <w:sz w:val="16"/>
                <w:szCs w:val="16"/>
              </w:rPr>
            </w:pPr>
          </w:p>
          <w:p w14:paraId="052D0A8A"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Total</w:t>
            </w:r>
          </w:p>
          <w:p w14:paraId="2BF9FD04"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equity</w:t>
            </w:r>
          </w:p>
          <w:p w14:paraId="306C54BA"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£m</w:t>
            </w:r>
          </w:p>
        </w:tc>
        <w:tc>
          <w:tcPr>
            <w:tcW w:w="304" w:type="pct"/>
            <w:tcBorders>
              <w:top w:val="single" w:sz="4" w:space="0" w:color="auto"/>
              <w:left w:val="nil"/>
              <w:bottom w:val="single" w:sz="4" w:space="0" w:color="auto"/>
              <w:right w:val="nil"/>
            </w:tcBorders>
          </w:tcPr>
          <w:p w14:paraId="46FB27FB" w14:textId="77777777" w:rsidR="00794AFD" w:rsidRPr="001C5950" w:rsidRDefault="00794AFD" w:rsidP="00794AFD">
            <w:pPr>
              <w:jc w:val="right"/>
              <w:rPr>
                <w:rFonts w:asciiTheme="minorHAnsi" w:hAnsiTheme="minorHAnsi" w:cs="Times New Roman"/>
                <w:b/>
                <w:bCs/>
                <w:sz w:val="16"/>
                <w:szCs w:val="16"/>
              </w:rPr>
            </w:pPr>
          </w:p>
          <w:p w14:paraId="2C399BCE" w14:textId="77777777" w:rsidR="00794AFD" w:rsidRPr="001C5950" w:rsidRDefault="00794AFD" w:rsidP="00794AFD">
            <w:pPr>
              <w:jc w:val="right"/>
              <w:rPr>
                <w:rFonts w:asciiTheme="minorHAnsi" w:hAnsiTheme="minorHAnsi" w:cs="Times New Roman"/>
                <w:b/>
                <w:bCs/>
                <w:sz w:val="16"/>
                <w:szCs w:val="16"/>
              </w:rPr>
            </w:pPr>
          </w:p>
          <w:p w14:paraId="391AFC96" w14:textId="77777777" w:rsidR="00794AFD" w:rsidRDefault="00794AFD" w:rsidP="00794AFD">
            <w:pPr>
              <w:jc w:val="right"/>
              <w:rPr>
                <w:rFonts w:asciiTheme="minorHAnsi" w:hAnsiTheme="minorHAnsi" w:cs="Times New Roman"/>
                <w:b/>
                <w:bCs/>
                <w:sz w:val="16"/>
                <w:szCs w:val="16"/>
              </w:rPr>
            </w:pPr>
          </w:p>
          <w:p w14:paraId="5B58DCA9"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Non-controlling interest</w:t>
            </w:r>
          </w:p>
          <w:p w14:paraId="7B1614E2"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£m</w:t>
            </w:r>
          </w:p>
        </w:tc>
        <w:tc>
          <w:tcPr>
            <w:tcW w:w="289" w:type="pct"/>
            <w:tcBorders>
              <w:top w:val="single" w:sz="4" w:space="0" w:color="auto"/>
              <w:left w:val="nil"/>
              <w:bottom w:val="single" w:sz="4" w:space="0" w:color="auto"/>
              <w:right w:val="nil"/>
            </w:tcBorders>
          </w:tcPr>
          <w:p w14:paraId="192C2BF9" w14:textId="77777777" w:rsidR="00794AFD" w:rsidRPr="001C5950" w:rsidRDefault="00794AFD" w:rsidP="00794AFD">
            <w:pPr>
              <w:jc w:val="right"/>
              <w:rPr>
                <w:rFonts w:asciiTheme="minorHAnsi" w:hAnsiTheme="minorHAnsi" w:cs="Times New Roman"/>
                <w:b/>
                <w:bCs/>
                <w:sz w:val="16"/>
                <w:szCs w:val="16"/>
              </w:rPr>
            </w:pPr>
          </w:p>
          <w:p w14:paraId="4E9FAB53" w14:textId="77777777" w:rsidR="00794AFD" w:rsidRPr="001C5950" w:rsidRDefault="00794AFD" w:rsidP="00794AFD">
            <w:pPr>
              <w:jc w:val="right"/>
              <w:rPr>
                <w:rFonts w:asciiTheme="minorHAnsi" w:hAnsiTheme="minorHAnsi" w:cs="Times New Roman"/>
                <w:b/>
                <w:bCs/>
                <w:sz w:val="16"/>
                <w:szCs w:val="16"/>
              </w:rPr>
            </w:pPr>
          </w:p>
          <w:p w14:paraId="5E7C6E03" w14:textId="77777777" w:rsidR="00794AFD" w:rsidRPr="001C5950" w:rsidRDefault="00794AFD" w:rsidP="00794AFD">
            <w:pPr>
              <w:jc w:val="right"/>
              <w:rPr>
                <w:rFonts w:asciiTheme="minorHAnsi" w:hAnsiTheme="minorHAnsi" w:cs="Times New Roman"/>
                <w:b/>
                <w:bCs/>
                <w:sz w:val="16"/>
                <w:szCs w:val="16"/>
              </w:rPr>
            </w:pPr>
          </w:p>
          <w:p w14:paraId="66954147" w14:textId="77777777" w:rsidR="00794AFD" w:rsidRDefault="00794AFD" w:rsidP="00794AFD">
            <w:pPr>
              <w:jc w:val="right"/>
              <w:rPr>
                <w:rFonts w:asciiTheme="minorHAnsi" w:hAnsiTheme="minorHAnsi" w:cs="Times New Roman"/>
                <w:b/>
                <w:bCs/>
                <w:sz w:val="16"/>
                <w:szCs w:val="16"/>
              </w:rPr>
            </w:pPr>
          </w:p>
          <w:p w14:paraId="06F638FB"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Total</w:t>
            </w:r>
          </w:p>
          <w:p w14:paraId="2EF4B626"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equity</w:t>
            </w:r>
          </w:p>
          <w:p w14:paraId="7CFC95C9"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£m</w:t>
            </w:r>
          </w:p>
        </w:tc>
      </w:tr>
      <w:tr w:rsidR="00794AFD" w:rsidRPr="001C5950" w14:paraId="25A8F87A" w14:textId="77777777" w:rsidTr="00794AFD">
        <w:trPr>
          <w:gridAfter w:val="1"/>
          <w:wAfter w:w="294" w:type="pct"/>
          <w:trHeight w:val="380"/>
        </w:trPr>
        <w:tc>
          <w:tcPr>
            <w:tcW w:w="881" w:type="pct"/>
            <w:tcBorders>
              <w:top w:val="single" w:sz="4" w:space="0" w:color="auto"/>
              <w:left w:val="nil"/>
              <w:right w:val="nil"/>
            </w:tcBorders>
          </w:tcPr>
          <w:p w14:paraId="25ABF37A" w14:textId="77777777" w:rsidR="00794AFD" w:rsidRPr="00FC3D06" w:rsidRDefault="00794AFD" w:rsidP="00794AFD">
            <w:pPr>
              <w:ind w:left="-108"/>
              <w:rPr>
                <w:rFonts w:asciiTheme="minorHAnsi" w:hAnsiTheme="minorHAnsi" w:cs="Times New Roman"/>
                <w:sz w:val="16"/>
                <w:szCs w:val="16"/>
              </w:rPr>
            </w:pPr>
          </w:p>
          <w:p w14:paraId="50A84DF6" w14:textId="77777777" w:rsidR="00794AFD" w:rsidRPr="00FC3D06" w:rsidRDefault="00794AFD" w:rsidP="00794AFD">
            <w:pPr>
              <w:ind w:left="-108"/>
              <w:rPr>
                <w:rFonts w:asciiTheme="minorHAnsi" w:hAnsiTheme="minorHAnsi" w:cs="Times New Roman"/>
                <w:sz w:val="16"/>
                <w:szCs w:val="16"/>
              </w:rPr>
            </w:pPr>
            <w:r w:rsidRPr="001C5950">
              <w:rPr>
                <w:rFonts w:asciiTheme="minorHAnsi" w:hAnsiTheme="minorHAnsi" w:cs="Times New Roman"/>
                <w:sz w:val="16"/>
                <w:szCs w:val="16"/>
              </w:rPr>
              <w:t xml:space="preserve">Balance at 1 January </w:t>
            </w:r>
            <w:r>
              <w:rPr>
                <w:rFonts w:asciiTheme="minorHAnsi" w:hAnsiTheme="minorHAnsi" w:cs="Times New Roman"/>
                <w:sz w:val="16"/>
                <w:szCs w:val="16"/>
              </w:rPr>
              <w:t>2019</w:t>
            </w:r>
          </w:p>
        </w:tc>
        <w:tc>
          <w:tcPr>
            <w:tcW w:w="366" w:type="pct"/>
            <w:gridSpan w:val="2"/>
            <w:tcBorders>
              <w:top w:val="single" w:sz="4" w:space="0" w:color="auto"/>
              <w:left w:val="nil"/>
              <w:right w:val="nil"/>
            </w:tcBorders>
          </w:tcPr>
          <w:p w14:paraId="63C3B603" w14:textId="77777777" w:rsidR="00794AFD" w:rsidRPr="00CC6E4B" w:rsidRDefault="00794AFD" w:rsidP="00794AFD">
            <w:pPr>
              <w:jc w:val="right"/>
              <w:rPr>
                <w:rFonts w:asciiTheme="minorHAnsi" w:hAnsiTheme="minorHAnsi" w:cs="Times New Roman"/>
                <w:b/>
                <w:sz w:val="16"/>
                <w:szCs w:val="16"/>
              </w:rPr>
            </w:pPr>
          </w:p>
          <w:p w14:paraId="662A78F0" w14:textId="77777777" w:rsidR="00794AFD" w:rsidRPr="00CC6E4B" w:rsidRDefault="00794AFD" w:rsidP="00794AFD">
            <w:pPr>
              <w:jc w:val="right"/>
              <w:rPr>
                <w:rFonts w:asciiTheme="minorHAnsi" w:hAnsiTheme="minorHAnsi" w:cs="Times New Roman"/>
                <w:b/>
                <w:i/>
                <w:sz w:val="16"/>
                <w:szCs w:val="16"/>
              </w:rPr>
            </w:pPr>
            <w:r w:rsidRPr="00CC6E4B">
              <w:rPr>
                <w:rFonts w:asciiTheme="minorHAnsi" w:hAnsiTheme="minorHAnsi" w:cs="Times New Roman"/>
                <w:b/>
                <w:i/>
                <w:sz w:val="16"/>
                <w:szCs w:val="16"/>
              </w:rPr>
              <w:t>81.4</w:t>
            </w:r>
          </w:p>
        </w:tc>
        <w:tc>
          <w:tcPr>
            <w:tcW w:w="278" w:type="pct"/>
            <w:tcBorders>
              <w:top w:val="single" w:sz="4" w:space="0" w:color="auto"/>
              <w:left w:val="nil"/>
              <w:right w:val="nil"/>
            </w:tcBorders>
          </w:tcPr>
          <w:p w14:paraId="066E85F4" w14:textId="77777777" w:rsidR="00794AFD" w:rsidRPr="00CC6E4B" w:rsidRDefault="00794AFD" w:rsidP="00794AFD">
            <w:pPr>
              <w:jc w:val="right"/>
              <w:rPr>
                <w:rFonts w:asciiTheme="minorHAnsi" w:hAnsiTheme="minorHAnsi" w:cs="Times New Roman"/>
                <w:b/>
                <w:sz w:val="16"/>
                <w:szCs w:val="16"/>
              </w:rPr>
            </w:pPr>
          </w:p>
          <w:p w14:paraId="5915914B" w14:textId="77777777" w:rsidR="00794AFD" w:rsidRPr="00CC6E4B" w:rsidRDefault="00794AFD" w:rsidP="00794AFD">
            <w:pPr>
              <w:jc w:val="right"/>
              <w:rPr>
                <w:rFonts w:asciiTheme="minorHAnsi" w:hAnsiTheme="minorHAnsi" w:cs="Times New Roman"/>
                <w:b/>
                <w:sz w:val="16"/>
                <w:szCs w:val="16"/>
              </w:rPr>
            </w:pPr>
            <w:r w:rsidRPr="00CC6E4B">
              <w:rPr>
                <w:rFonts w:asciiTheme="minorHAnsi" w:hAnsiTheme="minorHAnsi" w:cs="Times New Roman"/>
                <w:b/>
                <w:sz w:val="16"/>
                <w:szCs w:val="16"/>
              </w:rPr>
              <w:t>424.8</w:t>
            </w:r>
          </w:p>
        </w:tc>
        <w:tc>
          <w:tcPr>
            <w:tcW w:w="308" w:type="pct"/>
            <w:tcBorders>
              <w:top w:val="single" w:sz="4" w:space="0" w:color="auto"/>
              <w:left w:val="nil"/>
              <w:right w:val="nil"/>
            </w:tcBorders>
          </w:tcPr>
          <w:p w14:paraId="2B73D82B" w14:textId="77777777" w:rsidR="00794AFD" w:rsidRPr="00CC6E4B" w:rsidRDefault="00794AFD" w:rsidP="00794AFD">
            <w:pPr>
              <w:jc w:val="right"/>
              <w:rPr>
                <w:rFonts w:asciiTheme="minorHAnsi" w:hAnsiTheme="minorHAnsi" w:cs="Times New Roman"/>
                <w:b/>
                <w:sz w:val="16"/>
                <w:szCs w:val="16"/>
              </w:rPr>
            </w:pPr>
          </w:p>
          <w:p w14:paraId="1638AF02" w14:textId="77777777" w:rsidR="00794AFD" w:rsidRPr="00CC6E4B" w:rsidRDefault="00794AFD" w:rsidP="00794AFD">
            <w:pPr>
              <w:jc w:val="right"/>
              <w:rPr>
                <w:rFonts w:asciiTheme="minorHAnsi" w:hAnsiTheme="minorHAnsi" w:cs="Times New Roman"/>
                <w:b/>
                <w:sz w:val="16"/>
                <w:szCs w:val="16"/>
              </w:rPr>
            </w:pPr>
            <w:r w:rsidRPr="00CC6E4B">
              <w:rPr>
                <w:rFonts w:asciiTheme="minorHAnsi" w:hAnsiTheme="minorHAnsi" w:cs="Times New Roman"/>
                <w:b/>
                <w:sz w:val="16"/>
                <w:szCs w:val="16"/>
              </w:rPr>
              <w:t>4.1</w:t>
            </w:r>
          </w:p>
        </w:tc>
        <w:tc>
          <w:tcPr>
            <w:tcW w:w="308" w:type="pct"/>
            <w:tcBorders>
              <w:top w:val="single" w:sz="4" w:space="0" w:color="auto"/>
              <w:left w:val="nil"/>
              <w:right w:val="nil"/>
            </w:tcBorders>
          </w:tcPr>
          <w:p w14:paraId="179E9AD9" w14:textId="77777777" w:rsidR="00794AFD" w:rsidRPr="00CC6E4B" w:rsidRDefault="00794AFD" w:rsidP="00794AFD">
            <w:pPr>
              <w:jc w:val="right"/>
              <w:rPr>
                <w:rFonts w:asciiTheme="minorHAnsi" w:hAnsiTheme="minorHAnsi" w:cs="Times New Roman"/>
                <w:b/>
                <w:sz w:val="16"/>
                <w:szCs w:val="16"/>
              </w:rPr>
            </w:pPr>
          </w:p>
          <w:p w14:paraId="3AA7365F" w14:textId="77777777" w:rsidR="00794AFD" w:rsidRPr="00CC6E4B" w:rsidRDefault="00794AFD" w:rsidP="00794AFD">
            <w:pPr>
              <w:jc w:val="right"/>
              <w:rPr>
                <w:rFonts w:asciiTheme="minorHAnsi" w:hAnsiTheme="minorHAnsi" w:cs="Times New Roman"/>
                <w:b/>
                <w:sz w:val="16"/>
                <w:szCs w:val="16"/>
              </w:rPr>
            </w:pPr>
            <w:r>
              <w:rPr>
                <w:rFonts w:asciiTheme="minorHAnsi" w:hAnsiTheme="minorHAnsi" w:cs="Times New Roman"/>
                <w:b/>
                <w:sz w:val="16"/>
                <w:szCs w:val="16"/>
              </w:rPr>
              <w:t>-</w:t>
            </w:r>
          </w:p>
        </w:tc>
        <w:tc>
          <w:tcPr>
            <w:tcW w:w="284" w:type="pct"/>
            <w:tcBorders>
              <w:top w:val="single" w:sz="4" w:space="0" w:color="auto"/>
              <w:left w:val="nil"/>
              <w:right w:val="nil"/>
            </w:tcBorders>
          </w:tcPr>
          <w:p w14:paraId="3BDDB58D" w14:textId="77777777" w:rsidR="00794AFD" w:rsidRPr="008243EE" w:rsidRDefault="00794AFD" w:rsidP="00794AFD">
            <w:pPr>
              <w:jc w:val="right"/>
              <w:rPr>
                <w:rFonts w:asciiTheme="minorHAnsi" w:hAnsiTheme="minorHAnsi" w:cs="Times New Roman"/>
                <w:b/>
                <w:sz w:val="16"/>
                <w:szCs w:val="16"/>
              </w:rPr>
            </w:pPr>
          </w:p>
          <w:p w14:paraId="438AB04C" w14:textId="77777777" w:rsidR="00794AFD" w:rsidRPr="008243EE" w:rsidRDefault="00794AFD" w:rsidP="00794AFD">
            <w:pPr>
              <w:jc w:val="right"/>
              <w:rPr>
                <w:rFonts w:asciiTheme="minorHAnsi" w:hAnsiTheme="minorHAnsi" w:cs="Times New Roman"/>
                <w:b/>
                <w:sz w:val="16"/>
                <w:szCs w:val="16"/>
              </w:rPr>
            </w:pPr>
            <w:r w:rsidRPr="008243EE">
              <w:rPr>
                <w:rFonts w:asciiTheme="minorHAnsi" w:hAnsiTheme="minorHAnsi" w:cs="Times New Roman"/>
                <w:b/>
                <w:sz w:val="16"/>
                <w:szCs w:val="16"/>
              </w:rPr>
              <w:t>2.2</w:t>
            </w:r>
          </w:p>
        </w:tc>
        <w:tc>
          <w:tcPr>
            <w:tcW w:w="329" w:type="pct"/>
            <w:gridSpan w:val="2"/>
            <w:tcBorders>
              <w:top w:val="single" w:sz="4" w:space="0" w:color="auto"/>
              <w:left w:val="nil"/>
              <w:right w:val="nil"/>
            </w:tcBorders>
          </w:tcPr>
          <w:p w14:paraId="3A9A37CA" w14:textId="77777777" w:rsidR="00794AFD" w:rsidRPr="008243EE" w:rsidRDefault="00794AFD" w:rsidP="00794AFD">
            <w:pPr>
              <w:jc w:val="right"/>
              <w:rPr>
                <w:rFonts w:asciiTheme="minorHAnsi" w:hAnsiTheme="minorHAnsi" w:cs="Times New Roman"/>
                <w:b/>
                <w:sz w:val="16"/>
                <w:szCs w:val="16"/>
              </w:rPr>
            </w:pPr>
          </w:p>
          <w:p w14:paraId="495B149A" w14:textId="77777777" w:rsidR="00794AFD" w:rsidRPr="008243EE" w:rsidRDefault="00794AFD" w:rsidP="00794AFD">
            <w:pPr>
              <w:jc w:val="right"/>
              <w:rPr>
                <w:rFonts w:asciiTheme="minorHAnsi" w:hAnsiTheme="minorHAnsi" w:cs="Times New Roman"/>
                <w:b/>
                <w:sz w:val="16"/>
                <w:szCs w:val="16"/>
              </w:rPr>
            </w:pPr>
            <w:r w:rsidRPr="008243EE">
              <w:rPr>
                <w:rFonts w:asciiTheme="minorHAnsi" w:hAnsiTheme="minorHAnsi" w:cs="Times New Roman"/>
                <w:b/>
                <w:sz w:val="16"/>
                <w:szCs w:val="16"/>
              </w:rPr>
              <w:t>(40.7)</w:t>
            </w:r>
          </w:p>
        </w:tc>
        <w:tc>
          <w:tcPr>
            <w:tcW w:w="351" w:type="pct"/>
            <w:tcBorders>
              <w:top w:val="single" w:sz="4" w:space="0" w:color="auto"/>
              <w:left w:val="nil"/>
              <w:right w:val="nil"/>
            </w:tcBorders>
          </w:tcPr>
          <w:p w14:paraId="46323814" w14:textId="77777777" w:rsidR="00794AFD" w:rsidRPr="008243EE" w:rsidRDefault="00794AFD" w:rsidP="00794AFD">
            <w:pPr>
              <w:jc w:val="right"/>
              <w:rPr>
                <w:rFonts w:asciiTheme="minorHAnsi" w:hAnsiTheme="minorHAnsi" w:cs="Times New Roman"/>
                <w:b/>
                <w:sz w:val="16"/>
                <w:szCs w:val="16"/>
              </w:rPr>
            </w:pPr>
          </w:p>
          <w:p w14:paraId="0F9E32D5" w14:textId="77777777" w:rsidR="00794AFD" w:rsidRPr="008243EE" w:rsidRDefault="00794AFD" w:rsidP="00794AFD">
            <w:pPr>
              <w:jc w:val="right"/>
              <w:rPr>
                <w:rFonts w:asciiTheme="minorHAnsi" w:hAnsiTheme="minorHAnsi" w:cs="Times New Roman"/>
                <w:b/>
                <w:sz w:val="16"/>
                <w:szCs w:val="16"/>
              </w:rPr>
            </w:pPr>
            <w:r w:rsidRPr="008243EE">
              <w:rPr>
                <w:rFonts w:asciiTheme="minorHAnsi" w:hAnsiTheme="minorHAnsi" w:cs="Times New Roman"/>
                <w:b/>
                <w:sz w:val="16"/>
                <w:szCs w:val="16"/>
              </w:rPr>
              <w:t>(8.6)</w:t>
            </w:r>
          </w:p>
        </w:tc>
        <w:tc>
          <w:tcPr>
            <w:tcW w:w="325" w:type="pct"/>
            <w:tcBorders>
              <w:top w:val="single" w:sz="4" w:space="0" w:color="auto"/>
              <w:left w:val="nil"/>
              <w:right w:val="nil"/>
            </w:tcBorders>
          </w:tcPr>
          <w:p w14:paraId="4310C782" w14:textId="77777777" w:rsidR="00794AFD" w:rsidRPr="00CC6E4B" w:rsidRDefault="00794AFD" w:rsidP="00794AFD">
            <w:pPr>
              <w:jc w:val="right"/>
              <w:rPr>
                <w:rFonts w:asciiTheme="minorHAnsi" w:hAnsiTheme="minorHAnsi" w:cs="Times New Roman"/>
                <w:b/>
                <w:sz w:val="16"/>
                <w:szCs w:val="16"/>
              </w:rPr>
            </w:pPr>
          </w:p>
          <w:p w14:paraId="75C28D8E" w14:textId="77777777" w:rsidR="00794AFD" w:rsidRPr="00CC6E4B" w:rsidRDefault="00794AFD" w:rsidP="00794AFD">
            <w:pPr>
              <w:jc w:val="right"/>
              <w:rPr>
                <w:rFonts w:asciiTheme="minorHAnsi" w:hAnsiTheme="minorHAnsi" w:cs="Times New Roman"/>
                <w:b/>
                <w:sz w:val="16"/>
                <w:szCs w:val="16"/>
              </w:rPr>
            </w:pPr>
            <w:r w:rsidRPr="00CC6E4B">
              <w:rPr>
                <w:rFonts w:asciiTheme="minorHAnsi" w:hAnsiTheme="minorHAnsi" w:cs="Times New Roman"/>
                <w:b/>
                <w:sz w:val="16"/>
                <w:szCs w:val="16"/>
              </w:rPr>
              <w:t>86.1</w:t>
            </w:r>
          </w:p>
        </w:tc>
        <w:tc>
          <w:tcPr>
            <w:tcW w:w="385" w:type="pct"/>
            <w:tcBorders>
              <w:top w:val="single" w:sz="4" w:space="0" w:color="auto"/>
              <w:left w:val="nil"/>
              <w:right w:val="nil"/>
            </w:tcBorders>
          </w:tcPr>
          <w:p w14:paraId="43BD7DCB" w14:textId="77777777" w:rsidR="00794AFD" w:rsidRPr="00CC6E4B" w:rsidRDefault="00794AFD" w:rsidP="00794AFD">
            <w:pPr>
              <w:jc w:val="right"/>
              <w:rPr>
                <w:rFonts w:asciiTheme="minorHAnsi" w:hAnsiTheme="minorHAnsi" w:cs="Times New Roman"/>
                <w:b/>
                <w:sz w:val="16"/>
                <w:szCs w:val="16"/>
              </w:rPr>
            </w:pPr>
          </w:p>
          <w:p w14:paraId="578F9C4D" w14:textId="77777777" w:rsidR="00794AFD" w:rsidRPr="00CC6E4B" w:rsidRDefault="00794AFD" w:rsidP="00794AFD">
            <w:pPr>
              <w:jc w:val="right"/>
              <w:rPr>
                <w:rFonts w:asciiTheme="minorHAnsi" w:hAnsiTheme="minorHAnsi" w:cs="Times New Roman"/>
                <w:b/>
                <w:sz w:val="16"/>
                <w:szCs w:val="16"/>
              </w:rPr>
            </w:pPr>
            <w:r w:rsidRPr="00CC6E4B">
              <w:rPr>
                <w:rFonts w:asciiTheme="minorHAnsi" w:hAnsiTheme="minorHAnsi" w:cs="Times New Roman"/>
                <w:b/>
                <w:sz w:val="16"/>
                <w:szCs w:val="16"/>
              </w:rPr>
              <w:t>3,530.1</w:t>
            </w:r>
          </w:p>
        </w:tc>
        <w:tc>
          <w:tcPr>
            <w:tcW w:w="298" w:type="pct"/>
            <w:tcBorders>
              <w:top w:val="single" w:sz="4" w:space="0" w:color="auto"/>
              <w:left w:val="nil"/>
              <w:right w:val="nil"/>
            </w:tcBorders>
          </w:tcPr>
          <w:p w14:paraId="3B6C21B8" w14:textId="77777777" w:rsidR="00794AFD" w:rsidRPr="00CC6E4B" w:rsidRDefault="00794AFD" w:rsidP="00794AFD">
            <w:pPr>
              <w:jc w:val="right"/>
              <w:rPr>
                <w:rFonts w:asciiTheme="minorHAnsi" w:hAnsiTheme="minorHAnsi" w:cs="Times New Roman"/>
                <w:b/>
                <w:sz w:val="16"/>
                <w:szCs w:val="16"/>
              </w:rPr>
            </w:pPr>
          </w:p>
          <w:p w14:paraId="3E567153" w14:textId="77777777" w:rsidR="00794AFD" w:rsidRPr="00CC6E4B" w:rsidRDefault="00794AFD" w:rsidP="00794AFD">
            <w:pPr>
              <w:jc w:val="right"/>
              <w:rPr>
                <w:rFonts w:asciiTheme="minorHAnsi" w:hAnsiTheme="minorHAnsi" w:cs="Times New Roman"/>
                <w:b/>
                <w:sz w:val="16"/>
                <w:szCs w:val="16"/>
              </w:rPr>
            </w:pPr>
            <w:r w:rsidRPr="00CC6E4B">
              <w:rPr>
                <w:rFonts w:asciiTheme="minorHAnsi" w:hAnsiTheme="minorHAnsi" w:cs="Times New Roman"/>
                <w:b/>
                <w:sz w:val="16"/>
                <w:szCs w:val="16"/>
              </w:rPr>
              <w:t>3,998.0</w:t>
            </w:r>
          </w:p>
        </w:tc>
        <w:tc>
          <w:tcPr>
            <w:tcW w:w="304" w:type="pct"/>
            <w:tcBorders>
              <w:top w:val="single" w:sz="4" w:space="0" w:color="auto"/>
              <w:left w:val="nil"/>
              <w:right w:val="nil"/>
            </w:tcBorders>
          </w:tcPr>
          <w:p w14:paraId="1546630F" w14:textId="77777777" w:rsidR="00794AFD" w:rsidRPr="00CC6E4B" w:rsidRDefault="00794AFD" w:rsidP="00794AFD">
            <w:pPr>
              <w:jc w:val="right"/>
              <w:rPr>
                <w:rFonts w:asciiTheme="minorHAnsi" w:hAnsiTheme="minorHAnsi" w:cs="Times New Roman"/>
                <w:b/>
                <w:sz w:val="16"/>
                <w:szCs w:val="16"/>
              </w:rPr>
            </w:pPr>
          </w:p>
          <w:p w14:paraId="4852EB20" w14:textId="77777777" w:rsidR="00794AFD" w:rsidRPr="00CC6E4B" w:rsidRDefault="00794AFD" w:rsidP="00794AFD">
            <w:pPr>
              <w:jc w:val="right"/>
              <w:rPr>
                <w:rFonts w:asciiTheme="minorHAnsi" w:hAnsiTheme="minorHAnsi" w:cs="Times New Roman"/>
                <w:b/>
                <w:sz w:val="16"/>
                <w:szCs w:val="16"/>
              </w:rPr>
            </w:pPr>
            <w:r w:rsidRPr="00CC6E4B">
              <w:rPr>
                <w:rFonts w:asciiTheme="minorHAnsi" w:hAnsiTheme="minorHAnsi" w:cs="Times New Roman"/>
                <w:b/>
                <w:sz w:val="16"/>
                <w:szCs w:val="16"/>
              </w:rPr>
              <w:t>213.3</w:t>
            </w:r>
          </w:p>
        </w:tc>
        <w:tc>
          <w:tcPr>
            <w:tcW w:w="289" w:type="pct"/>
            <w:tcBorders>
              <w:top w:val="single" w:sz="4" w:space="0" w:color="auto"/>
              <w:left w:val="nil"/>
              <w:right w:val="nil"/>
            </w:tcBorders>
          </w:tcPr>
          <w:p w14:paraId="3012F8B4" w14:textId="77777777" w:rsidR="00794AFD" w:rsidRPr="00CC6E4B" w:rsidRDefault="00794AFD" w:rsidP="00794AFD">
            <w:pPr>
              <w:jc w:val="right"/>
              <w:rPr>
                <w:rFonts w:asciiTheme="minorHAnsi" w:hAnsiTheme="minorHAnsi" w:cs="Times New Roman"/>
                <w:b/>
                <w:sz w:val="16"/>
                <w:szCs w:val="16"/>
              </w:rPr>
            </w:pPr>
          </w:p>
          <w:p w14:paraId="62DBCF34" w14:textId="77777777" w:rsidR="00794AFD" w:rsidRPr="00CC6E4B" w:rsidRDefault="00794AFD" w:rsidP="00794AFD">
            <w:pPr>
              <w:jc w:val="right"/>
              <w:rPr>
                <w:rFonts w:asciiTheme="minorHAnsi" w:hAnsiTheme="minorHAnsi" w:cs="Times New Roman"/>
                <w:b/>
                <w:sz w:val="16"/>
                <w:szCs w:val="16"/>
              </w:rPr>
            </w:pPr>
            <w:r w:rsidRPr="00CC6E4B">
              <w:rPr>
                <w:rFonts w:asciiTheme="minorHAnsi" w:hAnsiTheme="minorHAnsi" w:cs="Times New Roman"/>
                <w:b/>
                <w:sz w:val="16"/>
                <w:szCs w:val="16"/>
              </w:rPr>
              <w:t>4,211.3</w:t>
            </w:r>
          </w:p>
        </w:tc>
      </w:tr>
      <w:tr w:rsidR="00794AFD" w:rsidRPr="001C5950" w14:paraId="140D10B1" w14:textId="77777777" w:rsidTr="00794AFD">
        <w:trPr>
          <w:gridAfter w:val="1"/>
          <w:wAfter w:w="294" w:type="pct"/>
          <w:trHeight w:val="301"/>
        </w:trPr>
        <w:tc>
          <w:tcPr>
            <w:tcW w:w="1248" w:type="pct"/>
            <w:gridSpan w:val="3"/>
            <w:tcBorders>
              <w:top w:val="nil"/>
              <w:left w:val="nil"/>
              <w:bottom w:val="nil"/>
              <w:right w:val="nil"/>
            </w:tcBorders>
          </w:tcPr>
          <w:p w14:paraId="5E511A17" w14:textId="77777777" w:rsidR="00794AFD" w:rsidRPr="001C5950" w:rsidRDefault="00794AFD" w:rsidP="00794AFD">
            <w:pPr>
              <w:ind w:left="-108"/>
              <w:rPr>
                <w:rFonts w:asciiTheme="minorHAnsi" w:hAnsiTheme="minorHAnsi" w:cs="Times New Roman"/>
                <w:b/>
                <w:i/>
                <w:sz w:val="16"/>
                <w:szCs w:val="16"/>
              </w:rPr>
            </w:pPr>
            <w:r w:rsidRPr="001C5950">
              <w:rPr>
                <w:rFonts w:asciiTheme="minorHAnsi" w:hAnsiTheme="minorHAnsi" w:cs="Times New Roman"/>
                <w:b/>
                <w:sz w:val="16"/>
                <w:szCs w:val="16"/>
              </w:rPr>
              <w:t>Total comprehensive income for the year</w:t>
            </w:r>
          </w:p>
        </w:tc>
        <w:tc>
          <w:tcPr>
            <w:tcW w:w="278" w:type="pct"/>
            <w:tcBorders>
              <w:top w:val="nil"/>
              <w:left w:val="nil"/>
              <w:bottom w:val="nil"/>
              <w:right w:val="nil"/>
            </w:tcBorders>
          </w:tcPr>
          <w:p w14:paraId="6862BFEA" w14:textId="77777777" w:rsidR="00794AFD" w:rsidRPr="00FC3D06" w:rsidRDefault="00794AFD" w:rsidP="00794AFD">
            <w:pPr>
              <w:jc w:val="right"/>
              <w:rPr>
                <w:rFonts w:asciiTheme="minorHAnsi" w:hAnsiTheme="minorHAnsi" w:cs="Times New Roman"/>
                <w:b/>
                <w:sz w:val="16"/>
                <w:szCs w:val="16"/>
              </w:rPr>
            </w:pPr>
          </w:p>
        </w:tc>
        <w:tc>
          <w:tcPr>
            <w:tcW w:w="308" w:type="pct"/>
            <w:tcBorders>
              <w:top w:val="nil"/>
              <w:left w:val="nil"/>
              <w:bottom w:val="nil"/>
              <w:right w:val="nil"/>
            </w:tcBorders>
          </w:tcPr>
          <w:p w14:paraId="2F6972DD" w14:textId="77777777" w:rsidR="00794AFD" w:rsidRPr="00FC3D06" w:rsidRDefault="00794AFD" w:rsidP="00794AFD">
            <w:pPr>
              <w:jc w:val="right"/>
              <w:rPr>
                <w:rFonts w:asciiTheme="minorHAnsi" w:hAnsiTheme="minorHAnsi" w:cs="Times New Roman"/>
                <w:b/>
                <w:sz w:val="16"/>
                <w:szCs w:val="16"/>
              </w:rPr>
            </w:pPr>
          </w:p>
        </w:tc>
        <w:tc>
          <w:tcPr>
            <w:tcW w:w="308" w:type="pct"/>
            <w:tcBorders>
              <w:top w:val="nil"/>
              <w:left w:val="nil"/>
              <w:bottom w:val="nil"/>
              <w:right w:val="nil"/>
            </w:tcBorders>
          </w:tcPr>
          <w:p w14:paraId="7B684F9D" w14:textId="77777777" w:rsidR="00794AFD" w:rsidRPr="00FC3D06" w:rsidRDefault="00794AFD" w:rsidP="00794AFD">
            <w:pPr>
              <w:jc w:val="right"/>
              <w:rPr>
                <w:rFonts w:asciiTheme="minorHAnsi" w:hAnsiTheme="minorHAnsi" w:cs="Times New Roman"/>
                <w:b/>
                <w:sz w:val="16"/>
                <w:szCs w:val="16"/>
              </w:rPr>
            </w:pPr>
          </w:p>
        </w:tc>
        <w:tc>
          <w:tcPr>
            <w:tcW w:w="284" w:type="pct"/>
            <w:tcBorders>
              <w:top w:val="nil"/>
              <w:left w:val="nil"/>
              <w:bottom w:val="nil"/>
              <w:right w:val="nil"/>
            </w:tcBorders>
          </w:tcPr>
          <w:p w14:paraId="6BC3373D" w14:textId="77777777" w:rsidR="00794AFD" w:rsidRPr="008243EE" w:rsidRDefault="00794AFD" w:rsidP="00794AFD">
            <w:pPr>
              <w:jc w:val="right"/>
              <w:rPr>
                <w:rFonts w:asciiTheme="minorHAnsi" w:hAnsiTheme="minorHAnsi" w:cs="Times New Roman"/>
                <w:b/>
                <w:sz w:val="16"/>
                <w:szCs w:val="16"/>
              </w:rPr>
            </w:pPr>
          </w:p>
        </w:tc>
        <w:tc>
          <w:tcPr>
            <w:tcW w:w="329" w:type="pct"/>
            <w:gridSpan w:val="2"/>
            <w:tcBorders>
              <w:top w:val="nil"/>
              <w:left w:val="nil"/>
              <w:bottom w:val="nil"/>
              <w:right w:val="nil"/>
            </w:tcBorders>
          </w:tcPr>
          <w:p w14:paraId="3B2B0D15" w14:textId="77777777" w:rsidR="00794AFD" w:rsidRPr="008243EE" w:rsidRDefault="00794AFD" w:rsidP="00794AFD">
            <w:pPr>
              <w:jc w:val="right"/>
              <w:rPr>
                <w:rFonts w:asciiTheme="minorHAnsi" w:hAnsiTheme="minorHAnsi" w:cs="Times New Roman"/>
                <w:b/>
                <w:sz w:val="16"/>
                <w:szCs w:val="16"/>
              </w:rPr>
            </w:pPr>
          </w:p>
        </w:tc>
        <w:tc>
          <w:tcPr>
            <w:tcW w:w="351" w:type="pct"/>
            <w:tcBorders>
              <w:top w:val="nil"/>
              <w:left w:val="nil"/>
              <w:bottom w:val="nil"/>
              <w:right w:val="nil"/>
            </w:tcBorders>
          </w:tcPr>
          <w:p w14:paraId="7DA1A416" w14:textId="77777777" w:rsidR="00794AFD" w:rsidRPr="008243EE" w:rsidRDefault="00794AFD" w:rsidP="00794AFD">
            <w:pPr>
              <w:jc w:val="right"/>
              <w:rPr>
                <w:rFonts w:asciiTheme="minorHAnsi" w:hAnsiTheme="minorHAnsi" w:cs="Times New Roman"/>
                <w:b/>
                <w:sz w:val="16"/>
                <w:szCs w:val="16"/>
              </w:rPr>
            </w:pPr>
          </w:p>
        </w:tc>
        <w:tc>
          <w:tcPr>
            <w:tcW w:w="325" w:type="pct"/>
            <w:tcBorders>
              <w:top w:val="nil"/>
              <w:left w:val="nil"/>
              <w:bottom w:val="nil"/>
              <w:right w:val="nil"/>
            </w:tcBorders>
          </w:tcPr>
          <w:p w14:paraId="3D20C871" w14:textId="77777777" w:rsidR="00794AFD" w:rsidRPr="00FC3D06" w:rsidRDefault="00794AFD" w:rsidP="00794AFD">
            <w:pPr>
              <w:jc w:val="right"/>
              <w:rPr>
                <w:rFonts w:asciiTheme="minorHAnsi" w:hAnsiTheme="minorHAnsi" w:cs="Times New Roman"/>
                <w:b/>
                <w:sz w:val="16"/>
                <w:szCs w:val="16"/>
              </w:rPr>
            </w:pPr>
          </w:p>
        </w:tc>
        <w:tc>
          <w:tcPr>
            <w:tcW w:w="385" w:type="pct"/>
            <w:tcBorders>
              <w:top w:val="nil"/>
              <w:left w:val="nil"/>
              <w:bottom w:val="nil"/>
              <w:right w:val="nil"/>
            </w:tcBorders>
          </w:tcPr>
          <w:p w14:paraId="2DB678FC" w14:textId="77777777" w:rsidR="00794AFD" w:rsidRPr="00FC3D06" w:rsidRDefault="00794AFD" w:rsidP="00794AFD">
            <w:pPr>
              <w:jc w:val="right"/>
              <w:rPr>
                <w:rFonts w:asciiTheme="minorHAnsi" w:hAnsiTheme="minorHAnsi" w:cs="Times New Roman"/>
                <w:b/>
                <w:sz w:val="16"/>
                <w:szCs w:val="16"/>
              </w:rPr>
            </w:pPr>
          </w:p>
        </w:tc>
        <w:tc>
          <w:tcPr>
            <w:tcW w:w="298" w:type="pct"/>
            <w:tcBorders>
              <w:top w:val="nil"/>
              <w:left w:val="nil"/>
              <w:bottom w:val="nil"/>
              <w:right w:val="nil"/>
            </w:tcBorders>
          </w:tcPr>
          <w:p w14:paraId="4C4C1E88" w14:textId="77777777" w:rsidR="00794AFD" w:rsidRPr="00FC3D06" w:rsidRDefault="00794AFD" w:rsidP="00794AFD">
            <w:pPr>
              <w:jc w:val="right"/>
              <w:rPr>
                <w:rFonts w:asciiTheme="minorHAnsi" w:hAnsiTheme="minorHAnsi" w:cs="Times New Roman"/>
                <w:b/>
                <w:sz w:val="16"/>
                <w:szCs w:val="16"/>
              </w:rPr>
            </w:pPr>
          </w:p>
        </w:tc>
        <w:tc>
          <w:tcPr>
            <w:tcW w:w="304" w:type="pct"/>
            <w:tcBorders>
              <w:top w:val="nil"/>
              <w:left w:val="nil"/>
              <w:bottom w:val="nil"/>
              <w:right w:val="nil"/>
            </w:tcBorders>
          </w:tcPr>
          <w:p w14:paraId="1F3C3015" w14:textId="77777777" w:rsidR="00794AFD" w:rsidRPr="00FC3D06" w:rsidRDefault="00794AFD" w:rsidP="00794AFD">
            <w:pPr>
              <w:jc w:val="right"/>
              <w:rPr>
                <w:rFonts w:asciiTheme="minorHAnsi" w:hAnsiTheme="minorHAnsi" w:cs="Times New Roman"/>
                <w:b/>
                <w:sz w:val="16"/>
                <w:szCs w:val="16"/>
              </w:rPr>
            </w:pPr>
          </w:p>
        </w:tc>
        <w:tc>
          <w:tcPr>
            <w:tcW w:w="289" w:type="pct"/>
            <w:tcBorders>
              <w:top w:val="nil"/>
              <w:left w:val="nil"/>
              <w:bottom w:val="nil"/>
              <w:right w:val="nil"/>
            </w:tcBorders>
          </w:tcPr>
          <w:p w14:paraId="630D65F3" w14:textId="77777777" w:rsidR="00794AFD" w:rsidRPr="00FC3D06" w:rsidRDefault="00794AFD" w:rsidP="00794AFD">
            <w:pPr>
              <w:jc w:val="right"/>
              <w:rPr>
                <w:rFonts w:asciiTheme="minorHAnsi" w:hAnsiTheme="minorHAnsi" w:cs="Times New Roman"/>
                <w:b/>
                <w:sz w:val="16"/>
                <w:szCs w:val="16"/>
              </w:rPr>
            </w:pPr>
          </w:p>
        </w:tc>
      </w:tr>
      <w:tr w:rsidR="00794AFD" w:rsidRPr="001C5950" w14:paraId="1EB54F33" w14:textId="77777777" w:rsidTr="00794AFD">
        <w:trPr>
          <w:gridAfter w:val="1"/>
          <w:wAfter w:w="294" w:type="pct"/>
          <w:trHeight w:val="162"/>
        </w:trPr>
        <w:tc>
          <w:tcPr>
            <w:tcW w:w="881" w:type="pct"/>
            <w:tcBorders>
              <w:top w:val="nil"/>
              <w:left w:val="nil"/>
              <w:bottom w:val="nil"/>
              <w:right w:val="nil"/>
            </w:tcBorders>
          </w:tcPr>
          <w:p w14:paraId="544621FA" w14:textId="77777777" w:rsidR="00794AFD" w:rsidRPr="001C5950" w:rsidRDefault="00794AFD" w:rsidP="00794AFD">
            <w:pPr>
              <w:ind w:left="-108"/>
              <w:rPr>
                <w:rFonts w:asciiTheme="minorHAnsi" w:hAnsiTheme="minorHAnsi" w:cs="Times New Roman"/>
                <w:sz w:val="16"/>
                <w:szCs w:val="16"/>
              </w:rPr>
            </w:pPr>
            <w:r w:rsidRPr="001C5950">
              <w:rPr>
                <w:rFonts w:asciiTheme="minorHAnsi" w:hAnsiTheme="minorHAnsi" w:cs="Times New Roman"/>
                <w:sz w:val="16"/>
                <w:szCs w:val="16"/>
              </w:rPr>
              <w:t>Profit for the year</w:t>
            </w:r>
          </w:p>
        </w:tc>
        <w:tc>
          <w:tcPr>
            <w:tcW w:w="366" w:type="pct"/>
            <w:gridSpan w:val="2"/>
            <w:tcBorders>
              <w:top w:val="nil"/>
              <w:left w:val="nil"/>
              <w:bottom w:val="nil"/>
              <w:right w:val="nil"/>
            </w:tcBorders>
          </w:tcPr>
          <w:p w14:paraId="21925F32" w14:textId="77777777" w:rsidR="00794AFD" w:rsidRPr="00070ED0" w:rsidRDefault="00794AFD" w:rsidP="00794AFD">
            <w:pPr>
              <w:jc w:val="right"/>
              <w:rPr>
                <w:rFonts w:asciiTheme="minorHAnsi" w:hAnsiTheme="minorHAnsi" w:cs="Times New Roman"/>
                <w:b/>
                <w:i/>
                <w:sz w:val="16"/>
                <w:szCs w:val="16"/>
              </w:rPr>
            </w:pPr>
            <w:r w:rsidRPr="00070ED0">
              <w:rPr>
                <w:rFonts w:asciiTheme="minorHAnsi" w:hAnsiTheme="minorHAnsi" w:cs="Times New Roman"/>
                <w:b/>
                <w:i/>
                <w:sz w:val="16"/>
                <w:szCs w:val="16"/>
              </w:rPr>
              <w:t>-</w:t>
            </w:r>
          </w:p>
        </w:tc>
        <w:tc>
          <w:tcPr>
            <w:tcW w:w="278" w:type="pct"/>
            <w:tcBorders>
              <w:top w:val="nil"/>
              <w:left w:val="nil"/>
              <w:bottom w:val="nil"/>
              <w:right w:val="nil"/>
            </w:tcBorders>
          </w:tcPr>
          <w:p w14:paraId="075ABFCF"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08" w:type="pct"/>
            <w:tcBorders>
              <w:top w:val="nil"/>
              <w:left w:val="nil"/>
              <w:bottom w:val="nil"/>
              <w:right w:val="nil"/>
            </w:tcBorders>
          </w:tcPr>
          <w:p w14:paraId="3F7D15FB"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308" w:type="pct"/>
            <w:tcBorders>
              <w:top w:val="nil"/>
              <w:left w:val="nil"/>
              <w:bottom w:val="nil"/>
              <w:right w:val="nil"/>
            </w:tcBorders>
          </w:tcPr>
          <w:p w14:paraId="3CC11759"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284" w:type="pct"/>
            <w:tcBorders>
              <w:top w:val="nil"/>
              <w:left w:val="nil"/>
              <w:bottom w:val="nil"/>
              <w:right w:val="nil"/>
            </w:tcBorders>
          </w:tcPr>
          <w:p w14:paraId="56A99104"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29" w:type="pct"/>
            <w:gridSpan w:val="2"/>
            <w:tcBorders>
              <w:top w:val="nil"/>
              <w:left w:val="nil"/>
              <w:bottom w:val="nil"/>
              <w:right w:val="nil"/>
            </w:tcBorders>
          </w:tcPr>
          <w:p w14:paraId="422D1E92"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51" w:type="pct"/>
            <w:tcBorders>
              <w:top w:val="nil"/>
              <w:left w:val="nil"/>
              <w:bottom w:val="nil"/>
              <w:right w:val="nil"/>
            </w:tcBorders>
          </w:tcPr>
          <w:p w14:paraId="57FA91E4"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25" w:type="pct"/>
            <w:tcBorders>
              <w:top w:val="nil"/>
              <w:left w:val="nil"/>
              <w:bottom w:val="nil"/>
              <w:right w:val="nil"/>
            </w:tcBorders>
          </w:tcPr>
          <w:p w14:paraId="42BBC347"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385" w:type="pct"/>
            <w:tcBorders>
              <w:top w:val="nil"/>
              <w:left w:val="nil"/>
              <w:bottom w:val="nil"/>
              <w:right w:val="nil"/>
            </w:tcBorders>
          </w:tcPr>
          <w:p w14:paraId="383F4067"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144.</w:t>
            </w:r>
            <w:r>
              <w:rPr>
                <w:rFonts w:asciiTheme="minorHAnsi" w:hAnsiTheme="minorHAnsi" w:cs="Times New Roman"/>
                <w:b/>
                <w:sz w:val="16"/>
                <w:szCs w:val="16"/>
              </w:rPr>
              <w:t>0</w:t>
            </w:r>
          </w:p>
        </w:tc>
        <w:tc>
          <w:tcPr>
            <w:tcW w:w="298" w:type="pct"/>
            <w:tcBorders>
              <w:top w:val="nil"/>
              <w:left w:val="nil"/>
              <w:bottom w:val="nil"/>
              <w:right w:val="nil"/>
            </w:tcBorders>
          </w:tcPr>
          <w:p w14:paraId="6D967F70"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144.</w:t>
            </w:r>
            <w:r>
              <w:rPr>
                <w:rFonts w:asciiTheme="minorHAnsi" w:hAnsiTheme="minorHAnsi" w:cs="Times New Roman"/>
                <w:b/>
                <w:sz w:val="16"/>
                <w:szCs w:val="16"/>
              </w:rPr>
              <w:t>0</w:t>
            </w:r>
          </w:p>
        </w:tc>
        <w:tc>
          <w:tcPr>
            <w:tcW w:w="304" w:type="pct"/>
            <w:tcBorders>
              <w:top w:val="nil"/>
              <w:left w:val="nil"/>
              <w:bottom w:val="nil"/>
              <w:right w:val="nil"/>
            </w:tcBorders>
          </w:tcPr>
          <w:p w14:paraId="41A3EB97"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(32.</w:t>
            </w:r>
            <w:r>
              <w:rPr>
                <w:rFonts w:asciiTheme="minorHAnsi" w:hAnsiTheme="minorHAnsi" w:cs="Times New Roman"/>
                <w:b/>
                <w:sz w:val="16"/>
                <w:szCs w:val="16"/>
              </w:rPr>
              <w:t>1</w:t>
            </w:r>
            <w:r w:rsidRPr="00784F67">
              <w:rPr>
                <w:rFonts w:asciiTheme="minorHAnsi" w:hAnsiTheme="minorHAnsi" w:cs="Times New Roman"/>
                <w:b/>
                <w:sz w:val="16"/>
                <w:szCs w:val="16"/>
              </w:rPr>
              <w:t>)</w:t>
            </w:r>
          </w:p>
        </w:tc>
        <w:tc>
          <w:tcPr>
            <w:tcW w:w="289" w:type="pct"/>
            <w:tcBorders>
              <w:top w:val="nil"/>
              <w:left w:val="nil"/>
              <w:bottom w:val="nil"/>
              <w:right w:val="nil"/>
            </w:tcBorders>
          </w:tcPr>
          <w:p w14:paraId="4891DC18"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111.9</w:t>
            </w:r>
          </w:p>
        </w:tc>
      </w:tr>
      <w:tr w:rsidR="00794AFD" w:rsidRPr="001C5950" w14:paraId="1DD5E282" w14:textId="77777777" w:rsidTr="00794AFD">
        <w:trPr>
          <w:gridAfter w:val="1"/>
          <w:wAfter w:w="294" w:type="pct"/>
          <w:trHeight w:val="162"/>
        </w:trPr>
        <w:tc>
          <w:tcPr>
            <w:tcW w:w="881" w:type="pct"/>
            <w:tcBorders>
              <w:top w:val="nil"/>
              <w:left w:val="nil"/>
              <w:bottom w:val="nil"/>
              <w:right w:val="nil"/>
            </w:tcBorders>
          </w:tcPr>
          <w:p w14:paraId="2CAC2022" w14:textId="77777777" w:rsidR="00794AFD" w:rsidRPr="001C5950" w:rsidRDefault="00794AFD" w:rsidP="00794AFD">
            <w:pPr>
              <w:ind w:left="-108"/>
              <w:rPr>
                <w:rFonts w:asciiTheme="minorHAnsi" w:hAnsiTheme="minorHAnsi" w:cs="Times New Roman"/>
                <w:sz w:val="16"/>
                <w:szCs w:val="16"/>
              </w:rPr>
            </w:pPr>
            <w:r w:rsidRPr="001C5950">
              <w:rPr>
                <w:rFonts w:asciiTheme="minorHAnsi" w:hAnsiTheme="minorHAnsi" w:cs="Times New Roman"/>
                <w:sz w:val="16"/>
                <w:szCs w:val="16"/>
              </w:rPr>
              <w:t xml:space="preserve">Foreign exchange translation </w:t>
            </w:r>
          </w:p>
        </w:tc>
        <w:tc>
          <w:tcPr>
            <w:tcW w:w="366" w:type="pct"/>
            <w:gridSpan w:val="2"/>
            <w:tcBorders>
              <w:top w:val="nil"/>
              <w:left w:val="nil"/>
              <w:bottom w:val="nil"/>
              <w:right w:val="nil"/>
            </w:tcBorders>
            <w:shd w:val="clear" w:color="auto" w:fill="auto"/>
          </w:tcPr>
          <w:p w14:paraId="62599290" w14:textId="77777777" w:rsidR="00794AFD" w:rsidRPr="00070ED0" w:rsidRDefault="00794AFD" w:rsidP="00794AFD">
            <w:pPr>
              <w:jc w:val="right"/>
              <w:rPr>
                <w:rFonts w:asciiTheme="minorHAnsi" w:hAnsiTheme="minorHAnsi" w:cs="Times New Roman"/>
                <w:b/>
                <w:i/>
                <w:sz w:val="16"/>
                <w:szCs w:val="16"/>
              </w:rPr>
            </w:pPr>
            <w:r w:rsidRPr="00070ED0">
              <w:rPr>
                <w:rFonts w:asciiTheme="minorHAnsi" w:hAnsiTheme="minorHAnsi" w:cs="Times New Roman"/>
                <w:b/>
                <w:i/>
                <w:sz w:val="16"/>
                <w:szCs w:val="16"/>
              </w:rPr>
              <w:t>-</w:t>
            </w:r>
          </w:p>
        </w:tc>
        <w:tc>
          <w:tcPr>
            <w:tcW w:w="278" w:type="pct"/>
            <w:tcBorders>
              <w:top w:val="nil"/>
              <w:left w:val="nil"/>
              <w:bottom w:val="nil"/>
              <w:right w:val="nil"/>
            </w:tcBorders>
            <w:shd w:val="clear" w:color="auto" w:fill="auto"/>
          </w:tcPr>
          <w:p w14:paraId="215892D4"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08" w:type="pct"/>
            <w:tcBorders>
              <w:top w:val="nil"/>
              <w:left w:val="nil"/>
              <w:bottom w:val="nil"/>
              <w:right w:val="nil"/>
            </w:tcBorders>
            <w:shd w:val="clear" w:color="auto" w:fill="auto"/>
          </w:tcPr>
          <w:p w14:paraId="5E0593CC"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(25.6)</w:t>
            </w:r>
          </w:p>
        </w:tc>
        <w:tc>
          <w:tcPr>
            <w:tcW w:w="308" w:type="pct"/>
            <w:tcBorders>
              <w:top w:val="nil"/>
              <w:left w:val="nil"/>
              <w:bottom w:val="nil"/>
              <w:right w:val="nil"/>
            </w:tcBorders>
            <w:shd w:val="clear" w:color="auto" w:fill="auto"/>
          </w:tcPr>
          <w:p w14:paraId="1703EF93"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284" w:type="pct"/>
            <w:tcBorders>
              <w:top w:val="nil"/>
              <w:left w:val="nil"/>
              <w:bottom w:val="nil"/>
              <w:right w:val="nil"/>
            </w:tcBorders>
          </w:tcPr>
          <w:p w14:paraId="0D0A948D"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29" w:type="pct"/>
            <w:gridSpan w:val="2"/>
            <w:tcBorders>
              <w:top w:val="nil"/>
              <w:left w:val="nil"/>
              <w:bottom w:val="nil"/>
              <w:right w:val="nil"/>
            </w:tcBorders>
            <w:shd w:val="clear" w:color="auto" w:fill="auto"/>
          </w:tcPr>
          <w:p w14:paraId="69F196E6"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51" w:type="pct"/>
            <w:tcBorders>
              <w:top w:val="nil"/>
              <w:left w:val="nil"/>
              <w:bottom w:val="nil"/>
              <w:right w:val="nil"/>
            </w:tcBorders>
            <w:shd w:val="clear" w:color="auto" w:fill="auto"/>
          </w:tcPr>
          <w:p w14:paraId="7436DFCD"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25" w:type="pct"/>
            <w:tcBorders>
              <w:top w:val="nil"/>
              <w:left w:val="nil"/>
              <w:bottom w:val="nil"/>
              <w:right w:val="nil"/>
            </w:tcBorders>
            <w:shd w:val="clear" w:color="auto" w:fill="auto"/>
          </w:tcPr>
          <w:p w14:paraId="7834AB0A"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385" w:type="pct"/>
            <w:tcBorders>
              <w:top w:val="nil"/>
              <w:left w:val="nil"/>
              <w:bottom w:val="nil"/>
              <w:right w:val="nil"/>
            </w:tcBorders>
            <w:shd w:val="clear" w:color="auto" w:fill="auto"/>
          </w:tcPr>
          <w:p w14:paraId="17928A4F"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298" w:type="pct"/>
            <w:tcBorders>
              <w:top w:val="nil"/>
              <w:left w:val="nil"/>
              <w:bottom w:val="nil"/>
              <w:right w:val="nil"/>
            </w:tcBorders>
            <w:shd w:val="clear" w:color="auto" w:fill="auto"/>
          </w:tcPr>
          <w:p w14:paraId="6BD0ACEC"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(25.6)</w:t>
            </w:r>
          </w:p>
        </w:tc>
        <w:tc>
          <w:tcPr>
            <w:tcW w:w="304" w:type="pct"/>
            <w:tcBorders>
              <w:top w:val="nil"/>
              <w:left w:val="nil"/>
              <w:bottom w:val="nil"/>
              <w:right w:val="nil"/>
            </w:tcBorders>
          </w:tcPr>
          <w:p w14:paraId="3F86CABA"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(7.5)</w:t>
            </w:r>
          </w:p>
        </w:tc>
        <w:tc>
          <w:tcPr>
            <w:tcW w:w="289" w:type="pct"/>
            <w:tcBorders>
              <w:top w:val="nil"/>
              <w:left w:val="nil"/>
              <w:bottom w:val="nil"/>
              <w:right w:val="nil"/>
            </w:tcBorders>
          </w:tcPr>
          <w:p w14:paraId="311C181D"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(33.1)</w:t>
            </w:r>
          </w:p>
        </w:tc>
      </w:tr>
      <w:tr w:rsidR="00794AFD" w:rsidRPr="001C5950" w14:paraId="0710E078" w14:textId="77777777" w:rsidTr="00794AFD">
        <w:trPr>
          <w:gridAfter w:val="1"/>
          <w:wAfter w:w="294" w:type="pct"/>
          <w:trHeight w:val="162"/>
        </w:trPr>
        <w:tc>
          <w:tcPr>
            <w:tcW w:w="881" w:type="pct"/>
            <w:tcBorders>
              <w:top w:val="nil"/>
              <w:left w:val="nil"/>
              <w:bottom w:val="nil"/>
              <w:right w:val="nil"/>
            </w:tcBorders>
          </w:tcPr>
          <w:p w14:paraId="315F6421" w14:textId="77777777" w:rsidR="00794AFD" w:rsidRPr="001C5950" w:rsidRDefault="00794AFD" w:rsidP="00794AFD">
            <w:pPr>
              <w:ind w:left="-108"/>
              <w:rPr>
                <w:rFonts w:asciiTheme="minorHAnsi" w:hAnsiTheme="minorHAnsi" w:cs="Times New Roman"/>
                <w:sz w:val="16"/>
                <w:szCs w:val="16"/>
              </w:rPr>
            </w:pPr>
            <w:r>
              <w:rPr>
                <w:rFonts w:asciiTheme="minorHAnsi" w:hAnsiTheme="minorHAnsi" w:cs="Times New Roman"/>
                <w:sz w:val="16"/>
                <w:szCs w:val="16"/>
              </w:rPr>
              <w:t>Net change in fair value of cash flow hedge reserve</w:t>
            </w:r>
          </w:p>
        </w:tc>
        <w:tc>
          <w:tcPr>
            <w:tcW w:w="366" w:type="pct"/>
            <w:gridSpan w:val="2"/>
            <w:tcBorders>
              <w:top w:val="nil"/>
              <w:left w:val="nil"/>
              <w:bottom w:val="nil"/>
              <w:right w:val="nil"/>
            </w:tcBorders>
            <w:shd w:val="clear" w:color="auto" w:fill="auto"/>
          </w:tcPr>
          <w:p w14:paraId="339103BB" w14:textId="77777777" w:rsidR="00794AFD" w:rsidRPr="00070ED0" w:rsidRDefault="00794AFD" w:rsidP="00794AFD">
            <w:pPr>
              <w:jc w:val="right"/>
              <w:rPr>
                <w:rFonts w:asciiTheme="minorHAnsi" w:hAnsiTheme="minorHAnsi" w:cs="Times New Roman"/>
                <w:b/>
                <w:i/>
                <w:sz w:val="16"/>
                <w:szCs w:val="16"/>
              </w:rPr>
            </w:pPr>
          </w:p>
          <w:p w14:paraId="5D48EA2F" w14:textId="77777777" w:rsidR="00794AFD" w:rsidRPr="00070ED0" w:rsidRDefault="00794AFD" w:rsidP="00794AFD">
            <w:pPr>
              <w:jc w:val="right"/>
              <w:rPr>
                <w:rFonts w:asciiTheme="minorHAnsi" w:hAnsiTheme="minorHAnsi" w:cs="Times New Roman"/>
                <w:b/>
                <w:i/>
                <w:sz w:val="16"/>
                <w:szCs w:val="16"/>
              </w:rPr>
            </w:pPr>
            <w:r w:rsidRPr="00070ED0">
              <w:rPr>
                <w:rFonts w:asciiTheme="minorHAnsi" w:hAnsiTheme="minorHAnsi" w:cs="Times New Roman"/>
                <w:b/>
                <w:i/>
                <w:sz w:val="16"/>
                <w:szCs w:val="16"/>
              </w:rPr>
              <w:t>-</w:t>
            </w:r>
          </w:p>
        </w:tc>
        <w:tc>
          <w:tcPr>
            <w:tcW w:w="278" w:type="pct"/>
            <w:tcBorders>
              <w:top w:val="nil"/>
              <w:left w:val="nil"/>
              <w:bottom w:val="nil"/>
              <w:right w:val="nil"/>
            </w:tcBorders>
            <w:shd w:val="clear" w:color="auto" w:fill="auto"/>
          </w:tcPr>
          <w:p w14:paraId="514CF154" w14:textId="77777777" w:rsidR="00794AFD" w:rsidRPr="00070ED0" w:rsidRDefault="00794AFD" w:rsidP="00794AFD">
            <w:pPr>
              <w:jc w:val="right"/>
              <w:rPr>
                <w:rFonts w:asciiTheme="minorHAnsi" w:hAnsiTheme="minorHAnsi" w:cs="Times New Roman"/>
                <w:b/>
                <w:sz w:val="16"/>
                <w:szCs w:val="16"/>
              </w:rPr>
            </w:pPr>
          </w:p>
          <w:p w14:paraId="0FD2FEB5"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08" w:type="pct"/>
            <w:tcBorders>
              <w:top w:val="nil"/>
              <w:left w:val="nil"/>
              <w:bottom w:val="nil"/>
              <w:right w:val="nil"/>
            </w:tcBorders>
            <w:shd w:val="clear" w:color="auto" w:fill="auto"/>
          </w:tcPr>
          <w:p w14:paraId="2C821B67" w14:textId="77777777" w:rsidR="00794AFD" w:rsidRPr="00784F67" w:rsidRDefault="00794AFD" w:rsidP="00794AFD">
            <w:pPr>
              <w:jc w:val="right"/>
              <w:rPr>
                <w:rFonts w:asciiTheme="minorHAnsi" w:hAnsiTheme="minorHAnsi" w:cs="Times New Roman"/>
                <w:b/>
                <w:sz w:val="16"/>
                <w:szCs w:val="16"/>
              </w:rPr>
            </w:pPr>
          </w:p>
          <w:p w14:paraId="16621A5C"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308" w:type="pct"/>
            <w:tcBorders>
              <w:top w:val="nil"/>
              <w:left w:val="nil"/>
              <w:bottom w:val="nil"/>
              <w:right w:val="nil"/>
            </w:tcBorders>
            <w:shd w:val="clear" w:color="auto" w:fill="auto"/>
          </w:tcPr>
          <w:p w14:paraId="4C99EA07" w14:textId="77777777" w:rsidR="00794AFD" w:rsidRPr="00784F67" w:rsidRDefault="00794AFD" w:rsidP="00794AFD">
            <w:pPr>
              <w:jc w:val="right"/>
              <w:rPr>
                <w:rFonts w:asciiTheme="minorHAnsi" w:hAnsiTheme="minorHAnsi" w:cs="Times New Roman"/>
                <w:b/>
                <w:sz w:val="16"/>
                <w:szCs w:val="16"/>
              </w:rPr>
            </w:pPr>
          </w:p>
          <w:p w14:paraId="47B3E7A2"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2.3</w:t>
            </w:r>
          </w:p>
        </w:tc>
        <w:tc>
          <w:tcPr>
            <w:tcW w:w="284" w:type="pct"/>
            <w:tcBorders>
              <w:top w:val="nil"/>
              <w:left w:val="nil"/>
              <w:bottom w:val="nil"/>
              <w:right w:val="nil"/>
            </w:tcBorders>
          </w:tcPr>
          <w:p w14:paraId="5BCA0A91" w14:textId="77777777" w:rsidR="00794AFD" w:rsidRPr="00C02727" w:rsidRDefault="00794AFD" w:rsidP="00794AFD">
            <w:pPr>
              <w:jc w:val="right"/>
              <w:rPr>
                <w:rFonts w:asciiTheme="minorHAnsi" w:hAnsiTheme="minorHAnsi" w:cs="Times New Roman"/>
                <w:b/>
                <w:sz w:val="16"/>
                <w:szCs w:val="16"/>
              </w:rPr>
            </w:pPr>
          </w:p>
          <w:p w14:paraId="710438E9"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29" w:type="pct"/>
            <w:gridSpan w:val="2"/>
            <w:tcBorders>
              <w:top w:val="nil"/>
              <w:left w:val="nil"/>
              <w:bottom w:val="nil"/>
              <w:right w:val="nil"/>
            </w:tcBorders>
            <w:shd w:val="clear" w:color="auto" w:fill="auto"/>
          </w:tcPr>
          <w:p w14:paraId="4A08337C" w14:textId="77777777" w:rsidR="00794AFD" w:rsidRPr="00C02727" w:rsidRDefault="00794AFD" w:rsidP="00794AFD">
            <w:pPr>
              <w:jc w:val="right"/>
              <w:rPr>
                <w:rFonts w:asciiTheme="minorHAnsi" w:hAnsiTheme="minorHAnsi" w:cs="Times New Roman"/>
                <w:b/>
                <w:sz w:val="16"/>
                <w:szCs w:val="16"/>
              </w:rPr>
            </w:pPr>
          </w:p>
          <w:p w14:paraId="37AC0B2B"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51" w:type="pct"/>
            <w:tcBorders>
              <w:top w:val="nil"/>
              <w:left w:val="nil"/>
              <w:bottom w:val="nil"/>
              <w:right w:val="nil"/>
            </w:tcBorders>
            <w:shd w:val="clear" w:color="auto" w:fill="auto"/>
          </w:tcPr>
          <w:p w14:paraId="5E353268" w14:textId="77777777" w:rsidR="00794AFD" w:rsidRPr="00C02727" w:rsidRDefault="00794AFD" w:rsidP="00794AFD">
            <w:pPr>
              <w:jc w:val="right"/>
              <w:rPr>
                <w:rFonts w:asciiTheme="minorHAnsi" w:hAnsiTheme="minorHAnsi" w:cs="Times New Roman"/>
                <w:b/>
                <w:sz w:val="16"/>
                <w:szCs w:val="16"/>
              </w:rPr>
            </w:pPr>
          </w:p>
          <w:p w14:paraId="39DBAC0E"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25" w:type="pct"/>
            <w:tcBorders>
              <w:top w:val="nil"/>
              <w:left w:val="nil"/>
              <w:bottom w:val="nil"/>
              <w:right w:val="nil"/>
            </w:tcBorders>
            <w:shd w:val="clear" w:color="auto" w:fill="auto"/>
          </w:tcPr>
          <w:p w14:paraId="3B645A9F" w14:textId="77777777" w:rsidR="00794AFD" w:rsidRPr="00784F67" w:rsidRDefault="00794AFD" w:rsidP="00794AFD">
            <w:pPr>
              <w:jc w:val="right"/>
              <w:rPr>
                <w:rFonts w:asciiTheme="minorHAnsi" w:hAnsiTheme="minorHAnsi" w:cs="Times New Roman"/>
                <w:b/>
                <w:sz w:val="16"/>
                <w:szCs w:val="16"/>
              </w:rPr>
            </w:pPr>
          </w:p>
          <w:p w14:paraId="13F54ED2"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385" w:type="pct"/>
            <w:tcBorders>
              <w:top w:val="nil"/>
              <w:left w:val="nil"/>
              <w:bottom w:val="nil"/>
              <w:right w:val="nil"/>
            </w:tcBorders>
            <w:shd w:val="clear" w:color="auto" w:fill="auto"/>
          </w:tcPr>
          <w:p w14:paraId="44DD8596" w14:textId="77777777" w:rsidR="00794AFD" w:rsidRPr="00784F67" w:rsidRDefault="00794AFD" w:rsidP="00794AFD">
            <w:pPr>
              <w:jc w:val="right"/>
              <w:rPr>
                <w:rFonts w:asciiTheme="minorHAnsi" w:hAnsiTheme="minorHAnsi" w:cs="Times New Roman"/>
                <w:b/>
                <w:sz w:val="16"/>
                <w:szCs w:val="16"/>
              </w:rPr>
            </w:pPr>
          </w:p>
          <w:p w14:paraId="015AA749"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298" w:type="pct"/>
            <w:tcBorders>
              <w:top w:val="nil"/>
              <w:left w:val="nil"/>
              <w:bottom w:val="nil"/>
              <w:right w:val="nil"/>
            </w:tcBorders>
            <w:shd w:val="clear" w:color="auto" w:fill="auto"/>
          </w:tcPr>
          <w:p w14:paraId="0DD03C31" w14:textId="77777777" w:rsidR="00794AFD" w:rsidRPr="00784F67" w:rsidRDefault="00794AFD" w:rsidP="00794AFD">
            <w:pPr>
              <w:jc w:val="right"/>
              <w:rPr>
                <w:rFonts w:asciiTheme="minorHAnsi" w:hAnsiTheme="minorHAnsi" w:cs="Times New Roman"/>
                <w:b/>
                <w:sz w:val="16"/>
                <w:szCs w:val="16"/>
              </w:rPr>
            </w:pPr>
          </w:p>
          <w:p w14:paraId="08A1DEC6"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2.3</w:t>
            </w:r>
          </w:p>
        </w:tc>
        <w:tc>
          <w:tcPr>
            <w:tcW w:w="304" w:type="pct"/>
            <w:tcBorders>
              <w:top w:val="nil"/>
              <w:left w:val="nil"/>
              <w:bottom w:val="nil"/>
              <w:right w:val="nil"/>
            </w:tcBorders>
          </w:tcPr>
          <w:p w14:paraId="44EC0F09" w14:textId="77777777" w:rsidR="00794AFD" w:rsidRPr="00784F67" w:rsidRDefault="00794AFD" w:rsidP="00794AFD">
            <w:pPr>
              <w:jc w:val="right"/>
              <w:rPr>
                <w:rFonts w:asciiTheme="minorHAnsi" w:hAnsiTheme="minorHAnsi" w:cs="Times New Roman"/>
                <w:b/>
                <w:sz w:val="16"/>
                <w:szCs w:val="16"/>
              </w:rPr>
            </w:pPr>
          </w:p>
          <w:p w14:paraId="2F0997D6"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289" w:type="pct"/>
            <w:tcBorders>
              <w:top w:val="nil"/>
              <w:left w:val="nil"/>
              <w:bottom w:val="nil"/>
              <w:right w:val="nil"/>
            </w:tcBorders>
          </w:tcPr>
          <w:p w14:paraId="1E12BA85" w14:textId="77777777" w:rsidR="00794AFD" w:rsidRPr="00784F67" w:rsidRDefault="00794AFD" w:rsidP="00794AFD">
            <w:pPr>
              <w:jc w:val="right"/>
              <w:rPr>
                <w:rFonts w:asciiTheme="minorHAnsi" w:hAnsiTheme="minorHAnsi" w:cs="Times New Roman"/>
                <w:b/>
                <w:sz w:val="16"/>
                <w:szCs w:val="16"/>
              </w:rPr>
            </w:pPr>
          </w:p>
          <w:p w14:paraId="4F8A489F"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2.3</w:t>
            </w:r>
          </w:p>
        </w:tc>
      </w:tr>
      <w:tr w:rsidR="00794AFD" w:rsidRPr="001C5950" w14:paraId="3A957CD0" w14:textId="77777777" w:rsidTr="00794AFD">
        <w:trPr>
          <w:gridAfter w:val="1"/>
          <w:wAfter w:w="294" w:type="pct"/>
          <w:trHeight w:val="153"/>
        </w:trPr>
        <w:tc>
          <w:tcPr>
            <w:tcW w:w="881" w:type="pct"/>
            <w:tcBorders>
              <w:top w:val="nil"/>
              <w:left w:val="nil"/>
              <w:right w:val="nil"/>
            </w:tcBorders>
          </w:tcPr>
          <w:p w14:paraId="2D8013DE" w14:textId="77777777" w:rsidR="00794AFD" w:rsidRPr="001C5950" w:rsidRDefault="00794AFD" w:rsidP="00794AFD">
            <w:pPr>
              <w:ind w:left="-108"/>
              <w:rPr>
                <w:rFonts w:asciiTheme="minorHAnsi" w:hAnsiTheme="minorHAnsi" w:cs="Times New Roman"/>
                <w:sz w:val="16"/>
                <w:szCs w:val="16"/>
              </w:rPr>
            </w:pPr>
            <w:r w:rsidRPr="001C5950">
              <w:rPr>
                <w:rFonts w:asciiTheme="minorHAnsi" w:hAnsiTheme="minorHAnsi" w:cs="Times New Roman"/>
                <w:sz w:val="16"/>
                <w:szCs w:val="16"/>
              </w:rPr>
              <w:t>Total comprehensive income  / (loss) for the year</w:t>
            </w:r>
          </w:p>
        </w:tc>
        <w:tc>
          <w:tcPr>
            <w:tcW w:w="366" w:type="pct"/>
            <w:gridSpan w:val="2"/>
            <w:tcBorders>
              <w:top w:val="single" w:sz="4" w:space="0" w:color="auto"/>
              <w:left w:val="nil"/>
              <w:bottom w:val="single" w:sz="4" w:space="0" w:color="auto"/>
              <w:right w:val="nil"/>
            </w:tcBorders>
          </w:tcPr>
          <w:p w14:paraId="2586EEF0" w14:textId="77777777" w:rsidR="00794AFD" w:rsidRPr="00070ED0" w:rsidRDefault="00794AFD" w:rsidP="00794AFD">
            <w:pPr>
              <w:jc w:val="right"/>
              <w:rPr>
                <w:rFonts w:asciiTheme="minorHAnsi" w:hAnsiTheme="minorHAnsi" w:cs="Times New Roman"/>
                <w:b/>
                <w:i/>
                <w:sz w:val="16"/>
                <w:szCs w:val="16"/>
              </w:rPr>
            </w:pPr>
          </w:p>
          <w:p w14:paraId="44892502" w14:textId="77777777" w:rsidR="00794AFD" w:rsidRPr="00070ED0" w:rsidRDefault="00794AFD" w:rsidP="00794AFD">
            <w:pPr>
              <w:jc w:val="right"/>
              <w:rPr>
                <w:rFonts w:asciiTheme="minorHAnsi" w:hAnsiTheme="minorHAnsi" w:cs="Times New Roman"/>
                <w:b/>
                <w:i/>
                <w:sz w:val="16"/>
                <w:szCs w:val="16"/>
              </w:rPr>
            </w:pPr>
            <w:r w:rsidRPr="00070ED0">
              <w:rPr>
                <w:rFonts w:asciiTheme="minorHAnsi" w:hAnsiTheme="minorHAnsi" w:cs="Times New Roman"/>
                <w:b/>
                <w:i/>
                <w:sz w:val="16"/>
                <w:szCs w:val="16"/>
              </w:rPr>
              <w:t>-</w:t>
            </w:r>
          </w:p>
        </w:tc>
        <w:tc>
          <w:tcPr>
            <w:tcW w:w="278" w:type="pct"/>
            <w:tcBorders>
              <w:top w:val="single" w:sz="4" w:space="0" w:color="auto"/>
              <w:left w:val="nil"/>
              <w:bottom w:val="single" w:sz="4" w:space="0" w:color="auto"/>
              <w:right w:val="nil"/>
            </w:tcBorders>
          </w:tcPr>
          <w:p w14:paraId="5C5DA3ED" w14:textId="77777777" w:rsidR="00794AFD" w:rsidRPr="00070ED0" w:rsidRDefault="00794AFD" w:rsidP="00794AFD">
            <w:pPr>
              <w:jc w:val="right"/>
              <w:rPr>
                <w:rFonts w:asciiTheme="minorHAnsi" w:hAnsiTheme="minorHAnsi" w:cs="Times New Roman"/>
                <w:b/>
                <w:sz w:val="16"/>
                <w:szCs w:val="16"/>
              </w:rPr>
            </w:pPr>
          </w:p>
          <w:p w14:paraId="0F66B203"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08" w:type="pct"/>
            <w:tcBorders>
              <w:top w:val="single" w:sz="4" w:space="0" w:color="auto"/>
              <w:left w:val="nil"/>
              <w:bottom w:val="single" w:sz="4" w:space="0" w:color="auto"/>
              <w:right w:val="nil"/>
            </w:tcBorders>
          </w:tcPr>
          <w:p w14:paraId="71C7DAAE" w14:textId="77777777" w:rsidR="00794AFD" w:rsidRPr="00784F67" w:rsidRDefault="00794AFD" w:rsidP="00794AFD">
            <w:pPr>
              <w:jc w:val="right"/>
              <w:rPr>
                <w:rFonts w:asciiTheme="minorHAnsi" w:hAnsiTheme="minorHAnsi" w:cs="Times New Roman"/>
                <w:b/>
                <w:sz w:val="16"/>
                <w:szCs w:val="16"/>
              </w:rPr>
            </w:pPr>
          </w:p>
          <w:p w14:paraId="1B1D2AE4"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(25.6)</w:t>
            </w:r>
          </w:p>
        </w:tc>
        <w:tc>
          <w:tcPr>
            <w:tcW w:w="308" w:type="pct"/>
            <w:tcBorders>
              <w:top w:val="single" w:sz="4" w:space="0" w:color="auto"/>
              <w:left w:val="nil"/>
              <w:bottom w:val="single" w:sz="4" w:space="0" w:color="auto"/>
              <w:right w:val="nil"/>
            </w:tcBorders>
          </w:tcPr>
          <w:p w14:paraId="49033309" w14:textId="77777777" w:rsidR="00794AFD" w:rsidRPr="00784F67" w:rsidRDefault="00794AFD" w:rsidP="00794AFD">
            <w:pPr>
              <w:jc w:val="right"/>
              <w:rPr>
                <w:rFonts w:asciiTheme="minorHAnsi" w:hAnsiTheme="minorHAnsi" w:cs="Times New Roman"/>
                <w:b/>
                <w:sz w:val="16"/>
                <w:szCs w:val="16"/>
              </w:rPr>
            </w:pPr>
          </w:p>
          <w:p w14:paraId="1AC9C1AE"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2.3</w:t>
            </w:r>
          </w:p>
        </w:tc>
        <w:tc>
          <w:tcPr>
            <w:tcW w:w="284" w:type="pct"/>
            <w:tcBorders>
              <w:top w:val="single" w:sz="4" w:space="0" w:color="auto"/>
              <w:left w:val="nil"/>
              <w:bottom w:val="single" w:sz="4" w:space="0" w:color="auto"/>
              <w:right w:val="nil"/>
            </w:tcBorders>
          </w:tcPr>
          <w:p w14:paraId="4917E8C8" w14:textId="77777777" w:rsidR="00794AFD" w:rsidRPr="00C02727" w:rsidRDefault="00794AFD" w:rsidP="00794AFD">
            <w:pPr>
              <w:jc w:val="right"/>
              <w:rPr>
                <w:rFonts w:asciiTheme="minorHAnsi" w:hAnsiTheme="minorHAnsi" w:cs="Times New Roman"/>
                <w:b/>
                <w:sz w:val="16"/>
                <w:szCs w:val="16"/>
              </w:rPr>
            </w:pPr>
          </w:p>
        </w:tc>
        <w:tc>
          <w:tcPr>
            <w:tcW w:w="329" w:type="pct"/>
            <w:gridSpan w:val="2"/>
            <w:tcBorders>
              <w:top w:val="single" w:sz="4" w:space="0" w:color="auto"/>
              <w:left w:val="nil"/>
              <w:bottom w:val="single" w:sz="4" w:space="0" w:color="auto"/>
              <w:right w:val="nil"/>
            </w:tcBorders>
          </w:tcPr>
          <w:p w14:paraId="354A1FD1" w14:textId="77777777" w:rsidR="00794AFD" w:rsidRPr="00C02727" w:rsidRDefault="00794AFD" w:rsidP="00794AFD">
            <w:pPr>
              <w:jc w:val="right"/>
              <w:rPr>
                <w:rFonts w:asciiTheme="minorHAnsi" w:hAnsiTheme="minorHAnsi" w:cs="Times New Roman"/>
                <w:b/>
                <w:sz w:val="16"/>
                <w:szCs w:val="16"/>
              </w:rPr>
            </w:pPr>
          </w:p>
          <w:p w14:paraId="77B362A0"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51" w:type="pct"/>
            <w:tcBorders>
              <w:top w:val="single" w:sz="4" w:space="0" w:color="auto"/>
              <w:left w:val="nil"/>
              <w:bottom w:val="single" w:sz="4" w:space="0" w:color="auto"/>
              <w:right w:val="nil"/>
            </w:tcBorders>
          </w:tcPr>
          <w:p w14:paraId="37DB7BD4" w14:textId="77777777" w:rsidR="00794AFD" w:rsidRPr="00C02727" w:rsidRDefault="00794AFD" w:rsidP="00794AFD">
            <w:pPr>
              <w:jc w:val="right"/>
              <w:rPr>
                <w:rFonts w:asciiTheme="minorHAnsi" w:hAnsiTheme="minorHAnsi" w:cs="Times New Roman"/>
                <w:b/>
                <w:sz w:val="16"/>
                <w:szCs w:val="16"/>
              </w:rPr>
            </w:pPr>
          </w:p>
          <w:p w14:paraId="7A2A3679"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25" w:type="pct"/>
            <w:tcBorders>
              <w:top w:val="single" w:sz="4" w:space="0" w:color="auto"/>
              <w:left w:val="nil"/>
              <w:bottom w:val="single" w:sz="4" w:space="0" w:color="auto"/>
              <w:right w:val="nil"/>
            </w:tcBorders>
          </w:tcPr>
          <w:p w14:paraId="4078C495" w14:textId="77777777" w:rsidR="00794AFD" w:rsidRPr="00784F67" w:rsidRDefault="00794AFD" w:rsidP="00794AFD">
            <w:pPr>
              <w:jc w:val="right"/>
              <w:rPr>
                <w:rFonts w:asciiTheme="minorHAnsi" w:hAnsiTheme="minorHAnsi" w:cs="Times New Roman"/>
                <w:b/>
                <w:sz w:val="16"/>
                <w:szCs w:val="16"/>
              </w:rPr>
            </w:pPr>
          </w:p>
          <w:p w14:paraId="741A4F15"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385" w:type="pct"/>
            <w:tcBorders>
              <w:top w:val="single" w:sz="4" w:space="0" w:color="auto"/>
              <w:left w:val="nil"/>
              <w:bottom w:val="single" w:sz="4" w:space="0" w:color="auto"/>
              <w:right w:val="nil"/>
            </w:tcBorders>
          </w:tcPr>
          <w:p w14:paraId="3058D95B" w14:textId="77777777" w:rsidR="00794AFD" w:rsidRPr="00784F67" w:rsidRDefault="00794AFD" w:rsidP="00794AFD">
            <w:pPr>
              <w:jc w:val="right"/>
              <w:rPr>
                <w:rFonts w:asciiTheme="minorHAnsi" w:hAnsiTheme="minorHAnsi" w:cs="Times New Roman"/>
                <w:b/>
                <w:sz w:val="16"/>
                <w:szCs w:val="16"/>
              </w:rPr>
            </w:pPr>
          </w:p>
          <w:p w14:paraId="5B97544B"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144.</w:t>
            </w:r>
            <w:r>
              <w:rPr>
                <w:rFonts w:asciiTheme="minorHAnsi" w:hAnsiTheme="minorHAnsi" w:cs="Times New Roman"/>
                <w:b/>
                <w:sz w:val="16"/>
                <w:szCs w:val="16"/>
              </w:rPr>
              <w:t>0</w:t>
            </w:r>
          </w:p>
        </w:tc>
        <w:tc>
          <w:tcPr>
            <w:tcW w:w="298" w:type="pct"/>
            <w:tcBorders>
              <w:top w:val="single" w:sz="4" w:space="0" w:color="auto"/>
              <w:left w:val="nil"/>
              <w:bottom w:val="single" w:sz="4" w:space="0" w:color="auto"/>
              <w:right w:val="nil"/>
            </w:tcBorders>
          </w:tcPr>
          <w:p w14:paraId="5789B216" w14:textId="77777777" w:rsidR="00794AFD" w:rsidRPr="00784F67" w:rsidRDefault="00794AFD" w:rsidP="00794AFD">
            <w:pPr>
              <w:jc w:val="right"/>
              <w:rPr>
                <w:rFonts w:asciiTheme="minorHAnsi" w:hAnsiTheme="minorHAnsi" w:cs="Times New Roman"/>
                <w:b/>
                <w:sz w:val="16"/>
                <w:szCs w:val="16"/>
              </w:rPr>
            </w:pPr>
          </w:p>
          <w:p w14:paraId="5881E4F6"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120.</w:t>
            </w:r>
            <w:r>
              <w:rPr>
                <w:rFonts w:asciiTheme="minorHAnsi" w:hAnsiTheme="minorHAnsi" w:cs="Times New Roman"/>
                <w:b/>
                <w:sz w:val="16"/>
                <w:szCs w:val="16"/>
              </w:rPr>
              <w:t>7</w:t>
            </w:r>
          </w:p>
        </w:tc>
        <w:tc>
          <w:tcPr>
            <w:tcW w:w="304" w:type="pct"/>
            <w:tcBorders>
              <w:top w:val="single" w:sz="4" w:space="0" w:color="auto"/>
              <w:left w:val="nil"/>
              <w:bottom w:val="single" w:sz="4" w:space="0" w:color="auto"/>
              <w:right w:val="nil"/>
            </w:tcBorders>
          </w:tcPr>
          <w:p w14:paraId="0A398B96" w14:textId="77777777" w:rsidR="00794AFD" w:rsidRPr="00784F67" w:rsidRDefault="00794AFD" w:rsidP="00794AFD">
            <w:pPr>
              <w:jc w:val="right"/>
              <w:rPr>
                <w:rFonts w:asciiTheme="minorHAnsi" w:hAnsiTheme="minorHAnsi" w:cs="Times New Roman"/>
                <w:b/>
                <w:sz w:val="16"/>
                <w:szCs w:val="16"/>
              </w:rPr>
            </w:pPr>
          </w:p>
          <w:p w14:paraId="5CACA147"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(39.</w:t>
            </w:r>
            <w:r>
              <w:rPr>
                <w:rFonts w:asciiTheme="minorHAnsi" w:hAnsiTheme="minorHAnsi" w:cs="Times New Roman"/>
                <w:b/>
                <w:sz w:val="16"/>
                <w:szCs w:val="16"/>
              </w:rPr>
              <w:t>6</w:t>
            </w:r>
            <w:r w:rsidRPr="00784F67">
              <w:rPr>
                <w:rFonts w:asciiTheme="minorHAnsi" w:hAnsiTheme="minorHAnsi" w:cs="Times New Roman"/>
                <w:b/>
                <w:sz w:val="16"/>
                <w:szCs w:val="16"/>
              </w:rPr>
              <w:t>)</w:t>
            </w:r>
          </w:p>
        </w:tc>
        <w:tc>
          <w:tcPr>
            <w:tcW w:w="289" w:type="pct"/>
            <w:tcBorders>
              <w:top w:val="single" w:sz="4" w:space="0" w:color="auto"/>
              <w:left w:val="nil"/>
              <w:bottom w:val="single" w:sz="4" w:space="0" w:color="auto"/>
              <w:right w:val="nil"/>
            </w:tcBorders>
          </w:tcPr>
          <w:p w14:paraId="65B40BF0" w14:textId="77777777" w:rsidR="00794AFD" w:rsidRPr="00784F67" w:rsidRDefault="00794AFD" w:rsidP="00794AFD">
            <w:pPr>
              <w:jc w:val="right"/>
              <w:rPr>
                <w:rFonts w:asciiTheme="minorHAnsi" w:hAnsiTheme="minorHAnsi" w:cs="Times New Roman"/>
                <w:b/>
                <w:sz w:val="16"/>
                <w:szCs w:val="16"/>
              </w:rPr>
            </w:pPr>
          </w:p>
          <w:p w14:paraId="473AECA6"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81.1</w:t>
            </w:r>
          </w:p>
        </w:tc>
      </w:tr>
      <w:tr w:rsidR="00794AFD" w:rsidRPr="001C5950" w14:paraId="79ABB564" w14:textId="77777777" w:rsidTr="00794AFD">
        <w:trPr>
          <w:trHeight w:val="297"/>
        </w:trPr>
        <w:tc>
          <w:tcPr>
            <w:tcW w:w="1526" w:type="pct"/>
            <w:gridSpan w:val="4"/>
            <w:tcBorders>
              <w:top w:val="nil"/>
              <w:left w:val="nil"/>
              <w:bottom w:val="nil"/>
              <w:right w:val="nil"/>
            </w:tcBorders>
          </w:tcPr>
          <w:p w14:paraId="13E20F9B" w14:textId="77777777" w:rsidR="00794AFD" w:rsidRPr="00070ED0" w:rsidRDefault="00794AFD" w:rsidP="00794AFD">
            <w:pPr>
              <w:ind w:left="-108"/>
              <w:rPr>
                <w:rFonts w:asciiTheme="minorHAnsi" w:hAnsiTheme="minorHAnsi" w:cs="Times New Roman"/>
                <w:b/>
                <w:sz w:val="16"/>
                <w:szCs w:val="16"/>
              </w:rPr>
            </w:pPr>
            <w:r w:rsidRPr="00070ED0">
              <w:rPr>
                <w:rFonts w:asciiTheme="minorHAnsi" w:hAnsiTheme="minorHAnsi" w:cs="Times New Roman"/>
                <w:b/>
                <w:sz w:val="16"/>
                <w:szCs w:val="16"/>
              </w:rPr>
              <w:t>Transactions with owners of the Company, recognised directly in equity</w:t>
            </w:r>
          </w:p>
        </w:tc>
        <w:tc>
          <w:tcPr>
            <w:tcW w:w="308" w:type="pct"/>
            <w:tcBorders>
              <w:left w:val="nil"/>
              <w:bottom w:val="nil"/>
              <w:right w:val="nil"/>
            </w:tcBorders>
          </w:tcPr>
          <w:p w14:paraId="627D7131" w14:textId="77777777" w:rsidR="00794AFD" w:rsidRPr="00784F67" w:rsidRDefault="00794AFD" w:rsidP="00794AFD">
            <w:pPr>
              <w:jc w:val="right"/>
              <w:rPr>
                <w:rFonts w:asciiTheme="minorHAnsi" w:hAnsiTheme="minorHAnsi" w:cs="Times New Roman"/>
                <w:b/>
                <w:sz w:val="16"/>
                <w:szCs w:val="16"/>
              </w:rPr>
            </w:pPr>
          </w:p>
        </w:tc>
        <w:tc>
          <w:tcPr>
            <w:tcW w:w="308" w:type="pct"/>
            <w:tcBorders>
              <w:left w:val="nil"/>
              <w:bottom w:val="nil"/>
              <w:right w:val="nil"/>
            </w:tcBorders>
          </w:tcPr>
          <w:p w14:paraId="016C5460" w14:textId="77777777" w:rsidR="00794AFD" w:rsidRPr="00784F67" w:rsidRDefault="00794AFD" w:rsidP="00794AFD">
            <w:pPr>
              <w:jc w:val="right"/>
              <w:rPr>
                <w:rFonts w:asciiTheme="minorHAnsi" w:hAnsiTheme="minorHAnsi" w:cs="Times New Roman"/>
                <w:b/>
                <w:sz w:val="16"/>
                <w:szCs w:val="16"/>
              </w:rPr>
            </w:pPr>
          </w:p>
        </w:tc>
        <w:tc>
          <w:tcPr>
            <w:tcW w:w="293" w:type="pct"/>
            <w:gridSpan w:val="2"/>
            <w:tcBorders>
              <w:left w:val="nil"/>
              <w:bottom w:val="nil"/>
              <w:right w:val="nil"/>
            </w:tcBorders>
          </w:tcPr>
          <w:p w14:paraId="33ED85BF" w14:textId="77777777" w:rsidR="00794AFD" w:rsidRPr="00C02727" w:rsidRDefault="00794AFD" w:rsidP="00794AFD">
            <w:pPr>
              <w:jc w:val="right"/>
              <w:rPr>
                <w:rFonts w:asciiTheme="minorHAnsi" w:hAnsiTheme="minorHAnsi" w:cs="Times New Roman"/>
                <w:b/>
                <w:sz w:val="16"/>
                <w:szCs w:val="16"/>
              </w:rPr>
            </w:pPr>
          </w:p>
        </w:tc>
        <w:tc>
          <w:tcPr>
            <w:tcW w:w="320" w:type="pct"/>
            <w:tcBorders>
              <w:left w:val="nil"/>
              <w:bottom w:val="nil"/>
              <w:right w:val="nil"/>
            </w:tcBorders>
          </w:tcPr>
          <w:p w14:paraId="3A30C3EF" w14:textId="77777777" w:rsidR="00794AFD" w:rsidRPr="00C02727" w:rsidRDefault="00794AFD" w:rsidP="00794AFD">
            <w:pPr>
              <w:jc w:val="right"/>
              <w:rPr>
                <w:rFonts w:asciiTheme="minorHAnsi" w:hAnsiTheme="minorHAnsi" w:cs="Times New Roman"/>
                <w:b/>
                <w:sz w:val="16"/>
                <w:szCs w:val="16"/>
              </w:rPr>
            </w:pPr>
          </w:p>
        </w:tc>
        <w:tc>
          <w:tcPr>
            <w:tcW w:w="351" w:type="pct"/>
            <w:tcBorders>
              <w:left w:val="nil"/>
              <w:bottom w:val="nil"/>
              <w:right w:val="nil"/>
            </w:tcBorders>
          </w:tcPr>
          <w:p w14:paraId="7BD97B1B" w14:textId="77777777" w:rsidR="00794AFD" w:rsidRPr="00C02727" w:rsidRDefault="00794AFD" w:rsidP="00794AFD">
            <w:pPr>
              <w:jc w:val="right"/>
              <w:rPr>
                <w:rFonts w:asciiTheme="minorHAnsi" w:hAnsiTheme="minorHAnsi" w:cs="Times New Roman"/>
                <w:b/>
                <w:sz w:val="16"/>
                <w:szCs w:val="16"/>
              </w:rPr>
            </w:pPr>
          </w:p>
        </w:tc>
        <w:tc>
          <w:tcPr>
            <w:tcW w:w="325" w:type="pct"/>
            <w:tcBorders>
              <w:left w:val="nil"/>
              <w:bottom w:val="nil"/>
              <w:right w:val="nil"/>
            </w:tcBorders>
          </w:tcPr>
          <w:p w14:paraId="6154A3B5" w14:textId="77777777" w:rsidR="00794AFD" w:rsidRPr="00784F67" w:rsidRDefault="00794AFD" w:rsidP="00794AFD">
            <w:pPr>
              <w:jc w:val="right"/>
              <w:rPr>
                <w:rFonts w:asciiTheme="minorHAnsi" w:hAnsiTheme="minorHAnsi" w:cs="Times New Roman"/>
                <w:b/>
                <w:sz w:val="16"/>
                <w:szCs w:val="16"/>
              </w:rPr>
            </w:pPr>
          </w:p>
        </w:tc>
        <w:tc>
          <w:tcPr>
            <w:tcW w:w="385" w:type="pct"/>
            <w:tcBorders>
              <w:left w:val="nil"/>
              <w:bottom w:val="nil"/>
              <w:right w:val="nil"/>
            </w:tcBorders>
          </w:tcPr>
          <w:p w14:paraId="07193BFC" w14:textId="77777777" w:rsidR="00794AFD" w:rsidRPr="00784F67" w:rsidRDefault="00794AFD" w:rsidP="00794AFD">
            <w:pPr>
              <w:jc w:val="right"/>
              <w:rPr>
                <w:rFonts w:asciiTheme="minorHAnsi" w:hAnsiTheme="minorHAnsi" w:cs="Times New Roman"/>
                <w:b/>
                <w:sz w:val="16"/>
                <w:szCs w:val="16"/>
              </w:rPr>
            </w:pPr>
          </w:p>
        </w:tc>
        <w:tc>
          <w:tcPr>
            <w:tcW w:w="298" w:type="pct"/>
            <w:tcBorders>
              <w:left w:val="nil"/>
              <w:bottom w:val="nil"/>
              <w:right w:val="nil"/>
            </w:tcBorders>
          </w:tcPr>
          <w:p w14:paraId="6E1EF53B" w14:textId="77777777" w:rsidR="00794AFD" w:rsidRPr="00134B4F" w:rsidRDefault="00794AFD" w:rsidP="00794AFD">
            <w:pPr>
              <w:jc w:val="right"/>
              <w:rPr>
                <w:rFonts w:asciiTheme="minorHAnsi" w:hAnsiTheme="minorHAnsi" w:cs="Times New Roman"/>
                <w:b/>
                <w:sz w:val="16"/>
                <w:szCs w:val="16"/>
                <w:highlight w:val="yellow"/>
              </w:rPr>
            </w:pPr>
          </w:p>
        </w:tc>
        <w:tc>
          <w:tcPr>
            <w:tcW w:w="304" w:type="pct"/>
            <w:tcBorders>
              <w:left w:val="nil"/>
              <w:bottom w:val="nil"/>
              <w:right w:val="nil"/>
            </w:tcBorders>
          </w:tcPr>
          <w:p w14:paraId="34B2CB99" w14:textId="77777777" w:rsidR="00794AFD" w:rsidRPr="00134B4F" w:rsidRDefault="00794AFD" w:rsidP="00794AFD">
            <w:pPr>
              <w:jc w:val="right"/>
              <w:rPr>
                <w:rFonts w:asciiTheme="minorHAnsi" w:hAnsiTheme="minorHAnsi" w:cs="Times New Roman"/>
                <w:b/>
                <w:sz w:val="16"/>
                <w:szCs w:val="16"/>
                <w:highlight w:val="yellow"/>
              </w:rPr>
            </w:pPr>
          </w:p>
        </w:tc>
        <w:tc>
          <w:tcPr>
            <w:tcW w:w="289" w:type="pct"/>
            <w:tcBorders>
              <w:left w:val="nil"/>
              <w:bottom w:val="nil"/>
              <w:right w:val="nil"/>
            </w:tcBorders>
          </w:tcPr>
          <w:p w14:paraId="4A398D77" w14:textId="77777777" w:rsidR="00794AFD" w:rsidRPr="00134B4F" w:rsidRDefault="00794AFD" w:rsidP="00794AFD">
            <w:pPr>
              <w:jc w:val="right"/>
              <w:rPr>
                <w:rFonts w:asciiTheme="minorHAnsi" w:hAnsiTheme="minorHAnsi" w:cs="Times New Roman"/>
                <w:b/>
                <w:sz w:val="16"/>
                <w:szCs w:val="16"/>
                <w:highlight w:val="yellow"/>
              </w:rPr>
            </w:pPr>
          </w:p>
        </w:tc>
        <w:tc>
          <w:tcPr>
            <w:tcW w:w="294" w:type="pct"/>
          </w:tcPr>
          <w:p w14:paraId="1CF4E2C1" w14:textId="77777777" w:rsidR="00794AFD" w:rsidRPr="001C5950" w:rsidRDefault="00794AFD" w:rsidP="00794AFD">
            <w:pPr>
              <w:widowControl/>
              <w:autoSpaceDE/>
              <w:autoSpaceDN/>
              <w:adjustRightInd/>
            </w:pPr>
          </w:p>
        </w:tc>
      </w:tr>
      <w:tr w:rsidR="00794AFD" w:rsidRPr="001C5950" w14:paraId="717A7A20" w14:textId="77777777" w:rsidTr="00794AFD">
        <w:trPr>
          <w:gridAfter w:val="1"/>
          <w:wAfter w:w="294" w:type="pct"/>
          <w:trHeight w:val="188"/>
        </w:trPr>
        <w:tc>
          <w:tcPr>
            <w:tcW w:w="881" w:type="pct"/>
            <w:tcBorders>
              <w:top w:val="nil"/>
              <w:left w:val="nil"/>
              <w:bottom w:val="nil"/>
              <w:right w:val="nil"/>
            </w:tcBorders>
          </w:tcPr>
          <w:p w14:paraId="4B5AAEC5" w14:textId="77777777" w:rsidR="00794AFD" w:rsidRPr="001C5950" w:rsidRDefault="00794AFD" w:rsidP="00794AFD">
            <w:pPr>
              <w:ind w:left="-108"/>
              <w:rPr>
                <w:rFonts w:asciiTheme="minorHAnsi" w:hAnsiTheme="minorHAnsi" w:cs="Times New Roman"/>
                <w:sz w:val="16"/>
                <w:szCs w:val="16"/>
              </w:rPr>
            </w:pPr>
            <w:r w:rsidRPr="001C5950">
              <w:rPr>
                <w:rFonts w:asciiTheme="minorHAnsi" w:hAnsiTheme="minorHAnsi" w:cs="Times New Roman"/>
                <w:sz w:val="16"/>
                <w:szCs w:val="16"/>
              </w:rPr>
              <w:t xml:space="preserve">Shares issued </w:t>
            </w:r>
            <w:r w:rsidRPr="00FC3D06">
              <w:rPr>
                <w:rFonts w:asciiTheme="minorHAnsi" w:hAnsiTheme="minorHAnsi" w:cs="Times New Roman"/>
                <w:sz w:val="16"/>
                <w:szCs w:val="16"/>
              </w:rPr>
              <w:t>(Note 1</w:t>
            </w:r>
            <w:r>
              <w:rPr>
                <w:rFonts w:asciiTheme="minorHAnsi" w:hAnsiTheme="minorHAnsi" w:cs="Times New Roman"/>
                <w:sz w:val="16"/>
                <w:szCs w:val="16"/>
              </w:rPr>
              <w:t>1</w:t>
            </w:r>
            <w:r w:rsidRPr="00FC3D06">
              <w:rPr>
                <w:rFonts w:asciiTheme="minorHAnsi" w:hAnsiTheme="minorHAnsi" w:cs="Times New Roman"/>
                <w:sz w:val="16"/>
                <w:szCs w:val="16"/>
              </w:rPr>
              <w:t>)</w:t>
            </w:r>
          </w:p>
        </w:tc>
        <w:tc>
          <w:tcPr>
            <w:tcW w:w="366" w:type="pct"/>
            <w:gridSpan w:val="2"/>
            <w:tcBorders>
              <w:left w:val="nil"/>
              <w:bottom w:val="nil"/>
              <w:right w:val="nil"/>
            </w:tcBorders>
          </w:tcPr>
          <w:p w14:paraId="70EF95B4" w14:textId="77777777" w:rsidR="00794AFD" w:rsidRPr="00070ED0" w:rsidRDefault="00794AFD" w:rsidP="00794AFD">
            <w:pPr>
              <w:jc w:val="right"/>
              <w:rPr>
                <w:rFonts w:asciiTheme="minorHAnsi" w:hAnsiTheme="minorHAnsi" w:cs="Times New Roman"/>
                <w:b/>
                <w:i/>
                <w:sz w:val="16"/>
                <w:szCs w:val="16"/>
              </w:rPr>
            </w:pPr>
            <w:r w:rsidRPr="00070ED0">
              <w:rPr>
                <w:rFonts w:asciiTheme="minorHAnsi" w:hAnsiTheme="minorHAnsi" w:cs="Times New Roman"/>
                <w:b/>
                <w:i/>
                <w:sz w:val="16"/>
                <w:szCs w:val="16"/>
              </w:rPr>
              <w:t>0.3</w:t>
            </w:r>
          </w:p>
        </w:tc>
        <w:tc>
          <w:tcPr>
            <w:tcW w:w="278" w:type="pct"/>
            <w:tcBorders>
              <w:left w:val="nil"/>
              <w:bottom w:val="nil"/>
              <w:right w:val="nil"/>
            </w:tcBorders>
          </w:tcPr>
          <w:p w14:paraId="324F07F0"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3.6</w:t>
            </w:r>
          </w:p>
        </w:tc>
        <w:tc>
          <w:tcPr>
            <w:tcW w:w="308" w:type="pct"/>
            <w:tcBorders>
              <w:left w:val="nil"/>
              <w:bottom w:val="nil"/>
              <w:right w:val="nil"/>
            </w:tcBorders>
          </w:tcPr>
          <w:p w14:paraId="1CF04B3F"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08" w:type="pct"/>
            <w:tcBorders>
              <w:left w:val="nil"/>
              <w:bottom w:val="nil"/>
              <w:right w:val="nil"/>
            </w:tcBorders>
          </w:tcPr>
          <w:p w14:paraId="4983672F"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293" w:type="pct"/>
            <w:gridSpan w:val="2"/>
            <w:tcBorders>
              <w:left w:val="nil"/>
              <w:bottom w:val="nil"/>
              <w:right w:val="nil"/>
            </w:tcBorders>
          </w:tcPr>
          <w:p w14:paraId="511A51DC"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20" w:type="pct"/>
            <w:tcBorders>
              <w:left w:val="nil"/>
              <w:bottom w:val="nil"/>
              <w:right w:val="nil"/>
            </w:tcBorders>
          </w:tcPr>
          <w:p w14:paraId="79C35250"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51" w:type="pct"/>
            <w:tcBorders>
              <w:left w:val="nil"/>
              <w:bottom w:val="nil"/>
              <w:right w:val="nil"/>
            </w:tcBorders>
          </w:tcPr>
          <w:p w14:paraId="5539CEC2"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25" w:type="pct"/>
            <w:tcBorders>
              <w:left w:val="nil"/>
              <w:bottom w:val="nil"/>
              <w:right w:val="nil"/>
            </w:tcBorders>
          </w:tcPr>
          <w:p w14:paraId="25BDC085"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385" w:type="pct"/>
            <w:tcBorders>
              <w:left w:val="nil"/>
              <w:bottom w:val="nil"/>
              <w:right w:val="nil"/>
            </w:tcBorders>
          </w:tcPr>
          <w:p w14:paraId="7B8F7233"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298" w:type="pct"/>
            <w:tcBorders>
              <w:left w:val="nil"/>
              <w:bottom w:val="nil"/>
              <w:right w:val="nil"/>
            </w:tcBorders>
          </w:tcPr>
          <w:p w14:paraId="491CFE18"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3.6</w:t>
            </w:r>
          </w:p>
        </w:tc>
        <w:tc>
          <w:tcPr>
            <w:tcW w:w="304" w:type="pct"/>
            <w:tcBorders>
              <w:left w:val="nil"/>
              <w:bottom w:val="nil"/>
              <w:right w:val="nil"/>
            </w:tcBorders>
          </w:tcPr>
          <w:p w14:paraId="784CCA63"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289" w:type="pct"/>
            <w:tcBorders>
              <w:left w:val="nil"/>
              <w:bottom w:val="nil"/>
              <w:right w:val="nil"/>
            </w:tcBorders>
          </w:tcPr>
          <w:p w14:paraId="34FD38D8"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3.6</w:t>
            </w:r>
          </w:p>
        </w:tc>
      </w:tr>
      <w:tr w:rsidR="00794AFD" w:rsidRPr="001C5950" w14:paraId="614914B3" w14:textId="77777777" w:rsidTr="00794AFD">
        <w:trPr>
          <w:gridAfter w:val="1"/>
          <w:wAfter w:w="294" w:type="pct"/>
          <w:trHeight w:val="166"/>
        </w:trPr>
        <w:tc>
          <w:tcPr>
            <w:tcW w:w="881" w:type="pct"/>
            <w:tcBorders>
              <w:left w:val="nil"/>
              <w:right w:val="nil"/>
            </w:tcBorders>
          </w:tcPr>
          <w:p w14:paraId="02AC1EA8"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 xml:space="preserve">Business combinations (Note </w:t>
            </w:r>
            <w:r>
              <w:rPr>
                <w:rFonts w:asciiTheme="minorHAnsi" w:hAnsiTheme="minorHAnsi" w:cs="Times New Roman"/>
                <w:sz w:val="16"/>
                <w:szCs w:val="16"/>
              </w:rPr>
              <w:t>8</w:t>
            </w:r>
            <w:r w:rsidRPr="001C5950">
              <w:rPr>
                <w:rFonts w:asciiTheme="minorHAnsi" w:hAnsiTheme="minorHAnsi" w:cs="Times New Roman"/>
                <w:sz w:val="16"/>
                <w:szCs w:val="16"/>
              </w:rPr>
              <w:t>)</w:t>
            </w:r>
          </w:p>
        </w:tc>
        <w:tc>
          <w:tcPr>
            <w:tcW w:w="366" w:type="pct"/>
            <w:gridSpan w:val="2"/>
            <w:tcBorders>
              <w:left w:val="nil"/>
              <w:right w:val="nil"/>
            </w:tcBorders>
          </w:tcPr>
          <w:p w14:paraId="2020BE6B" w14:textId="77777777" w:rsidR="00794AFD" w:rsidRPr="00070ED0" w:rsidRDefault="00794AFD" w:rsidP="00794AFD">
            <w:pPr>
              <w:jc w:val="right"/>
              <w:rPr>
                <w:rFonts w:asciiTheme="minorHAnsi" w:hAnsiTheme="minorHAnsi" w:cs="Times New Roman"/>
                <w:b/>
                <w:i/>
                <w:sz w:val="16"/>
                <w:szCs w:val="16"/>
              </w:rPr>
            </w:pPr>
            <w:r w:rsidRPr="00070ED0">
              <w:rPr>
                <w:rFonts w:asciiTheme="minorHAnsi" w:hAnsiTheme="minorHAnsi" w:cs="Times New Roman"/>
                <w:b/>
                <w:i/>
                <w:sz w:val="16"/>
                <w:szCs w:val="16"/>
              </w:rPr>
              <w:t>-</w:t>
            </w:r>
          </w:p>
        </w:tc>
        <w:tc>
          <w:tcPr>
            <w:tcW w:w="278" w:type="pct"/>
            <w:tcBorders>
              <w:left w:val="nil"/>
              <w:right w:val="nil"/>
            </w:tcBorders>
          </w:tcPr>
          <w:p w14:paraId="2335C8DF"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08" w:type="pct"/>
            <w:tcBorders>
              <w:left w:val="nil"/>
              <w:right w:val="nil"/>
            </w:tcBorders>
          </w:tcPr>
          <w:p w14:paraId="6167CDC1"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08" w:type="pct"/>
            <w:tcBorders>
              <w:left w:val="nil"/>
              <w:right w:val="nil"/>
            </w:tcBorders>
          </w:tcPr>
          <w:p w14:paraId="664D4E89"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293" w:type="pct"/>
            <w:gridSpan w:val="2"/>
            <w:tcBorders>
              <w:left w:val="nil"/>
              <w:right w:val="nil"/>
            </w:tcBorders>
          </w:tcPr>
          <w:p w14:paraId="3ECACD6A"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20" w:type="pct"/>
            <w:tcBorders>
              <w:left w:val="nil"/>
              <w:right w:val="nil"/>
            </w:tcBorders>
          </w:tcPr>
          <w:p w14:paraId="053727B7"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51" w:type="pct"/>
            <w:tcBorders>
              <w:left w:val="nil"/>
              <w:right w:val="nil"/>
            </w:tcBorders>
          </w:tcPr>
          <w:p w14:paraId="2FFB408B"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25" w:type="pct"/>
            <w:tcBorders>
              <w:left w:val="nil"/>
              <w:right w:val="nil"/>
            </w:tcBorders>
          </w:tcPr>
          <w:p w14:paraId="54E7DCA7"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385" w:type="pct"/>
            <w:tcBorders>
              <w:left w:val="nil"/>
              <w:right w:val="nil"/>
            </w:tcBorders>
          </w:tcPr>
          <w:p w14:paraId="5E08C96F"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298" w:type="pct"/>
            <w:tcBorders>
              <w:left w:val="nil"/>
              <w:right w:val="nil"/>
            </w:tcBorders>
          </w:tcPr>
          <w:p w14:paraId="12248E34"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304" w:type="pct"/>
            <w:tcBorders>
              <w:left w:val="nil"/>
              <w:right w:val="nil"/>
            </w:tcBorders>
          </w:tcPr>
          <w:p w14:paraId="1F70236E"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31.2</w:t>
            </w:r>
          </w:p>
        </w:tc>
        <w:tc>
          <w:tcPr>
            <w:tcW w:w="289" w:type="pct"/>
            <w:tcBorders>
              <w:left w:val="nil"/>
              <w:right w:val="nil"/>
            </w:tcBorders>
          </w:tcPr>
          <w:p w14:paraId="2C0BF1D4"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31.2</w:t>
            </w:r>
          </w:p>
        </w:tc>
      </w:tr>
      <w:tr w:rsidR="00794AFD" w:rsidRPr="001C5950" w14:paraId="61442A0F" w14:textId="77777777" w:rsidTr="00794AFD">
        <w:trPr>
          <w:gridAfter w:val="1"/>
          <w:wAfter w:w="294" w:type="pct"/>
          <w:trHeight w:val="333"/>
        </w:trPr>
        <w:tc>
          <w:tcPr>
            <w:tcW w:w="881" w:type="pct"/>
            <w:tcBorders>
              <w:left w:val="nil"/>
              <w:right w:val="nil"/>
            </w:tcBorders>
          </w:tcPr>
          <w:p w14:paraId="4BAC0A31"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 xml:space="preserve">Own shares acquired by the Group (Note </w:t>
            </w:r>
            <w:r w:rsidRPr="00FC3D06">
              <w:rPr>
                <w:rFonts w:asciiTheme="minorHAnsi" w:hAnsiTheme="minorHAnsi" w:cs="Times New Roman"/>
                <w:sz w:val="16"/>
                <w:szCs w:val="16"/>
              </w:rPr>
              <w:t>1</w:t>
            </w:r>
            <w:r>
              <w:rPr>
                <w:rFonts w:asciiTheme="minorHAnsi" w:hAnsiTheme="minorHAnsi" w:cs="Times New Roman"/>
                <w:sz w:val="16"/>
                <w:szCs w:val="16"/>
              </w:rPr>
              <w:t>1</w:t>
            </w:r>
            <w:r w:rsidRPr="001C5950">
              <w:rPr>
                <w:rFonts w:asciiTheme="minorHAnsi" w:hAnsiTheme="minorHAnsi" w:cs="Times New Roman"/>
                <w:sz w:val="16"/>
                <w:szCs w:val="16"/>
              </w:rPr>
              <w:t>)</w:t>
            </w:r>
          </w:p>
        </w:tc>
        <w:tc>
          <w:tcPr>
            <w:tcW w:w="366" w:type="pct"/>
            <w:gridSpan w:val="2"/>
            <w:tcBorders>
              <w:left w:val="nil"/>
              <w:right w:val="nil"/>
            </w:tcBorders>
          </w:tcPr>
          <w:p w14:paraId="220FDA9C" w14:textId="77777777" w:rsidR="00794AFD" w:rsidRPr="00070ED0" w:rsidRDefault="00794AFD" w:rsidP="00794AFD">
            <w:pPr>
              <w:jc w:val="right"/>
              <w:rPr>
                <w:rFonts w:asciiTheme="minorHAnsi" w:hAnsiTheme="minorHAnsi" w:cs="Times New Roman"/>
                <w:b/>
                <w:i/>
                <w:sz w:val="16"/>
                <w:szCs w:val="16"/>
              </w:rPr>
            </w:pPr>
          </w:p>
          <w:p w14:paraId="55426039" w14:textId="77777777" w:rsidR="00794AFD" w:rsidRPr="00070ED0" w:rsidRDefault="00794AFD" w:rsidP="00794AFD">
            <w:pPr>
              <w:jc w:val="right"/>
              <w:rPr>
                <w:rFonts w:asciiTheme="minorHAnsi" w:hAnsiTheme="minorHAnsi" w:cs="Times New Roman"/>
                <w:b/>
                <w:i/>
                <w:sz w:val="16"/>
                <w:szCs w:val="16"/>
              </w:rPr>
            </w:pPr>
            <w:r w:rsidRPr="00070ED0">
              <w:rPr>
                <w:rFonts w:asciiTheme="minorHAnsi" w:hAnsiTheme="minorHAnsi" w:cs="Times New Roman"/>
                <w:b/>
                <w:i/>
                <w:sz w:val="16"/>
                <w:szCs w:val="16"/>
              </w:rPr>
              <w:t>(1.4)</w:t>
            </w:r>
          </w:p>
        </w:tc>
        <w:tc>
          <w:tcPr>
            <w:tcW w:w="278" w:type="pct"/>
            <w:tcBorders>
              <w:left w:val="nil"/>
              <w:right w:val="nil"/>
            </w:tcBorders>
          </w:tcPr>
          <w:p w14:paraId="6E724478" w14:textId="77777777" w:rsidR="00794AFD" w:rsidRPr="00070ED0" w:rsidRDefault="00794AFD" w:rsidP="00794AFD">
            <w:pPr>
              <w:jc w:val="right"/>
              <w:rPr>
                <w:rFonts w:asciiTheme="minorHAnsi" w:hAnsiTheme="minorHAnsi" w:cs="Times New Roman"/>
                <w:b/>
                <w:sz w:val="16"/>
                <w:szCs w:val="16"/>
              </w:rPr>
            </w:pPr>
          </w:p>
          <w:p w14:paraId="30B9A0A9"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(0.1)</w:t>
            </w:r>
          </w:p>
        </w:tc>
        <w:tc>
          <w:tcPr>
            <w:tcW w:w="308" w:type="pct"/>
            <w:tcBorders>
              <w:left w:val="nil"/>
              <w:right w:val="nil"/>
            </w:tcBorders>
          </w:tcPr>
          <w:p w14:paraId="5C5550FB" w14:textId="77777777" w:rsidR="00794AFD" w:rsidRPr="00C02727" w:rsidRDefault="00794AFD" w:rsidP="00794AFD">
            <w:pPr>
              <w:jc w:val="right"/>
              <w:rPr>
                <w:rFonts w:asciiTheme="minorHAnsi" w:hAnsiTheme="minorHAnsi" w:cs="Times New Roman"/>
                <w:b/>
                <w:sz w:val="16"/>
                <w:szCs w:val="16"/>
              </w:rPr>
            </w:pPr>
          </w:p>
          <w:p w14:paraId="50108200"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08" w:type="pct"/>
            <w:tcBorders>
              <w:left w:val="nil"/>
              <w:right w:val="nil"/>
            </w:tcBorders>
          </w:tcPr>
          <w:p w14:paraId="24582B85" w14:textId="77777777" w:rsidR="00794AFD" w:rsidRPr="00C02727" w:rsidRDefault="00794AFD" w:rsidP="00794AFD">
            <w:pPr>
              <w:jc w:val="right"/>
              <w:rPr>
                <w:rFonts w:asciiTheme="minorHAnsi" w:hAnsiTheme="minorHAnsi" w:cs="Times New Roman"/>
                <w:b/>
                <w:sz w:val="16"/>
                <w:szCs w:val="16"/>
              </w:rPr>
            </w:pPr>
          </w:p>
          <w:p w14:paraId="658A47E9"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293" w:type="pct"/>
            <w:gridSpan w:val="2"/>
            <w:tcBorders>
              <w:left w:val="nil"/>
              <w:right w:val="nil"/>
            </w:tcBorders>
          </w:tcPr>
          <w:p w14:paraId="04F59123" w14:textId="77777777" w:rsidR="00794AFD" w:rsidRPr="00C02727" w:rsidRDefault="00794AFD" w:rsidP="00794AFD">
            <w:pPr>
              <w:jc w:val="right"/>
              <w:rPr>
                <w:rFonts w:asciiTheme="minorHAnsi" w:hAnsiTheme="minorHAnsi" w:cs="Times New Roman"/>
                <w:b/>
                <w:sz w:val="16"/>
                <w:szCs w:val="16"/>
              </w:rPr>
            </w:pPr>
          </w:p>
          <w:p w14:paraId="5BCD96DF"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0.1</w:t>
            </w:r>
          </w:p>
        </w:tc>
        <w:tc>
          <w:tcPr>
            <w:tcW w:w="320" w:type="pct"/>
            <w:tcBorders>
              <w:left w:val="nil"/>
              <w:right w:val="nil"/>
            </w:tcBorders>
          </w:tcPr>
          <w:p w14:paraId="7921DAD3" w14:textId="77777777" w:rsidR="00794AFD" w:rsidRPr="00C02727" w:rsidRDefault="00794AFD" w:rsidP="00794AFD">
            <w:pPr>
              <w:jc w:val="right"/>
              <w:rPr>
                <w:rFonts w:asciiTheme="minorHAnsi" w:hAnsiTheme="minorHAnsi" w:cs="Times New Roman"/>
                <w:b/>
                <w:sz w:val="16"/>
                <w:szCs w:val="16"/>
              </w:rPr>
            </w:pPr>
          </w:p>
          <w:p w14:paraId="22D4CD7C"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51" w:type="pct"/>
            <w:tcBorders>
              <w:left w:val="nil"/>
              <w:right w:val="nil"/>
            </w:tcBorders>
          </w:tcPr>
          <w:p w14:paraId="58DBD933" w14:textId="77777777" w:rsidR="00794AFD" w:rsidRPr="00C02727" w:rsidRDefault="00794AFD" w:rsidP="00794AFD">
            <w:pPr>
              <w:jc w:val="right"/>
              <w:rPr>
                <w:rFonts w:asciiTheme="minorHAnsi" w:hAnsiTheme="minorHAnsi" w:cs="Times New Roman"/>
                <w:b/>
                <w:sz w:val="16"/>
                <w:szCs w:val="16"/>
              </w:rPr>
            </w:pPr>
          </w:p>
          <w:p w14:paraId="05285A7D"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25" w:type="pct"/>
            <w:tcBorders>
              <w:left w:val="nil"/>
              <w:right w:val="nil"/>
            </w:tcBorders>
          </w:tcPr>
          <w:p w14:paraId="78242288" w14:textId="77777777" w:rsidR="00794AFD" w:rsidRPr="00784F67" w:rsidRDefault="00794AFD" w:rsidP="00794AFD">
            <w:pPr>
              <w:jc w:val="right"/>
              <w:rPr>
                <w:rFonts w:asciiTheme="minorHAnsi" w:hAnsiTheme="minorHAnsi" w:cs="Times New Roman"/>
                <w:b/>
                <w:sz w:val="16"/>
                <w:szCs w:val="16"/>
              </w:rPr>
            </w:pPr>
          </w:p>
          <w:p w14:paraId="1D4DB34B"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385" w:type="pct"/>
            <w:tcBorders>
              <w:left w:val="nil"/>
              <w:right w:val="nil"/>
            </w:tcBorders>
          </w:tcPr>
          <w:p w14:paraId="48E40FB3" w14:textId="77777777" w:rsidR="00794AFD" w:rsidRPr="00784F67" w:rsidRDefault="00794AFD" w:rsidP="00794AFD">
            <w:pPr>
              <w:jc w:val="right"/>
              <w:rPr>
                <w:rFonts w:asciiTheme="minorHAnsi" w:hAnsiTheme="minorHAnsi" w:cs="Times New Roman"/>
                <w:b/>
                <w:sz w:val="16"/>
                <w:szCs w:val="16"/>
              </w:rPr>
            </w:pPr>
          </w:p>
          <w:p w14:paraId="703B1C7E"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298" w:type="pct"/>
            <w:tcBorders>
              <w:left w:val="nil"/>
              <w:right w:val="nil"/>
            </w:tcBorders>
          </w:tcPr>
          <w:p w14:paraId="26C0FF24" w14:textId="77777777" w:rsidR="00794AFD" w:rsidRPr="00784F67" w:rsidRDefault="00794AFD" w:rsidP="00794AFD">
            <w:pPr>
              <w:jc w:val="right"/>
              <w:rPr>
                <w:rFonts w:asciiTheme="minorHAnsi" w:hAnsiTheme="minorHAnsi" w:cs="Times New Roman"/>
                <w:b/>
                <w:sz w:val="16"/>
                <w:szCs w:val="16"/>
              </w:rPr>
            </w:pPr>
          </w:p>
          <w:p w14:paraId="5508DB2C"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304" w:type="pct"/>
            <w:tcBorders>
              <w:left w:val="nil"/>
              <w:right w:val="nil"/>
            </w:tcBorders>
          </w:tcPr>
          <w:p w14:paraId="4FCD11AE" w14:textId="77777777" w:rsidR="00794AFD" w:rsidRPr="00784F67" w:rsidRDefault="00794AFD" w:rsidP="00794AFD">
            <w:pPr>
              <w:jc w:val="right"/>
              <w:rPr>
                <w:rFonts w:asciiTheme="minorHAnsi" w:hAnsiTheme="minorHAnsi" w:cs="Times New Roman"/>
                <w:b/>
                <w:sz w:val="16"/>
                <w:szCs w:val="16"/>
              </w:rPr>
            </w:pPr>
          </w:p>
          <w:p w14:paraId="092C333B"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289" w:type="pct"/>
            <w:tcBorders>
              <w:left w:val="nil"/>
              <w:right w:val="nil"/>
            </w:tcBorders>
          </w:tcPr>
          <w:p w14:paraId="7FB60AF0" w14:textId="77777777" w:rsidR="00794AFD" w:rsidRPr="00784F67" w:rsidRDefault="00794AFD" w:rsidP="00794AFD">
            <w:pPr>
              <w:jc w:val="right"/>
              <w:rPr>
                <w:rFonts w:asciiTheme="minorHAnsi" w:hAnsiTheme="minorHAnsi" w:cs="Times New Roman"/>
                <w:b/>
                <w:sz w:val="16"/>
                <w:szCs w:val="16"/>
              </w:rPr>
            </w:pPr>
          </w:p>
          <w:p w14:paraId="05CE9559"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r>
      <w:tr w:rsidR="00794AFD" w:rsidRPr="001C5950" w14:paraId="31DBC7A6" w14:textId="77777777" w:rsidTr="00794AFD">
        <w:trPr>
          <w:gridAfter w:val="1"/>
          <w:wAfter w:w="294" w:type="pct"/>
          <w:trHeight w:val="333"/>
        </w:trPr>
        <w:tc>
          <w:tcPr>
            <w:tcW w:w="881" w:type="pct"/>
            <w:tcBorders>
              <w:left w:val="nil"/>
              <w:right w:val="nil"/>
            </w:tcBorders>
          </w:tcPr>
          <w:p w14:paraId="0F0E5A2B"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 xml:space="preserve">Equity-settled transactions – expense </w:t>
            </w:r>
          </w:p>
          <w:p w14:paraId="34A5D97F"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 xml:space="preserve">recorded in income statement </w:t>
            </w:r>
          </w:p>
        </w:tc>
        <w:tc>
          <w:tcPr>
            <w:tcW w:w="366" w:type="pct"/>
            <w:gridSpan w:val="2"/>
            <w:tcBorders>
              <w:left w:val="nil"/>
              <w:right w:val="nil"/>
            </w:tcBorders>
          </w:tcPr>
          <w:p w14:paraId="5995A79D" w14:textId="77777777" w:rsidR="00794AFD" w:rsidRPr="00070ED0" w:rsidRDefault="00794AFD" w:rsidP="00794AFD">
            <w:pPr>
              <w:jc w:val="right"/>
              <w:rPr>
                <w:rFonts w:asciiTheme="minorHAnsi" w:hAnsiTheme="minorHAnsi" w:cs="Times New Roman"/>
                <w:b/>
                <w:i/>
                <w:sz w:val="16"/>
                <w:szCs w:val="16"/>
              </w:rPr>
            </w:pPr>
          </w:p>
          <w:p w14:paraId="5D4C2101" w14:textId="77777777" w:rsidR="00794AFD" w:rsidRPr="00070ED0" w:rsidRDefault="00794AFD" w:rsidP="00794AFD">
            <w:pPr>
              <w:jc w:val="right"/>
              <w:rPr>
                <w:rFonts w:asciiTheme="minorHAnsi" w:hAnsiTheme="minorHAnsi" w:cs="Times New Roman"/>
                <w:b/>
                <w:i/>
                <w:sz w:val="16"/>
                <w:szCs w:val="16"/>
              </w:rPr>
            </w:pPr>
            <w:r w:rsidRPr="00070ED0">
              <w:rPr>
                <w:rFonts w:asciiTheme="minorHAnsi" w:hAnsiTheme="minorHAnsi" w:cs="Times New Roman"/>
                <w:b/>
                <w:i/>
                <w:sz w:val="16"/>
                <w:szCs w:val="16"/>
              </w:rPr>
              <w:t>-</w:t>
            </w:r>
          </w:p>
        </w:tc>
        <w:tc>
          <w:tcPr>
            <w:tcW w:w="278" w:type="pct"/>
            <w:tcBorders>
              <w:left w:val="nil"/>
              <w:right w:val="nil"/>
            </w:tcBorders>
          </w:tcPr>
          <w:p w14:paraId="4C9AFD94" w14:textId="77777777" w:rsidR="00794AFD" w:rsidRPr="00070ED0" w:rsidRDefault="00794AFD" w:rsidP="00794AFD">
            <w:pPr>
              <w:jc w:val="right"/>
              <w:rPr>
                <w:rFonts w:asciiTheme="minorHAnsi" w:hAnsiTheme="minorHAnsi" w:cs="Times New Roman"/>
                <w:b/>
                <w:sz w:val="16"/>
                <w:szCs w:val="16"/>
              </w:rPr>
            </w:pPr>
          </w:p>
          <w:p w14:paraId="70FEE4EA"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08" w:type="pct"/>
            <w:tcBorders>
              <w:left w:val="nil"/>
              <w:right w:val="nil"/>
            </w:tcBorders>
          </w:tcPr>
          <w:p w14:paraId="7DA0D027" w14:textId="77777777" w:rsidR="00794AFD" w:rsidRPr="00C02727" w:rsidRDefault="00794AFD" w:rsidP="00794AFD">
            <w:pPr>
              <w:jc w:val="right"/>
              <w:rPr>
                <w:rFonts w:asciiTheme="minorHAnsi" w:hAnsiTheme="minorHAnsi" w:cs="Times New Roman"/>
                <w:b/>
                <w:sz w:val="16"/>
                <w:szCs w:val="16"/>
              </w:rPr>
            </w:pPr>
          </w:p>
          <w:p w14:paraId="1D5E5EC8"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08" w:type="pct"/>
            <w:tcBorders>
              <w:left w:val="nil"/>
              <w:right w:val="nil"/>
            </w:tcBorders>
          </w:tcPr>
          <w:p w14:paraId="4866E6D0" w14:textId="77777777" w:rsidR="00794AFD" w:rsidRPr="00C02727" w:rsidRDefault="00794AFD" w:rsidP="00794AFD">
            <w:pPr>
              <w:jc w:val="right"/>
              <w:rPr>
                <w:rFonts w:asciiTheme="minorHAnsi" w:hAnsiTheme="minorHAnsi" w:cs="Times New Roman"/>
                <w:b/>
                <w:sz w:val="16"/>
                <w:szCs w:val="16"/>
              </w:rPr>
            </w:pPr>
          </w:p>
          <w:p w14:paraId="2EB19055"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293" w:type="pct"/>
            <w:gridSpan w:val="2"/>
            <w:tcBorders>
              <w:left w:val="nil"/>
              <w:right w:val="nil"/>
            </w:tcBorders>
          </w:tcPr>
          <w:p w14:paraId="6CFACD64" w14:textId="77777777" w:rsidR="00794AFD" w:rsidRPr="00C02727" w:rsidRDefault="00794AFD" w:rsidP="00794AFD">
            <w:pPr>
              <w:jc w:val="right"/>
              <w:rPr>
                <w:rFonts w:asciiTheme="minorHAnsi" w:hAnsiTheme="minorHAnsi" w:cs="Times New Roman"/>
                <w:b/>
                <w:sz w:val="16"/>
                <w:szCs w:val="16"/>
              </w:rPr>
            </w:pPr>
          </w:p>
          <w:p w14:paraId="6CA65E3A"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20" w:type="pct"/>
            <w:tcBorders>
              <w:left w:val="nil"/>
              <w:right w:val="nil"/>
            </w:tcBorders>
          </w:tcPr>
          <w:p w14:paraId="4579BC4C" w14:textId="77777777" w:rsidR="00794AFD" w:rsidRPr="00C02727" w:rsidRDefault="00794AFD" w:rsidP="00794AFD">
            <w:pPr>
              <w:jc w:val="right"/>
              <w:rPr>
                <w:rFonts w:asciiTheme="minorHAnsi" w:hAnsiTheme="minorHAnsi" w:cs="Times New Roman"/>
                <w:b/>
                <w:sz w:val="16"/>
                <w:szCs w:val="16"/>
              </w:rPr>
            </w:pPr>
          </w:p>
          <w:p w14:paraId="6A3998BB"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51" w:type="pct"/>
            <w:tcBorders>
              <w:left w:val="nil"/>
              <w:right w:val="nil"/>
            </w:tcBorders>
          </w:tcPr>
          <w:p w14:paraId="3EA53811" w14:textId="77777777" w:rsidR="00794AFD" w:rsidRPr="00C02727" w:rsidRDefault="00794AFD" w:rsidP="00794AFD">
            <w:pPr>
              <w:jc w:val="right"/>
              <w:rPr>
                <w:rFonts w:asciiTheme="minorHAnsi" w:hAnsiTheme="minorHAnsi" w:cs="Times New Roman"/>
                <w:b/>
                <w:sz w:val="16"/>
                <w:szCs w:val="16"/>
              </w:rPr>
            </w:pPr>
          </w:p>
          <w:p w14:paraId="6364C0DC"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25" w:type="pct"/>
            <w:tcBorders>
              <w:left w:val="nil"/>
              <w:right w:val="nil"/>
            </w:tcBorders>
          </w:tcPr>
          <w:p w14:paraId="2B47AC36" w14:textId="77777777" w:rsidR="00794AFD" w:rsidRPr="00784F67" w:rsidRDefault="00794AFD" w:rsidP="00794AFD">
            <w:pPr>
              <w:jc w:val="right"/>
              <w:rPr>
                <w:rFonts w:asciiTheme="minorHAnsi" w:hAnsiTheme="minorHAnsi" w:cs="Times New Roman"/>
                <w:b/>
                <w:sz w:val="16"/>
                <w:szCs w:val="16"/>
              </w:rPr>
            </w:pPr>
          </w:p>
          <w:p w14:paraId="77A669DB"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17.1</w:t>
            </w:r>
          </w:p>
        </w:tc>
        <w:tc>
          <w:tcPr>
            <w:tcW w:w="385" w:type="pct"/>
            <w:tcBorders>
              <w:left w:val="nil"/>
              <w:right w:val="nil"/>
            </w:tcBorders>
          </w:tcPr>
          <w:p w14:paraId="4637F962" w14:textId="77777777" w:rsidR="00794AFD" w:rsidRPr="00784F67" w:rsidRDefault="00794AFD" w:rsidP="00794AFD">
            <w:pPr>
              <w:jc w:val="right"/>
              <w:rPr>
                <w:rFonts w:asciiTheme="minorHAnsi" w:hAnsiTheme="minorHAnsi" w:cs="Times New Roman"/>
                <w:b/>
                <w:sz w:val="16"/>
                <w:szCs w:val="16"/>
              </w:rPr>
            </w:pPr>
          </w:p>
          <w:p w14:paraId="6C670422"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298" w:type="pct"/>
            <w:tcBorders>
              <w:left w:val="nil"/>
              <w:right w:val="nil"/>
            </w:tcBorders>
          </w:tcPr>
          <w:p w14:paraId="47167CE5" w14:textId="77777777" w:rsidR="00794AFD" w:rsidRPr="00784F67" w:rsidRDefault="00794AFD" w:rsidP="00794AFD">
            <w:pPr>
              <w:jc w:val="right"/>
              <w:rPr>
                <w:rFonts w:asciiTheme="minorHAnsi" w:hAnsiTheme="minorHAnsi" w:cs="Times New Roman"/>
                <w:b/>
                <w:sz w:val="16"/>
                <w:szCs w:val="16"/>
              </w:rPr>
            </w:pPr>
          </w:p>
          <w:p w14:paraId="44C23070"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17.1</w:t>
            </w:r>
          </w:p>
        </w:tc>
        <w:tc>
          <w:tcPr>
            <w:tcW w:w="304" w:type="pct"/>
            <w:tcBorders>
              <w:left w:val="nil"/>
              <w:right w:val="nil"/>
            </w:tcBorders>
          </w:tcPr>
          <w:p w14:paraId="68C90AF5" w14:textId="77777777" w:rsidR="00794AFD" w:rsidRPr="00784F67" w:rsidRDefault="00794AFD" w:rsidP="00794AFD">
            <w:pPr>
              <w:jc w:val="right"/>
              <w:rPr>
                <w:rFonts w:asciiTheme="minorHAnsi" w:hAnsiTheme="minorHAnsi" w:cs="Times New Roman"/>
                <w:b/>
                <w:sz w:val="16"/>
                <w:szCs w:val="16"/>
              </w:rPr>
            </w:pPr>
          </w:p>
          <w:p w14:paraId="03B643C8"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289" w:type="pct"/>
            <w:tcBorders>
              <w:left w:val="nil"/>
              <w:right w:val="nil"/>
            </w:tcBorders>
          </w:tcPr>
          <w:p w14:paraId="0252FCEB" w14:textId="77777777" w:rsidR="00794AFD" w:rsidRPr="00784F67" w:rsidRDefault="00794AFD" w:rsidP="00794AFD">
            <w:pPr>
              <w:jc w:val="right"/>
              <w:rPr>
                <w:rFonts w:asciiTheme="minorHAnsi" w:hAnsiTheme="minorHAnsi" w:cs="Times New Roman"/>
                <w:b/>
                <w:sz w:val="16"/>
                <w:szCs w:val="16"/>
              </w:rPr>
            </w:pPr>
          </w:p>
          <w:p w14:paraId="44BD6BC2"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17.1</w:t>
            </w:r>
          </w:p>
        </w:tc>
      </w:tr>
      <w:tr w:rsidR="00794AFD" w:rsidRPr="00C02727" w14:paraId="195C2AD4" w14:textId="77777777" w:rsidTr="00794AFD">
        <w:trPr>
          <w:gridAfter w:val="1"/>
          <w:wAfter w:w="294" w:type="pct"/>
          <w:trHeight w:val="120"/>
        </w:trPr>
        <w:tc>
          <w:tcPr>
            <w:tcW w:w="881" w:type="pct"/>
            <w:tcBorders>
              <w:left w:val="nil"/>
              <w:right w:val="nil"/>
            </w:tcBorders>
          </w:tcPr>
          <w:p w14:paraId="5786F170"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 xml:space="preserve">Equity-settled transactions – </w:t>
            </w:r>
            <w:proofErr w:type="spellStart"/>
            <w:r w:rsidRPr="001C5950">
              <w:rPr>
                <w:rFonts w:asciiTheme="minorHAnsi" w:hAnsiTheme="minorHAnsi" w:cs="Times New Roman"/>
                <w:sz w:val="16"/>
                <w:szCs w:val="16"/>
              </w:rPr>
              <w:t>vestings</w:t>
            </w:r>
            <w:proofErr w:type="spellEnd"/>
            <w:r w:rsidRPr="001C5950">
              <w:rPr>
                <w:rFonts w:asciiTheme="minorHAnsi" w:hAnsiTheme="minorHAnsi" w:cs="Times New Roman"/>
                <w:sz w:val="16"/>
                <w:szCs w:val="16"/>
              </w:rPr>
              <w:t xml:space="preserve"> </w:t>
            </w:r>
          </w:p>
        </w:tc>
        <w:tc>
          <w:tcPr>
            <w:tcW w:w="366" w:type="pct"/>
            <w:gridSpan w:val="2"/>
            <w:tcBorders>
              <w:left w:val="nil"/>
              <w:right w:val="nil"/>
            </w:tcBorders>
          </w:tcPr>
          <w:p w14:paraId="6EE93020" w14:textId="77777777" w:rsidR="00794AFD" w:rsidRPr="00070ED0" w:rsidRDefault="00794AFD" w:rsidP="00794AFD">
            <w:pPr>
              <w:jc w:val="right"/>
              <w:rPr>
                <w:rFonts w:asciiTheme="minorHAnsi" w:hAnsiTheme="minorHAnsi" w:cs="Times New Roman"/>
                <w:b/>
                <w:i/>
                <w:sz w:val="16"/>
                <w:szCs w:val="16"/>
              </w:rPr>
            </w:pPr>
            <w:r w:rsidRPr="00070ED0">
              <w:rPr>
                <w:rFonts w:asciiTheme="minorHAnsi" w:hAnsiTheme="minorHAnsi" w:cs="Times New Roman"/>
                <w:b/>
                <w:i/>
                <w:sz w:val="16"/>
                <w:szCs w:val="16"/>
              </w:rPr>
              <w:t>-</w:t>
            </w:r>
          </w:p>
        </w:tc>
        <w:tc>
          <w:tcPr>
            <w:tcW w:w="278" w:type="pct"/>
            <w:tcBorders>
              <w:left w:val="nil"/>
              <w:right w:val="nil"/>
            </w:tcBorders>
          </w:tcPr>
          <w:p w14:paraId="02E81EAF"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08" w:type="pct"/>
            <w:tcBorders>
              <w:left w:val="nil"/>
              <w:right w:val="nil"/>
            </w:tcBorders>
          </w:tcPr>
          <w:p w14:paraId="1DEDD826"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08" w:type="pct"/>
            <w:tcBorders>
              <w:left w:val="nil"/>
              <w:right w:val="nil"/>
            </w:tcBorders>
          </w:tcPr>
          <w:p w14:paraId="4889E29A"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293" w:type="pct"/>
            <w:gridSpan w:val="2"/>
            <w:tcBorders>
              <w:left w:val="nil"/>
              <w:right w:val="nil"/>
            </w:tcBorders>
          </w:tcPr>
          <w:p w14:paraId="6CC712A6"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20" w:type="pct"/>
            <w:tcBorders>
              <w:left w:val="nil"/>
              <w:right w:val="nil"/>
            </w:tcBorders>
          </w:tcPr>
          <w:p w14:paraId="2C2348F1"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51" w:type="pct"/>
            <w:tcBorders>
              <w:left w:val="nil"/>
              <w:right w:val="nil"/>
            </w:tcBorders>
          </w:tcPr>
          <w:p w14:paraId="60B208E9"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2.5</w:t>
            </w:r>
          </w:p>
        </w:tc>
        <w:tc>
          <w:tcPr>
            <w:tcW w:w="325" w:type="pct"/>
            <w:tcBorders>
              <w:left w:val="nil"/>
              <w:right w:val="nil"/>
            </w:tcBorders>
          </w:tcPr>
          <w:p w14:paraId="290CB7CD"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(2.3)</w:t>
            </w:r>
          </w:p>
        </w:tc>
        <w:tc>
          <w:tcPr>
            <w:tcW w:w="385" w:type="pct"/>
            <w:tcBorders>
              <w:left w:val="nil"/>
              <w:right w:val="nil"/>
            </w:tcBorders>
          </w:tcPr>
          <w:p w14:paraId="67F3EF30" w14:textId="77777777" w:rsidR="00794AFD" w:rsidRPr="00655898" w:rsidRDefault="00794AFD" w:rsidP="00794AFD">
            <w:pPr>
              <w:jc w:val="right"/>
              <w:rPr>
                <w:rFonts w:asciiTheme="minorHAnsi" w:hAnsiTheme="minorHAnsi" w:cs="Times New Roman"/>
                <w:b/>
                <w:sz w:val="16"/>
                <w:szCs w:val="16"/>
              </w:rPr>
            </w:pPr>
            <w:r w:rsidRPr="003A5032">
              <w:rPr>
                <w:rFonts w:asciiTheme="minorHAnsi" w:hAnsiTheme="minorHAnsi" w:cs="Times New Roman"/>
                <w:b/>
                <w:sz w:val="16"/>
                <w:szCs w:val="16"/>
              </w:rPr>
              <w:t>(0.2</w:t>
            </w:r>
            <w:r w:rsidRPr="00655898">
              <w:rPr>
                <w:rFonts w:asciiTheme="minorHAnsi" w:hAnsiTheme="minorHAnsi" w:cs="Times New Roman"/>
                <w:b/>
                <w:sz w:val="16"/>
                <w:szCs w:val="16"/>
              </w:rPr>
              <w:t>)</w:t>
            </w:r>
          </w:p>
        </w:tc>
        <w:tc>
          <w:tcPr>
            <w:tcW w:w="298" w:type="pct"/>
            <w:tcBorders>
              <w:left w:val="nil"/>
              <w:right w:val="nil"/>
            </w:tcBorders>
          </w:tcPr>
          <w:p w14:paraId="142BFBBA" w14:textId="77777777" w:rsidR="00794AFD" w:rsidRPr="00655898" w:rsidRDefault="00794AFD" w:rsidP="00794AFD">
            <w:pPr>
              <w:jc w:val="right"/>
              <w:rPr>
                <w:rFonts w:asciiTheme="minorHAnsi" w:hAnsiTheme="minorHAnsi" w:cs="Times New Roman"/>
                <w:b/>
                <w:sz w:val="16"/>
                <w:szCs w:val="16"/>
              </w:rPr>
            </w:pPr>
            <w:r w:rsidRPr="00655898">
              <w:rPr>
                <w:rFonts w:asciiTheme="minorHAnsi" w:hAnsiTheme="minorHAnsi" w:cs="Times New Roman"/>
                <w:b/>
                <w:sz w:val="16"/>
                <w:szCs w:val="16"/>
              </w:rPr>
              <w:t>-</w:t>
            </w:r>
          </w:p>
        </w:tc>
        <w:tc>
          <w:tcPr>
            <w:tcW w:w="304" w:type="pct"/>
            <w:tcBorders>
              <w:left w:val="nil"/>
              <w:right w:val="nil"/>
            </w:tcBorders>
          </w:tcPr>
          <w:p w14:paraId="7664C8A3" w14:textId="77777777" w:rsidR="00794AFD" w:rsidRPr="00655898" w:rsidRDefault="00794AFD" w:rsidP="00794AFD">
            <w:pPr>
              <w:jc w:val="right"/>
              <w:rPr>
                <w:rFonts w:asciiTheme="minorHAnsi" w:hAnsiTheme="minorHAnsi" w:cs="Times New Roman"/>
                <w:b/>
                <w:sz w:val="16"/>
                <w:szCs w:val="16"/>
              </w:rPr>
            </w:pPr>
            <w:r w:rsidRPr="00655898">
              <w:rPr>
                <w:rFonts w:asciiTheme="minorHAnsi" w:hAnsiTheme="minorHAnsi" w:cs="Times New Roman"/>
                <w:b/>
                <w:sz w:val="16"/>
                <w:szCs w:val="16"/>
              </w:rPr>
              <w:t>-</w:t>
            </w:r>
          </w:p>
        </w:tc>
        <w:tc>
          <w:tcPr>
            <w:tcW w:w="289" w:type="pct"/>
            <w:tcBorders>
              <w:left w:val="nil"/>
              <w:right w:val="nil"/>
            </w:tcBorders>
          </w:tcPr>
          <w:p w14:paraId="13720CA7" w14:textId="77777777" w:rsidR="00794AFD" w:rsidRPr="00655898" w:rsidRDefault="00794AFD" w:rsidP="00794AFD">
            <w:pPr>
              <w:jc w:val="right"/>
              <w:rPr>
                <w:rFonts w:asciiTheme="minorHAnsi" w:hAnsiTheme="minorHAnsi" w:cs="Times New Roman"/>
                <w:b/>
                <w:sz w:val="16"/>
                <w:szCs w:val="16"/>
              </w:rPr>
            </w:pPr>
            <w:r w:rsidRPr="00655898">
              <w:rPr>
                <w:rFonts w:asciiTheme="minorHAnsi" w:hAnsiTheme="minorHAnsi" w:cs="Times New Roman"/>
                <w:b/>
                <w:sz w:val="16"/>
                <w:szCs w:val="16"/>
              </w:rPr>
              <w:t>-</w:t>
            </w:r>
          </w:p>
        </w:tc>
      </w:tr>
      <w:tr w:rsidR="00794AFD" w:rsidRPr="001C5950" w14:paraId="6B507AD2" w14:textId="77777777" w:rsidTr="00794AFD">
        <w:trPr>
          <w:gridAfter w:val="1"/>
          <w:wAfter w:w="294" w:type="pct"/>
          <w:trHeight w:val="195"/>
        </w:trPr>
        <w:tc>
          <w:tcPr>
            <w:tcW w:w="881" w:type="pct"/>
            <w:tcBorders>
              <w:left w:val="nil"/>
              <w:right w:val="nil"/>
            </w:tcBorders>
          </w:tcPr>
          <w:p w14:paraId="7FE3B76A" w14:textId="77777777" w:rsidR="00794AFD" w:rsidRPr="001C5950" w:rsidRDefault="00794AFD" w:rsidP="00794AFD">
            <w:pPr>
              <w:ind w:left="-108"/>
              <w:rPr>
                <w:rFonts w:asciiTheme="minorHAnsi" w:hAnsiTheme="minorHAnsi" w:cs="Times New Roman"/>
                <w:sz w:val="16"/>
                <w:szCs w:val="16"/>
              </w:rPr>
            </w:pPr>
            <w:r w:rsidRPr="001C5950">
              <w:rPr>
                <w:rFonts w:asciiTheme="minorHAnsi" w:hAnsiTheme="minorHAnsi" w:cs="Times New Roman"/>
                <w:sz w:val="16"/>
                <w:szCs w:val="16"/>
              </w:rPr>
              <w:t>Tax on share-based payments</w:t>
            </w:r>
          </w:p>
        </w:tc>
        <w:tc>
          <w:tcPr>
            <w:tcW w:w="366" w:type="pct"/>
            <w:gridSpan w:val="2"/>
            <w:tcBorders>
              <w:left w:val="nil"/>
              <w:right w:val="nil"/>
            </w:tcBorders>
          </w:tcPr>
          <w:p w14:paraId="5E006ABF" w14:textId="77777777" w:rsidR="00794AFD" w:rsidRPr="00070ED0" w:rsidRDefault="00794AFD" w:rsidP="00794AFD">
            <w:pPr>
              <w:jc w:val="right"/>
              <w:rPr>
                <w:rFonts w:asciiTheme="minorHAnsi" w:hAnsiTheme="minorHAnsi" w:cs="Times New Roman"/>
                <w:b/>
                <w:i/>
                <w:sz w:val="16"/>
                <w:szCs w:val="16"/>
              </w:rPr>
            </w:pPr>
            <w:r w:rsidRPr="00070ED0">
              <w:rPr>
                <w:rFonts w:asciiTheme="minorHAnsi" w:hAnsiTheme="minorHAnsi" w:cs="Times New Roman"/>
                <w:b/>
                <w:i/>
                <w:sz w:val="16"/>
                <w:szCs w:val="16"/>
              </w:rPr>
              <w:t>-</w:t>
            </w:r>
          </w:p>
        </w:tc>
        <w:tc>
          <w:tcPr>
            <w:tcW w:w="278" w:type="pct"/>
            <w:tcBorders>
              <w:left w:val="nil"/>
              <w:right w:val="nil"/>
            </w:tcBorders>
          </w:tcPr>
          <w:p w14:paraId="510C0A5C"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08" w:type="pct"/>
            <w:tcBorders>
              <w:left w:val="nil"/>
              <w:right w:val="nil"/>
            </w:tcBorders>
          </w:tcPr>
          <w:p w14:paraId="55F6579E"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08" w:type="pct"/>
            <w:tcBorders>
              <w:left w:val="nil"/>
              <w:right w:val="nil"/>
            </w:tcBorders>
          </w:tcPr>
          <w:p w14:paraId="668C2D53"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293" w:type="pct"/>
            <w:gridSpan w:val="2"/>
            <w:tcBorders>
              <w:left w:val="nil"/>
              <w:right w:val="nil"/>
            </w:tcBorders>
          </w:tcPr>
          <w:p w14:paraId="2AB3BCB2"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20" w:type="pct"/>
            <w:tcBorders>
              <w:left w:val="nil"/>
              <w:right w:val="nil"/>
            </w:tcBorders>
          </w:tcPr>
          <w:p w14:paraId="4C5AAF96"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51" w:type="pct"/>
            <w:tcBorders>
              <w:left w:val="nil"/>
              <w:right w:val="nil"/>
            </w:tcBorders>
          </w:tcPr>
          <w:p w14:paraId="4E0EECCD"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25" w:type="pct"/>
            <w:tcBorders>
              <w:left w:val="nil"/>
              <w:right w:val="nil"/>
            </w:tcBorders>
          </w:tcPr>
          <w:p w14:paraId="2D9F501D" w14:textId="77777777" w:rsidR="00794AFD" w:rsidRPr="00134B4F" w:rsidRDefault="00794AFD" w:rsidP="00794AFD">
            <w:pPr>
              <w:jc w:val="right"/>
              <w:rPr>
                <w:rFonts w:asciiTheme="minorHAnsi" w:hAnsiTheme="minorHAnsi" w:cs="Times New Roman"/>
                <w:b/>
                <w:sz w:val="16"/>
                <w:szCs w:val="16"/>
                <w:highlight w:val="yellow"/>
              </w:rPr>
            </w:pPr>
            <w:r w:rsidRPr="000944E4">
              <w:rPr>
                <w:rFonts w:asciiTheme="minorHAnsi" w:hAnsiTheme="minorHAnsi" w:cs="Times New Roman"/>
                <w:b/>
                <w:sz w:val="16"/>
                <w:szCs w:val="16"/>
              </w:rPr>
              <w:t>-</w:t>
            </w:r>
          </w:p>
        </w:tc>
        <w:tc>
          <w:tcPr>
            <w:tcW w:w="385" w:type="pct"/>
            <w:tcBorders>
              <w:left w:val="nil"/>
              <w:right w:val="nil"/>
            </w:tcBorders>
          </w:tcPr>
          <w:p w14:paraId="53D121A1" w14:textId="77777777" w:rsidR="00794AFD" w:rsidRPr="000944E4" w:rsidRDefault="00794AFD" w:rsidP="00794AFD">
            <w:pPr>
              <w:jc w:val="right"/>
              <w:rPr>
                <w:rFonts w:asciiTheme="minorHAnsi" w:hAnsiTheme="minorHAnsi" w:cs="Times New Roman"/>
                <w:b/>
                <w:sz w:val="16"/>
                <w:szCs w:val="16"/>
              </w:rPr>
            </w:pPr>
            <w:r w:rsidRPr="000944E4">
              <w:rPr>
                <w:rFonts w:asciiTheme="minorHAnsi" w:hAnsiTheme="minorHAnsi" w:cs="Times New Roman"/>
                <w:b/>
                <w:sz w:val="16"/>
                <w:szCs w:val="16"/>
              </w:rPr>
              <w:t>1.5</w:t>
            </w:r>
          </w:p>
        </w:tc>
        <w:tc>
          <w:tcPr>
            <w:tcW w:w="298" w:type="pct"/>
            <w:tcBorders>
              <w:left w:val="nil"/>
              <w:right w:val="nil"/>
            </w:tcBorders>
          </w:tcPr>
          <w:p w14:paraId="19040711" w14:textId="77777777" w:rsidR="00794AFD" w:rsidRPr="000944E4" w:rsidRDefault="00794AFD" w:rsidP="00794AFD">
            <w:pPr>
              <w:jc w:val="right"/>
              <w:rPr>
                <w:rFonts w:asciiTheme="minorHAnsi" w:hAnsiTheme="minorHAnsi" w:cs="Times New Roman"/>
                <w:b/>
                <w:sz w:val="16"/>
                <w:szCs w:val="16"/>
              </w:rPr>
            </w:pPr>
            <w:r w:rsidRPr="000944E4">
              <w:rPr>
                <w:rFonts w:asciiTheme="minorHAnsi" w:hAnsiTheme="minorHAnsi" w:cs="Times New Roman"/>
                <w:b/>
                <w:sz w:val="16"/>
                <w:szCs w:val="16"/>
              </w:rPr>
              <w:t>1.5</w:t>
            </w:r>
          </w:p>
        </w:tc>
        <w:tc>
          <w:tcPr>
            <w:tcW w:w="304" w:type="pct"/>
            <w:tcBorders>
              <w:left w:val="nil"/>
              <w:right w:val="nil"/>
            </w:tcBorders>
          </w:tcPr>
          <w:p w14:paraId="4A8FC807" w14:textId="77777777" w:rsidR="00794AFD" w:rsidRPr="000944E4" w:rsidRDefault="00794AFD" w:rsidP="00794AFD">
            <w:pPr>
              <w:jc w:val="right"/>
              <w:rPr>
                <w:rFonts w:asciiTheme="minorHAnsi" w:hAnsiTheme="minorHAnsi" w:cs="Times New Roman"/>
                <w:b/>
                <w:sz w:val="16"/>
                <w:szCs w:val="16"/>
              </w:rPr>
            </w:pPr>
            <w:r w:rsidRPr="000944E4">
              <w:rPr>
                <w:rFonts w:asciiTheme="minorHAnsi" w:hAnsiTheme="minorHAnsi" w:cs="Times New Roman"/>
                <w:b/>
                <w:sz w:val="16"/>
                <w:szCs w:val="16"/>
              </w:rPr>
              <w:t>-</w:t>
            </w:r>
          </w:p>
        </w:tc>
        <w:tc>
          <w:tcPr>
            <w:tcW w:w="289" w:type="pct"/>
            <w:tcBorders>
              <w:left w:val="nil"/>
              <w:right w:val="nil"/>
            </w:tcBorders>
          </w:tcPr>
          <w:p w14:paraId="08F99EDF" w14:textId="77777777" w:rsidR="00794AFD" w:rsidRPr="000944E4" w:rsidRDefault="00794AFD" w:rsidP="00794AFD">
            <w:pPr>
              <w:jc w:val="right"/>
              <w:rPr>
                <w:rFonts w:asciiTheme="minorHAnsi" w:hAnsiTheme="minorHAnsi" w:cs="Times New Roman"/>
                <w:b/>
                <w:sz w:val="16"/>
                <w:szCs w:val="16"/>
              </w:rPr>
            </w:pPr>
            <w:r w:rsidRPr="000944E4">
              <w:rPr>
                <w:rFonts w:asciiTheme="minorHAnsi" w:hAnsiTheme="minorHAnsi" w:cs="Times New Roman"/>
                <w:b/>
                <w:sz w:val="16"/>
                <w:szCs w:val="16"/>
              </w:rPr>
              <w:t>1.5</w:t>
            </w:r>
          </w:p>
        </w:tc>
      </w:tr>
      <w:tr w:rsidR="00794AFD" w:rsidRPr="001C5950" w14:paraId="34C3CD27" w14:textId="77777777" w:rsidTr="00794AFD">
        <w:trPr>
          <w:gridAfter w:val="1"/>
          <w:wAfter w:w="294" w:type="pct"/>
          <w:trHeight w:val="360"/>
        </w:trPr>
        <w:tc>
          <w:tcPr>
            <w:tcW w:w="881" w:type="pct"/>
            <w:tcBorders>
              <w:left w:val="nil"/>
              <w:right w:val="nil"/>
            </w:tcBorders>
          </w:tcPr>
          <w:p w14:paraId="0984B1C5"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 xml:space="preserve">Transfer to retained earnings on exercise of share options </w:t>
            </w:r>
            <w:r w:rsidRPr="00FC3D06">
              <w:rPr>
                <w:rFonts w:asciiTheme="minorHAnsi" w:hAnsiTheme="minorHAnsi" w:cs="Times New Roman"/>
                <w:sz w:val="16"/>
                <w:szCs w:val="16"/>
              </w:rPr>
              <w:t>(Note 1</w:t>
            </w:r>
            <w:r>
              <w:rPr>
                <w:rFonts w:asciiTheme="minorHAnsi" w:hAnsiTheme="minorHAnsi" w:cs="Times New Roman"/>
                <w:sz w:val="16"/>
                <w:szCs w:val="16"/>
              </w:rPr>
              <w:t>1</w:t>
            </w:r>
            <w:r w:rsidRPr="00FC3D06">
              <w:rPr>
                <w:rFonts w:asciiTheme="minorHAnsi" w:hAnsiTheme="minorHAnsi" w:cs="Times New Roman"/>
                <w:sz w:val="16"/>
                <w:szCs w:val="16"/>
              </w:rPr>
              <w:t>)</w:t>
            </w:r>
          </w:p>
        </w:tc>
        <w:tc>
          <w:tcPr>
            <w:tcW w:w="366" w:type="pct"/>
            <w:gridSpan w:val="2"/>
            <w:tcBorders>
              <w:left w:val="nil"/>
              <w:right w:val="nil"/>
            </w:tcBorders>
          </w:tcPr>
          <w:p w14:paraId="42A48033" w14:textId="77777777" w:rsidR="00794AFD" w:rsidRPr="00070ED0" w:rsidRDefault="00794AFD" w:rsidP="00794AFD">
            <w:pPr>
              <w:jc w:val="right"/>
              <w:rPr>
                <w:rFonts w:asciiTheme="minorHAnsi" w:hAnsiTheme="minorHAnsi" w:cs="Times New Roman"/>
                <w:b/>
                <w:i/>
                <w:sz w:val="16"/>
                <w:szCs w:val="16"/>
              </w:rPr>
            </w:pPr>
          </w:p>
          <w:p w14:paraId="3BD6EFC2" w14:textId="77777777" w:rsidR="00794AFD" w:rsidRPr="00070ED0" w:rsidRDefault="00794AFD" w:rsidP="00794AFD">
            <w:pPr>
              <w:jc w:val="right"/>
              <w:rPr>
                <w:rFonts w:asciiTheme="minorHAnsi" w:hAnsiTheme="minorHAnsi" w:cs="Times New Roman"/>
                <w:b/>
                <w:i/>
                <w:sz w:val="16"/>
                <w:szCs w:val="16"/>
              </w:rPr>
            </w:pPr>
            <w:r w:rsidRPr="00070ED0">
              <w:rPr>
                <w:rFonts w:asciiTheme="minorHAnsi" w:hAnsiTheme="minorHAnsi" w:cs="Times New Roman"/>
                <w:b/>
                <w:i/>
                <w:sz w:val="16"/>
                <w:szCs w:val="16"/>
              </w:rPr>
              <w:t>-</w:t>
            </w:r>
          </w:p>
        </w:tc>
        <w:tc>
          <w:tcPr>
            <w:tcW w:w="278" w:type="pct"/>
            <w:tcBorders>
              <w:left w:val="nil"/>
              <w:right w:val="nil"/>
            </w:tcBorders>
          </w:tcPr>
          <w:p w14:paraId="3FB8A70A" w14:textId="77777777" w:rsidR="00794AFD" w:rsidRPr="00070ED0" w:rsidRDefault="00794AFD" w:rsidP="00794AFD">
            <w:pPr>
              <w:jc w:val="right"/>
              <w:rPr>
                <w:rFonts w:asciiTheme="minorHAnsi" w:hAnsiTheme="minorHAnsi" w:cs="Times New Roman"/>
                <w:b/>
                <w:sz w:val="16"/>
                <w:szCs w:val="16"/>
              </w:rPr>
            </w:pPr>
          </w:p>
          <w:p w14:paraId="29ED0200"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08" w:type="pct"/>
            <w:tcBorders>
              <w:left w:val="nil"/>
              <w:right w:val="nil"/>
            </w:tcBorders>
          </w:tcPr>
          <w:p w14:paraId="04728BE7" w14:textId="77777777" w:rsidR="00794AFD" w:rsidRPr="00C02727" w:rsidRDefault="00794AFD" w:rsidP="00794AFD">
            <w:pPr>
              <w:jc w:val="right"/>
              <w:rPr>
                <w:rFonts w:asciiTheme="minorHAnsi" w:hAnsiTheme="minorHAnsi" w:cs="Times New Roman"/>
                <w:b/>
                <w:sz w:val="16"/>
                <w:szCs w:val="16"/>
              </w:rPr>
            </w:pPr>
          </w:p>
          <w:p w14:paraId="396DBE7D"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08" w:type="pct"/>
            <w:tcBorders>
              <w:left w:val="nil"/>
              <w:right w:val="nil"/>
            </w:tcBorders>
          </w:tcPr>
          <w:p w14:paraId="42318346" w14:textId="77777777" w:rsidR="00794AFD" w:rsidRPr="00C02727" w:rsidRDefault="00794AFD" w:rsidP="00794AFD">
            <w:pPr>
              <w:jc w:val="right"/>
              <w:rPr>
                <w:rFonts w:asciiTheme="minorHAnsi" w:hAnsiTheme="minorHAnsi" w:cs="Times New Roman"/>
                <w:b/>
                <w:sz w:val="16"/>
                <w:szCs w:val="16"/>
              </w:rPr>
            </w:pPr>
          </w:p>
          <w:p w14:paraId="0085E14F"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293" w:type="pct"/>
            <w:gridSpan w:val="2"/>
            <w:tcBorders>
              <w:left w:val="nil"/>
              <w:right w:val="nil"/>
            </w:tcBorders>
          </w:tcPr>
          <w:p w14:paraId="2B21551D" w14:textId="77777777" w:rsidR="00794AFD" w:rsidRPr="00070ED0" w:rsidRDefault="00794AFD" w:rsidP="00794AFD">
            <w:pPr>
              <w:jc w:val="right"/>
              <w:rPr>
                <w:rFonts w:asciiTheme="minorHAnsi" w:hAnsiTheme="minorHAnsi" w:cs="Times New Roman"/>
                <w:b/>
                <w:sz w:val="16"/>
                <w:szCs w:val="16"/>
              </w:rPr>
            </w:pPr>
          </w:p>
          <w:p w14:paraId="38CB02F8"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20" w:type="pct"/>
            <w:tcBorders>
              <w:left w:val="nil"/>
              <w:right w:val="nil"/>
            </w:tcBorders>
          </w:tcPr>
          <w:p w14:paraId="5F3DA35E" w14:textId="77777777" w:rsidR="00794AFD" w:rsidRPr="00070ED0" w:rsidRDefault="00794AFD" w:rsidP="00794AFD">
            <w:pPr>
              <w:jc w:val="right"/>
              <w:rPr>
                <w:rFonts w:asciiTheme="minorHAnsi" w:hAnsiTheme="minorHAnsi" w:cs="Times New Roman"/>
                <w:b/>
                <w:sz w:val="16"/>
                <w:szCs w:val="16"/>
              </w:rPr>
            </w:pPr>
          </w:p>
          <w:p w14:paraId="5AB14961"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51" w:type="pct"/>
            <w:tcBorders>
              <w:left w:val="nil"/>
              <w:right w:val="nil"/>
            </w:tcBorders>
          </w:tcPr>
          <w:p w14:paraId="5E58EE38" w14:textId="77777777" w:rsidR="00794AFD" w:rsidRPr="00070ED0" w:rsidRDefault="00794AFD" w:rsidP="00794AFD">
            <w:pPr>
              <w:jc w:val="right"/>
              <w:rPr>
                <w:rFonts w:asciiTheme="minorHAnsi" w:hAnsiTheme="minorHAnsi" w:cs="Times New Roman"/>
                <w:b/>
                <w:sz w:val="16"/>
                <w:szCs w:val="16"/>
              </w:rPr>
            </w:pPr>
          </w:p>
          <w:p w14:paraId="14B7CE56"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25" w:type="pct"/>
            <w:tcBorders>
              <w:left w:val="nil"/>
              <w:right w:val="nil"/>
            </w:tcBorders>
          </w:tcPr>
          <w:p w14:paraId="6A73739C" w14:textId="77777777" w:rsidR="00794AFD" w:rsidRPr="00784F67" w:rsidRDefault="00794AFD" w:rsidP="00794AFD">
            <w:pPr>
              <w:jc w:val="right"/>
              <w:rPr>
                <w:rFonts w:asciiTheme="minorHAnsi" w:hAnsiTheme="minorHAnsi" w:cs="Times New Roman"/>
                <w:b/>
                <w:sz w:val="16"/>
                <w:szCs w:val="16"/>
              </w:rPr>
            </w:pPr>
          </w:p>
          <w:p w14:paraId="6A27149E"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(20.3)</w:t>
            </w:r>
          </w:p>
        </w:tc>
        <w:tc>
          <w:tcPr>
            <w:tcW w:w="385" w:type="pct"/>
            <w:tcBorders>
              <w:left w:val="nil"/>
              <w:right w:val="nil"/>
            </w:tcBorders>
          </w:tcPr>
          <w:p w14:paraId="784ECF48" w14:textId="77777777" w:rsidR="00794AFD" w:rsidRPr="00784F67" w:rsidRDefault="00794AFD" w:rsidP="00794AFD">
            <w:pPr>
              <w:jc w:val="right"/>
              <w:rPr>
                <w:rFonts w:asciiTheme="minorHAnsi" w:hAnsiTheme="minorHAnsi" w:cs="Times New Roman"/>
                <w:b/>
                <w:sz w:val="16"/>
                <w:szCs w:val="16"/>
              </w:rPr>
            </w:pPr>
          </w:p>
          <w:p w14:paraId="0272EDDA"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20.3</w:t>
            </w:r>
          </w:p>
        </w:tc>
        <w:tc>
          <w:tcPr>
            <w:tcW w:w="298" w:type="pct"/>
            <w:tcBorders>
              <w:left w:val="nil"/>
              <w:right w:val="nil"/>
            </w:tcBorders>
          </w:tcPr>
          <w:p w14:paraId="0E1B7EDE" w14:textId="77777777" w:rsidR="00794AFD" w:rsidRPr="00784F67" w:rsidRDefault="00794AFD" w:rsidP="00794AFD">
            <w:pPr>
              <w:jc w:val="right"/>
              <w:rPr>
                <w:rFonts w:asciiTheme="minorHAnsi" w:hAnsiTheme="minorHAnsi" w:cs="Times New Roman"/>
                <w:b/>
                <w:sz w:val="16"/>
                <w:szCs w:val="16"/>
              </w:rPr>
            </w:pPr>
          </w:p>
          <w:p w14:paraId="4FDEC6BE"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304" w:type="pct"/>
            <w:tcBorders>
              <w:left w:val="nil"/>
              <w:right w:val="nil"/>
            </w:tcBorders>
          </w:tcPr>
          <w:p w14:paraId="307B4B6E" w14:textId="77777777" w:rsidR="00794AFD" w:rsidRPr="00784F67" w:rsidRDefault="00794AFD" w:rsidP="00794AFD">
            <w:pPr>
              <w:jc w:val="right"/>
              <w:rPr>
                <w:rFonts w:asciiTheme="minorHAnsi" w:hAnsiTheme="minorHAnsi" w:cs="Times New Roman"/>
                <w:b/>
                <w:sz w:val="16"/>
                <w:szCs w:val="16"/>
              </w:rPr>
            </w:pPr>
          </w:p>
          <w:p w14:paraId="05097DBA"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289" w:type="pct"/>
            <w:tcBorders>
              <w:left w:val="nil"/>
              <w:right w:val="nil"/>
            </w:tcBorders>
          </w:tcPr>
          <w:p w14:paraId="5828F5FA" w14:textId="77777777" w:rsidR="00794AFD" w:rsidRPr="00784F67" w:rsidRDefault="00794AFD" w:rsidP="00794AFD">
            <w:pPr>
              <w:jc w:val="right"/>
              <w:rPr>
                <w:rFonts w:asciiTheme="minorHAnsi" w:hAnsiTheme="minorHAnsi" w:cs="Times New Roman"/>
                <w:b/>
                <w:sz w:val="16"/>
                <w:szCs w:val="16"/>
              </w:rPr>
            </w:pPr>
          </w:p>
          <w:p w14:paraId="36715482"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r>
      <w:tr w:rsidR="00794AFD" w:rsidRPr="001C5950" w14:paraId="5A355CE8" w14:textId="77777777" w:rsidTr="00794AFD">
        <w:trPr>
          <w:gridAfter w:val="1"/>
          <w:wAfter w:w="294" w:type="pct"/>
          <w:trHeight w:val="70"/>
        </w:trPr>
        <w:tc>
          <w:tcPr>
            <w:tcW w:w="881" w:type="pct"/>
            <w:tcBorders>
              <w:left w:val="nil"/>
              <w:right w:val="nil"/>
            </w:tcBorders>
          </w:tcPr>
          <w:p w14:paraId="56A22769"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 xml:space="preserve">Dividends to shareholders </w:t>
            </w:r>
            <w:r w:rsidRPr="00FC3D06">
              <w:rPr>
                <w:rFonts w:asciiTheme="minorHAnsi" w:hAnsiTheme="minorHAnsi" w:cs="Times New Roman"/>
                <w:sz w:val="16"/>
                <w:szCs w:val="16"/>
              </w:rPr>
              <w:t>(Note 1</w:t>
            </w:r>
            <w:r>
              <w:rPr>
                <w:rFonts w:asciiTheme="minorHAnsi" w:hAnsiTheme="minorHAnsi" w:cs="Times New Roman"/>
                <w:sz w:val="16"/>
                <w:szCs w:val="16"/>
              </w:rPr>
              <w:t>2</w:t>
            </w:r>
            <w:r w:rsidRPr="00FC3D06">
              <w:rPr>
                <w:rFonts w:asciiTheme="minorHAnsi" w:hAnsiTheme="minorHAnsi" w:cs="Times New Roman"/>
                <w:sz w:val="16"/>
                <w:szCs w:val="16"/>
              </w:rPr>
              <w:t>)</w:t>
            </w:r>
          </w:p>
        </w:tc>
        <w:tc>
          <w:tcPr>
            <w:tcW w:w="366" w:type="pct"/>
            <w:gridSpan w:val="2"/>
            <w:tcBorders>
              <w:left w:val="nil"/>
              <w:right w:val="nil"/>
            </w:tcBorders>
          </w:tcPr>
          <w:p w14:paraId="25CEC39C" w14:textId="77777777" w:rsidR="00794AFD" w:rsidRPr="00070ED0" w:rsidRDefault="00794AFD" w:rsidP="00794AFD">
            <w:pPr>
              <w:jc w:val="right"/>
              <w:rPr>
                <w:rFonts w:asciiTheme="minorHAnsi" w:hAnsiTheme="minorHAnsi" w:cs="Times New Roman"/>
                <w:b/>
                <w:i/>
                <w:sz w:val="16"/>
                <w:szCs w:val="16"/>
              </w:rPr>
            </w:pPr>
            <w:r w:rsidRPr="00070ED0">
              <w:rPr>
                <w:rFonts w:asciiTheme="minorHAnsi" w:hAnsiTheme="minorHAnsi" w:cs="Times New Roman"/>
                <w:b/>
                <w:i/>
                <w:sz w:val="16"/>
                <w:szCs w:val="16"/>
              </w:rPr>
              <w:t>-</w:t>
            </w:r>
          </w:p>
        </w:tc>
        <w:tc>
          <w:tcPr>
            <w:tcW w:w="278" w:type="pct"/>
            <w:tcBorders>
              <w:left w:val="nil"/>
              <w:right w:val="nil"/>
            </w:tcBorders>
          </w:tcPr>
          <w:p w14:paraId="0832F0B2"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08" w:type="pct"/>
            <w:tcBorders>
              <w:left w:val="nil"/>
              <w:right w:val="nil"/>
            </w:tcBorders>
          </w:tcPr>
          <w:p w14:paraId="254898E9"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08" w:type="pct"/>
            <w:tcBorders>
              <w:left w:val="nil"/>
              <w:right w:val="nil"/>
            </w:tcBorders>
          </w:tcPr>
          <w:p w14:paraId="6D1ED79E"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293" w:type="pct"/>
            <w:gridSpan w:val="2"/>
            <w:tcBorders>
              <w:left w:val="nil"/>
              <w:right w:val="nil"/>
            </w:tcBorders>
          </w:tcPr>
          <w:p w14:paraId="5342B259"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20" w:type="pct"/>
            <w:tcBorders>
              <w:left w:val="nil"/>
              <w:right w:val="nil"/>
            </w:tcBorders>
          </w:tcPr>
          <w:p w14:paraId="40C0D42D"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51" w:type="pct"/>
            <w:tcBorders>
              <w:left w:val="nil"/>
              <w:right w:val="nil"/>
            </w:tcBorders>
          </w:tcPr>
          <w:p w14:paraId="4098A601"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25" w:type="pct"/>
            <w:tcBorders>
              <w:left w:val="nil"/>
              <w:right w:val="nil"/>
            </w:tcBorders>
          </w:tcPr>
          <w:p w14:paraId="3B253E2B"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385" w:type="pct"/>
            <w:tcBorders>
              <w:left w:val="nil"/>
              <w:right w:val="nil"/>
            </w:tcBorders>
          </w:tcPr>
          <w:p w14:paraId="1ECECE3E"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(156.2)</w:t>
            </w:r>
          </w:p>
        </w:tc>
        <w:tc>
          <w:tcPr>
            <w:tcW w:w="298" w:type="pct"/>
            <w:tcBorders>
              <w:left w:val="nil"/>
              <w:right w:val="nil"/>
            </w:tcBorders>
          </w:tcPr>
          <w:p w14:paraId="7ECAD319"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(156.2)</w:t>
            </w:r>
          </w:p>
        </w:tc>
        <w:tc>
          <w:tcPr>
            <w:tcW w:w="304" w:type="pct"/>
            <w:tcBorders>
              <w:left w:val="nil"/>
              <w:right w:val="nil"/>
            </w:tcBorders>
          </w:tcPr>
          <w:p w14:paraId="46115739"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w:t>
            </w:r>
          </w:p>
        </w:tc>
        <w:tc>
          <w:tcPr>
            <w:tcW w:w="289" w:type="pct"/>
            <w:tcBorders>
              <w:left w:val="nil"/>
              <w:right w:val="nil"/>
            </w:tcBorders>
          </w:tcPr>
          <w:p w14:paraId="224C0A56"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(156.2)</w:t>
            </w:r>
          </w:p>
        </w:tc>
      </w:tr>
      <w:tr w:rsidR="00794AFD" w:rsidRPr="001C5950" w14:paraId="61D53B30" w14:textId="77777777" w:rsidTr="00794AFD">
        <w:trPr>
          <w:gridAfter w:val="1"/>
          <w:wAfter w:w="294" w:type="pct"/>
          <w:trHeight w:val="406"/>
        </w:trPr>
        <w:tc>
          <w:tcPr>
            <w:tcW w:w="881" w:type="pct"/>
            <w:tcBorders>
              <w:top w:val="single" w:sz="4" w:space="0" w:color="auto"/>
              <w:left w:val="nil"/>
              <w:bottom w:val="single" w:sz="4" w:space="0" w:color="auto"/>
              <w:right w:val="nil"/>
            </w:tcBorders>
          </w:tcPr>
          <w:p w14:paraId="4C3A1E0D"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Total contributions by and distributions to</w:t>
            </w:r>
            <w:r>
              <w:rPr>
                <w:rFonts w:asciiTheme="minorHAnsi" w:hAnsiTheme="minorHAnsi" w:cs="Times New Roman"/>
                <w:sz w:val="16"/>
                <w:szCs w:val="16"/>
              </w:rPr>
              <w:t xml:space="preserve"> </w:t>
            </w:r>
            <w:r w:rsidRPr="001C5950">
              <w:rPr>
                <w:rFonts w:asciiTheme="minorHAnsi" w:hAnsiTheme="minorHAnsi" w:cs="Times New Roman"/>
                <w:sz w:val="16"/>
                <w:szCs w:val="16"/>
              </w:rPr>
              <w:t>owners of the Company</w:t>
            </w:r>
          </w:p>
        </w:tc>
        <w:tc>
          <w:tcPr>
            <w:tcW w:w="366" w:type="pct"/>
            <w:gridSpan w:val="2"/>
            <w:tcBorders>
              <w:top w:val="single" w:sz="4" w:space="0" w:color="auto"/>
              <w:left w:val="nil"/>
              <w:bottom w:val="single" w:sz="4" w:space="0" w:color="auto"/>
              <w:right w:val="nil"/>
            </w:tcBorders>
          </w:tcPr>
          <w:p w14:paraId="6C9FB688" w14:textId="77777777" w:rsidR="00794AFD" w:rsidRPr="00070ED0" w:rsidRDefault="00794AFD" w:rsidP="00794AFD">
            <w:pPr>
              <w:jc w:val="right"/>
              <w:rPr>
                <w:rFonts w:asciiTheme="minorHAnsi" w:hAnsiTheme="minorHAnsi" w:cs="Times New Roman"/>
                <w:b/>
                <w:i/>
                <w:sz w:val="16"/>
                <w:szCs w:val="16"/>
              </w:rPr>
            </w:pPr>
          </w:p>
          <w:p w14:paraId="462A6921" w14:textId="77777777" w:rsidR="00794AFD" w:rsidRPr="00070ED0" w:rsidRDefault="00794AFD" w:rsidP="00794AFD">
            <w:pPr>
              <w:jc w:val="right"/>
              <w:rPr>
                <w:rFonts w:asciiTheme="minorHAnsi" w:hAnsiTheme="minorHAnsi" w:cs="Times New Roman"/>
                <w:b/>
                <w:i/>
                <w:sz w:val="16"/>
                <w:szCs w:val="16"/>
              </w:rPr>
            </w:pPr>
            <w:r w:rsidRPr="00070ED0">
              <w:rPr>
                <w:rFonts w:asciiTheme="minorHAnsi" w:hAnsiTheme="minorHAnsi" w:cs="Times New Roman"/>
                <w:b/>
                <w:i/>
                <w:sz w:val="16"/>
                <w:szCs w:val="16"/>
              </w:rPr>
              <w:t>(1.1)</w:t>
            </w:r>
          </w:p>
        </w:tc>
        <w:tc>
          <w:tcPr>
            <w:tcW w:w="278" w:type="pct"/>
            <w:tcBorders>
              <w:top w:val="single" w:sz="4" w:space="0" w:color="auto"/>
              <w:left w:val="nil"/>
              <w:bottom w:val="single" w:sz="4" w:space="0" w:color="auto"/>
              <w:right w:val="nil"/>
            </w:tcBorders>
          </w:tcPr>
          <w:p w14:paraId="640FFC37" w14:textId="77777777" w:rsidR="00794AFD" w:rsidRPr="00070ED0" w:rsidRDefault="00794AFD" w:rsidP="00794AFD">
            <w:pPr>
              <w:jc w:val="right"/>
              <w:rPr>
                <w:rFonts w:asciiTheme="minorHAnsi" w:hAnsiTheme="minorHAnsi" w:cs="Times New Roman"/>
                <w:b/>
                <w:sz w:val="16"/>
                <w:szCs w:val="16"/>
              </w:rPr>
            </w:pPr>
          </w:p>
          <w:p w14:paraId="544BB307"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3.5</w:t>
            </w:r>
          </w:p>
        </w:tc>
        <w:tc>
          <w:tcPr>
            <w:tcW w:w="308" w:type="pct"/>
            <w:tcBorders>
              <w:top w:val="single" w:sz="4" w:space="0" w:color="auto"/>
              <w:left w:val="nil"/>
              <w:bottom w:val="single" w:sz="4" w:space="0" w:color="auto"/>
              <w:right w:val="nil"/>
            </w:tcBorders>
          </w:tcPr>
          <w:p w14:paraId="772006B4" w14:textId="77777777" w:rsidR="00794AFD" w:rsidRPr="00C02727" w:rsidRDefault="00794AFD" w:rsidP="00794AFD">
            <w:pPr>
              <w:jc w:val="right"/>
              <w:rPr>
                <w:rFonts w:asciiTheme="minorHAnsi" w:hAnsiTheme="minorHAnsi" w:cs="Times New Roman"/>
                <w:b/>
                <w:sz w:val="16"/>
                <w:szCs w:val="16"/>
              </w:rPr>
            </w:pPr>
          </w:p>
          <w:p w14:paraId="22AE2E90"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308" w:type="pct"/>
            <w:tcBorders>
              <w:top w:val="single" w:sz="4" w:space="0" w:color="auto"/>
              <w:left w:val="nil"/>
              <w:bottom w:val="single" w:sz="4" w:space="0" w:color="auto"/>
              <w:right w:val="nil"/>
            </w:tcBorders>
          </w:tcPr>
          <w:p w14:paraId="0F3D17DE" w14:textId="77777777" w:rsidR="00794AFD" w:rsidRPr="00C02727" w:rsidRDefault="00794AFD" w:rsidP="00794AFD">
            <w:pPr>
              <w:jc w:val="right"/>
              <w:rPr>
                <w:rFonts w:asciiTheme="minorHAnsi" w:hAnsiTheme="minorHAnsi" w:cs="Times New Roman"/>
                <w:b/>
                <w:sz w:val="16"/>
                <w:szCs w:val="16"/>
              </w:rPr>
            </w:pPr>
          </w:p>
          <w:p w14:paraId="35C9530D" w14:textId="77777777" w:rsidR="00794AFD" w:rsidRPr="00C02727" w:rsidRDefault="00794AFD" w:rsidP="00794AFD">
            <w:pPr>
              <w:jc w:val="right"/>
              <w:rPr>
                <w:rFonts w:asciiTheme="minorHAnsi" w:hAnsiTheme="minorHAnsi" w:cs="Times New Roman"/>
                <w:b/>
                <w:sz w:val="16"/>
                <w:szCs w:val="16"/>
              </w:rPr>
            </w:pPr>
            <w:r w:rsidRPr="00C02727">
              <w:rPr>
                <w:rFonts w:asciiTheme="minorHAnsi" w:hAnsiTheme="minorHAnsi" w:cs="Times New Roman"/>
                <w:b/>
                <w:sz w:val="16"/>
                <w:szCs w:val="16"/>
              </w:rPr>
              <w:t>-</w:t>
            </w:r>
          </w:p>
        </w:tc>
        <w:tc>
          <w:tcPr>
            <w:tcW w:w="293" w:type="pct"/>
            <w:gridSpan w:val="2"/>
            <w:tcBorders>
              <w:top w:val="single" w:sz="4" w:space="0" w:color="auto"/>
              <w:left w:val="nil"/>
              <w:bottom w:val="single" w:sz="4" w:space="0" w:color="auto"/>
              <w:right w:val="nil"/>
            </w:tcBorders>
          </w:tcPr>
          <w:p w14:paraId="0783E46E" w14:textId="77777777" w:rsidR="00794AFD" w:rsidRPr="00070ED0" w:rsidRDefault="00794AFD" w:rsidP="00794AFD">
            <w:pPr>
              <w:jc w:val="right"/>
              <w:rPr>
                <w:rFonts w:asciiTheme="minorHAnsi" w:hAnsiTheme="minorHAnsi" w:cs="Times New Roman"/>
                <w:b/>
                <w:sz w:val="16"/>
                <w:szCs w:val="16"/>
              </w:rPr>
            </w:pPr>
          </w:p>
          <w:p w14:paraId="69DF071B"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0.1</w:t>
            </w:r>
          </w:p>
        </w:tc>
        <w:tc>
          <w:tcPr>
            <w:tcW w:w="320" w:type="pct"/>
            <w:tcBorders>
              <w:top w:val="single" w:sz="4" w:space="0" w:color="auto"/>
              <w:left w:val="nil"/>
              <w:bottom w:val="single" w:sz="4" w:space="0" w:color="auto"/>
              <w:right w:val="nil"/>
            </w:tcBorders>
          </w:tcPr>
          <w:p w14:paraId="2C208B06" w14:textId="77777777" w:rsidR="00794AFD" w:rsidRPr="00070ED0" w:rsidRDefault="00794AFD" w:rsidP="00794AFD">
            <w:pPr>
              <w:jc w:val="right"/>
              <w:rPr>
                <w:rFonts w:asciiTheme="minorHAnsi" w:hAnsiTheme="minorHAnsi" w:cs="Times New Roman"/>
                <w:b/>
                <w:sz w:val="16"/>
                <w:szCs w:val="16"/>
              </w:rPr>
            </w:pPr>
          </w:p>
          <w:p w14:paraId="77823473"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w:t>
            </w:r>
          </w:p>
        </w:tc>
        <w:tc>
          <w:tcPr>
            <w:tcW w:w="351" w:type="pct"/>
            <w:tcBorders>
              <w:top w:val="single" w:sz="4" w:space="0" w:color="auto"/>
              <w:left w:val="nil"/>
              <w:bottom w:val="single" w:sz="4" w:space="0" w:color="auto"/>
              <w:right w:val="nil"/>
            </w:tcBorders>
          </w:tcPr>
          <w:p w14:paraId="592326B9" w14:textId="77777777" w:rsidR="00794AFD" w:rsidRPr="00070ED0" w:rsidRDefault="00794AFD" w:rsidP="00794AFD">
            <w:pPr>
              <w:jc w:val="right"/>
              <w:rPr>
                <w:rFonts w:asciiTheme="minorHAnsi" w:hAnsiTheme="minorHAnsi" w:cs="Times New Roman"/>
                <w:b/>
                <w:sz w:val="16"/>
                <w:szCs w:val="16"/>
              </w:rPr>
            </w:pPr>
          </w:p>
          <w:p w14:paraId="3491664B"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2.</w:t>
            </w:r>
            <w:r>
              <w:rPr>
                <w:rFonts w:asciiTheme="minorHAnsi" w:hAnsiTheme="minorHAnsi" w:cs="Times New Roman"/>
                <w:b/>
                <w:sz w:val="16"/>
                <w:szCs w:val="16"/>
              </w:rPr>
              <w:t>5</w:t>
            </w:r>
          </w:p>
        </w:tc>
        <w:tc>
          <w:tcPr>
            <w:tcW w:w="325" w:type="pct"/>
            <w:tcBorders>
              <w:top w:val="single" w:sz="4" w:space="0" w:color="auto"/>
              <w:left w:val="nil"/>
              <w:bottom w:val="single" w:sz="4" w:space="0" w:color="auto"/>
              <w:right w:val="nil"/>
            </w:tcBorders>
          </w:tcPr>
          <w:p w14:paraId="490E11FA" w14:textId="77777777" w:rsidR="00794AFD" w:rsidRPr="00784F67" w:rsidRDefault="00794AFD" w:rsidP="00794AFD">
            <w:pPr>
              <w:jc w:val="right"/>
              <w:rPr>
                <w:rFonts w:asciiTheme="minorHAnsi" w:hAnsiTheme="minorHAnsi" w:cs="Times New Roman"/>
                <w:b/>
                <w:sz w:val="16"/>
                <w:szCs w:val="16"/>
              </w:rPr>
            </w:pPr>
          </w:p>
          <w:p w14:paraId="3BD48FA5"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(5.5)</w:t>
            </w:r>
          </w:p>
        </w:tc>
        <w:tc>
          <w:tcPr>
            <w:tcW w:w="385" w:type="pct"/>
            <w:tcBorders>
              <w:top w:val="single" w:sz="4" w:space="0" w:color="auto"/>
              <w:left w:val="nil"/>
              <w:bottom w:val="single" w:sz="4" w:space="0" w:color="auto"/>
              <w:right w:val="nil"/>
            </w:tcBorders>
          </w:tcPr>
          <w:p w14:paraId="64976F07" w14:textId="77777777" w:rsidR="00794AFD" w:rsidRPr="00784F67" w:rsidRDefault="00794AFD" w:rsidP="00794AFD">
            <w:pPr>
              <w:jc w:val="right"/>
              <w:rPr>
                <w:rFonts w:asciiTheme="minorHAnsi" w:hAnsiTheme="minorHAnsi" w:cs="Times New Roman"/>
                <w:b/>
                <w:sz w:val="16"/>
                <w:szCs w:val="16"/>
              </w:rPr>
            </w:pPr>
          </w:p>
          <w:p w14:paraId="208B4154"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(13</w:t>
            </w:r>
            <w:r>
              <w:rPr>
                <w:rFonts w:asciiTheme="minorHAnsi" w:hAnsiTheme="minorHAnsi" w:cs="Times New Roman"/>
                <w:b/>
                <w:sz w:val="16"/>
                <w:szCs w:val="16"/>
              </w:rPr>
              <w:t>4</w:t>
            </w:r>
            <w:r w:rsidRPr="00784F67">
              <w:rPr>
                <w:rFonts w:asciiTheme="minorHAnsi" w:hAnsiTheme="minorHAnsi" w:cs="Times New Roman"/>
                <w:b/>
                <w:sz w:val="16"/>
                <w:szCs w:val="16"/>
              </w:rPr>
              <w:t>.</w:t>
            </w:r>
            <w:r>
              <w:rPr>
                <w:rFonts w:asciiTheme="minorHAnsi" w:hAnsiTheme="minorHAnsi" w:cs="Times New Roman"/>
                <w:b/>
                <w:sz w:val="16"/>
                <w:szCs w:val="16"/>
              </w:rPr>
              <w:t>6</w:t>
            </w:r>
            <w:r w:rsidRPr="00784F67">
              <w:rPr>
                <w:rFonts w:asciiTheme="minorHAnsi" w:hAnsiTheme="minorHAnsi" w:cs="Times New Roman"/>
                <w:b/>
                <w:sz w:val="16"/>
                <w:szCs w:val="16"/>
              </w:rPr>
              <w:t>)</w:t>
            </w:r>
          </w:p>
        </w:tc>
        <w:tc>
          <w:tcPr>
            <w:tcW w:w="298" w:type="pct"/>
            <w:tcBorders>
              <w:top w:val="single" w:sz="4" w:space="0" w:color="auto"/>
              <w:left w:val="nil"/>
              <w:bottom w:val="single" w:sz="4" w:space="0" w:color="auto"/>
              <w:right w:val="nil"/>
            </w:tcBorders>
          </w:tcPr>
          <w:p w14:paraId="1955E891" w14:textId="77777777" w:rsidR="00794AFD" w:rsidRPr="00784F67" w:rsidRDefault="00794AFD" w:rsidP="00794AFD">
            <w:pPr>
              <w:jc w:val="right"/>
              <w:rPr>
                <w:rFonts w:asciiTheme="minorHAnsi" w:hAnsiTheme="minorHAnsi" w:cs="Times New Roman"/>
                <w:b/>
                <w:sz w:val="16"/>
                <w:szCs w:val="16"/>
              </w:rPr>
            </w:pPr>
          </w:p>
          <w:p w14:paraId="0FC7CD3C"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(13</w:t>
            </w:r>
            <w:r>
              <w:rPr>
                <w:rFonts w:asciiTheme="minorHAnsi" w:hAnsiTheme="minorHAnsi" w:cs="Times New Roman"/>
                <w:b/>
                <w:sz w:val="16"/>
                <w:szCs w:val="16"/>
              </w:rPr>
              <w:t>4</w:t>
            </w:r>
            <w:r w:rsidRPr="00784F67">
              <w:rPr>
                <w:rFonts w:asciiTheme="minorHAnsi" w:hAnsiTheme="minorHAnsi" w:cs="Times New Roman"/>
                <w:b/>
                <w:sz w:val="16"/>
                <w:szCs w:val="16"/>
              </w:rPr>
              <w:t>.</w:t>
            </w:r>
            <w:r>
              <w:rPr>
                <w:rFonts w:asciiTheme="minorHAnsi" w:hAnsiTheme="minorHAnsi" w:cs="Times New Roman"/>
                <w:b/>
                <w:sz w:val="16"/>
                <w:szCs w:val="16"/>
              </w:rPr>
              <w:t>0</w:t>
            </w:r>
            <w:r w:rsidRPr="00784F67">
              <w:rPr>
                <w:rFonts w:asciiTheme="minorHAnsi" w:hAnsiTheme="minorHAnsi" w:cs="Times New Roman"/>
                <w:b/>
                <w:sz w:val="16"/>
                <w:szCs w:val="16"/>
              </w:rPr>
              <w:t>)</w:t>
            </w:r>
          </w:p>
        </w:tc>
        <w:tc>
          <w:tcPr>
            <w:tcW w:w="304" w:type="pct"/>
            <w:tcBorders>
              <w:top w:val="single" w:sz="4" w:space="0" w:color="auto"/>
              <w:left w:val="nil"/>
              <w:bottom w:val="single" w:sz="4" w:space="0" w:color="auto"/>
              <w:right w:val="nil"/>
            </w:tcBorders>
          </w:tcPr>
          <w:p w14:paraId="7F192001" w14:textId="77777777" w:rsidR="00794AFD" w:rsidRPr="00784F67" w:rsidRDefault="00794AFD" w:rsidP="00794AFD">
            <w:pPr>
              <w:jc w:val="right"/>
              <w:rPr>
                <w:rFonts w:asciiTheme="minorHAnsi" w:hAnsiTheme="minorHAnsi" w:cs="Times New Roman"/>
                <w:b/>
                <w:sz w:val="16"/>
                <w:szCs w:val="16"/>
              </w:rPr>
            </w:pPr>
          </w:p>
          <w:p w14:paraId="01EDC2D3"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31.2</w:t>
            </w:r>
          </w:p>
        </w:tc>
        <w:tc>
          <w:tcPr>
            <w:tcW w:w="289" w:type="pct"/>
            <w:tcBorders>
              <w:top w:val="single" w:sz="4" w:space="0" w:color="auto"/>
              <w:left w:val="nil"/>
              <w:bottom w:val="single" w:sz="4" w:space="0" w:color="auto"/>
              <w:right w:val="nil"/>
            </w:tcBorders>
          </w:tcPr>
          <w:p w14:paraId="1957C0E4" w14:textId="77777777" w:rsidR="00794AFD" w:rsidRPr="00784F67" w:rsidRDefault="00794AFD" w:rsidP="00794AFD">
            <w:pPr>
              <w:jc w:val="right"/>
              <w:rPr>
                <w:rFonts w:asciiTheme="minorHAnsi" w:hAnsiTheme="minorHAnsi" w:cs="Times New Roman"/>
                <w:b/>
                <w:sz w:val="16"/>
                <w:szCs w:val="16"/>
              </w:rPr>
            </w:pPr>
          </w:p>
          <w:p w14:paraId="568FB30F"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(10</w:t>
            </w:r>
            <w:r>
              <w:rPr>
                <w:rFonts w:asciiTheme="minorHAnsi" w:hAnsiTheme="minorHAnsi" w:cs="Times New Roman"/>
                <w:b/>
                <w:sz w:val="16"/>
                <w:szCs w:val="16"/>
              </w:rPr>
              <w:t>2</w:t>
            </w:r>
            <w:r w:rsidRPr="00784F67">
              <w:rPr>
                <w:rFonts w:asciiTheme="minorHAnsi" w:hAnsiTheme="minorHAnsi" w:cs="Times New Roman"/>
                <w:b/>
                <w:sz w:val="16"/>
                <w:szCs w:val="16"/>
              </w:rPr>
              <w:t>.</w:t>
            </w:r>
            <w:r>
              <w:rPr>
                <w:rFonts w:asciiTheme="minorHAnsi" w:hAnsiTheme="minorHAnsi" w:cs="Times New Roman"/>
                <w:b/>
                <w:sz w:val="16"/>
                <w:szCs w:val="16"/>
              </w:rPr>
              <w:t>8</w:t>
            </w:r>
            <w:r w:rsidRPr="00784F67">
              <w:rPr>
                <w:rFonts w:asciiTheme="minorHAnsi" w:hAnsiTheme="minorHAnsi" w:cs="Times New Roman"/>
                <w:b/>
                <w:sz w:val="16"/>
                <w:szCs w:val="16"/>
              </w:rPr>
              <w:t>)</w:t>
            </w:r>
          </w:p>
        </w:tc>
      </w:tr>
      <w:tr w:rsidR="00794AFD" w:rsidRPr="001C5950" w14:paraId="5A7C667E" w14:textId="77777777" w:rsidTr="00794AFD">
        <w:trPr>
          <w:gridAfter w:val="1"/>
          <w:wAfter w:w="294" w:type="pct"/>
          <w:trHeight w:val="305"/>
        </w:trPr>
        <w:tc>
          <w:tcPr>
            <w:tcW w:w="881" w:type="pct"/>
            <w:tcBorders>
              <w:top w:val="single" w:sz="4" w:space="0" w:color="auto"/>
              <w:left w:val="nil"/>
              <w:bottom w:val="single" w:sz="4" w:space="0" w:color="auto"/>
              <w:right w:val="nil"/>
            </w:tcBorders>
          </w:tcPr>
          <w:p w14:paraId="4C4C7A20" w14:textId="77777777" w:rsidR="00794AFD" w:rsidRPr="00FC3D06" w:rsidRDefault="00794AFD" w:rsidP="00794AFD">
            <w:pPr>
              <w:spacing w:after="20"/>
              <w:ind w:left="-108"/>
              <w:rPr>
                <w:rFonts w:asciiTheme="minorHAnsi" w:hAnsiTheme="minorHAnsi" w:cs="Times New Roman"/>
                <w:sz w:val="16"/>
                <w:szCs w:val="16"/>
              </w:rPr>
            </w:pPr>
          </w:p>
          <w:p w14:paraId="2CF607BA" w14:textId="77777777" w:rsidR="00794AFD" w:rsidRPr="00FC3D06" w:rsidRDefault="00794AFD" w:rsidP="00794AFD">
            <w:pPr>
              <w:spacing w:after="20"/>
              <w:ind w:left="-108"/>
              <w:rPr>
                <w:rFonts w:asciiTheme="minorHAnsi" w:hAnsiTheme="minorHAnsi" w:cs="Times New Roman"/>
                <w:b/>
                <w:sz w:val="16"/>
                <w:szCs w:val="16"/>
              </w:rPr>
            </w:pPr>
            <w:r w:rsidRPr="001C5950">
              <w:rPr>
                <w:rFonts w:asciiTheme="minorHAnsi" w:hAnsiTheme="minorHAnsi" w:cs="Times New Roman"/>
                <w:b/>
                <w:sz w:val="16"/>
                <w:szCs w:val="16"/>
              </w:rPr>
              <w:t xml:space="preserve">Balance at 31 December </w:t>
            </w:r>
            <w:r>
              <w:rPr>
                <w:rFonts w:asciiTheme="minorHAnsi" w:hAnsiTheme="minorHAnsi" w:cs="Times New Roman"/>
                <w:b/>
                <w:sz w:val="16"/>
                <w:szCs w:val="16"/>
              </w:rPr>
              <w:t>2019</w:t>
            </w:r>
          </w:p>
        </w:tc>
        <w:tc>
          <w:tcPr>
            <w:tcW w:w="366" w:type="pct"/>
            <w:gridSpan w:val="2"/>
            <w:tcBorders>
              <w:top w:val="single" w:sz="4" w:space="0" w:color="auto"/>
              <w:left w:val="nil"/>
              <w:bottom w:val="single" w:sz="4" w:space="0" w:color="auto"/>
              <w:right w:val="nil"/>
            </w:tcBorders>
          </w:tcPr>
          <w:p w14:paraId="759325D6" w14:textId="77777777" w:rsidR="00794AFD" w:rsidRPr="00070ED0" w:rsidRDefault="00794AFD" w:rsidP="00794AFD">
            <w:pPr>
              <w:jc w:val="right"/>
              <w:rPr>
                <w:rFonts w:asciiTheme="minorHAnsi" w:hAnsiTheme="minorHAnsi" w:cs="Times New Roman"/>
                <w:b/>
                <w:sz w:val="16"/>
                <w:szCs w:val="16"/>
              </w:rPr>
            </w:pPr>
          </w:p>
          <w:p w14:paraId="291F7695" w14:textId="77777777" w:rsidR="00794AFD" w:rsidRPr="00070ED0" w:rsidRDefault="00794AFD" w:rsidP="00794AFD">
            <w:pPr>
              <w:jc w:val="right"/>
              <w:rPr>
                <w:rFonts w:asciiTheme="minorHAnsi" w:hAnsiTheme="minorHAnsi" w:cs="Times New Roman"/>
                <w:b/>
                <w:i/>
                <w:sz w:val="16"/>
                <w:szCs w:val="16"/>
              </w:rPr>
            </w:pPr>
            <w:r w:rsidRPr="00070ED0">
              <w:rPr>
                <w:rFonts w:asciiTheme="minorHAnsi" w:hAnsiTheme="minorHAnsi" w:cs="Times New Roman"/>
                <w:b/>
                <w:i/>
                <w:sz w:val="16"/>
                <w:szCs w:val="16"/>
              </w:rPr>
              <w:t>80.3</w:t>
            </w:r>
          </w:p>
        </w:tc>
        <w:tc>
          <w:tcPr>
            <w:tcW w:w="278" w:type="pct"/>
            <w:tcBorders>
              <w:top w:val="single" w:sz="4" w:space="0" w:color="auto"/>
              <w:left w:val="nil"/>
              <w:bottom w:val="single" w:sz="4" w:space="0" w:color="auto"/>
              <w:right w:val="nil"/>
            </w:tcBorders>
          </w:tcPr>
          <w:p w14:paraId="37150513" w14:textId="77777777" w:rsidR="00794AFD" w:rsidRPr="00070ED0" w:rsidRDefault="00794AFD" w:rsidP="00794AFD">
            <w:pPr>
              <w:jc w:val="right"/>
              <w:rPr>
                <w:rFonts w:asciiTheme="minorHAnsi" w:hAnsiTheme="minorHAnsi" w:cs="Times New Roman"/>
                <w:b/>
                <w:sz w:val="16"/>
                <w:szCs w:val="16"/>
              </w:rPr>
            </w:pPr>
          </w:p>
          <w:p w14:paraId="3C7086AA"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428.3</w:t>
            </w:r>
          </w:p>
        </w:tc>
        <w:tc>
          <w:tcPr>
            <w:tcW w:w="308" w:type="pct"/>
            <w:tcBorders>
              <w:top w:val="single" w:sz="4" w:space="0" w:color="auto"/>
              <w:left w:val="nil"/>
              <w:bottom w:val="single" w:sz="4" w:space="0" w:color="auto"/>
              <w:right w:val="nil"/>
            </w:tcBorders>
          </w:tcPr>
          <w:p w14:paraId="43EAFCA7" w14:textId="77777777" w:rsidR="00794AFD" w:rsidRPr="00784F67" w:rsidRDefault="00794AFD" w:rsidP="00794AFD">
            <w:pPr>
              <w:jc w:val="right"/>
              <w:rPr>
                <w:rFonts w:asciiTheme="minorHAnsi" w:hAnsiTheme="minorHAnsi" w:cs="Times New Roman"/>
                <w:b/>
                <w:sz w:val="16"/>
                <w:szCs w:val="16"/>
              </w:rPr>
            </w:pPr>
          </w:p>
          <w:p w14:paraId="28EB64CB"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(21.5)</w:t>
            </w:r>
          </w:p>
        </w:tc>
        <w:tc>
          <w:tcPr>
            <w:tcW w:w="308" w:type="pct"/>
            <w:tcBorders>
              <w:top w:val="single" w:sz="4" w:space="0" w:color="auto"/>
              <w:left w:val="nil"/>
              <w:bottom w:val="single" w:sz="4" w:space="0" w:color="auto"/>
              <w:right w:val="nil"/>
            </w:tcBorders>
          </w:tcPr>
          <w:p w14:paraId="69867637" w14:textId="77777777" w:rsidR="00794AFD" w:rsidRPr="00784F67" w:rsidRDefault="00794AFD" w:rsidP="00794AFD">
            <w:pPr>
              <w:jc w:val="right"/>
              <w:rPr>
                <w:rFonts w:asciiTheme="minorHAnsi" w:hAnsiTheme="minorHAnsi" w:cs="Times New Roman"/>
                <w:b/>
                <w:sz w:val="16"/>
                <w:szCs w:val="16"/>
              </w:rPr>
            </w:pPr>
          </w:p>
          <w:p w14:paraId="66721E34"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2.3</w:t>
            </w:r>
          </w:p>
        </w:tc>
        <w:tc>
          <w:tcPr>
            <w:tcW w:w="293" w:type="pct"/>
            <w:gridSpan w:val="2"/>
            <w:tcBorders>
              <w:top w:val="single" w:sz="4" w:space="0" w:color="auto"/>
              <w:left w:val="nil"/>
              <w:bottom w:val="single" w:sz="4" w:space="0" w:color="auto"/>
              <w:right w:val="nil"/>
            </w:tcBorders>
          </w:tcPr>
          <w:p w14:paraId="42FDA541" w14:textId="77777777" w:rsidR="00794AFD" w:rsidRPr="00070ED0" w:rsidRDefault="00794AFD" w:rsidP="00794AFD">
            <w:pPr>
              <w:jc w:val="right"/>
              <w:rPr>
                <w:rFonts w:asciiTheme="minorHAnsi" w:hAnsiTheme="minorHAnsi" w:cs="Times New Roman"/>
                <w:b/>
                <w:sz w:val="16"/>
                <w:szCs w:val="16"/>
              </w:rPr>
            </w:pPr>
          </w:p>
          <w:p w14:paraId="17B98BD4"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2.3</w:t>
            </w:r>
          </w:p>
        </w:tc>
        <w:tc>
          <w:tcPr>
            <w:tcW w:w="320" w:type="pct"/>
            <w:tcBorders>
              <w:top w:val="single" w:sz="4" w:space="0" w:color="auto"/>
              <w:left w:val="nil"/>
              <w:bottom w:val="single" w:sz="4" w:space="0" w:color="auto"/>
              <w:right w:val="nil"/>
            </w:tcBorders>
          </w:tcPr>
          <w:p w14:paraId="4435F5FE" w14:textId="77777777" w:rsidR="00794AFD" w:rsidRPr="00070ED0" w:rsidRDefault="00794AFD" w:rsidP="00794AFD">
            <w:pPr>
              <w:jc w:val="right"/>
              <w:rPr>
                <w:rFonts w:asciiTheme="minorHAnsi" w:hAnsiTheme="minorHAnsi" w:cs="Times New Roman"/>
                <w:b/>
                <w:sz w:val="16"/>
                <w:szCs w:val="16"/>
              </w:rPr>
            </w:pPr>
          </w:p>
          <w:p w14:paraId="652AF108"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(40.7)</w:t>
            </w:r>
          </w:p>
        </w:tc>
        <w:tc>
          <w:tcPr>
            <w:tcW w:w="351" w:type="pct"/>
            <w:tcBorders>
              <w:top w:val="single" w:sz="4" w:space="0" w:color="auto"/>
              <w:left w:val="nil"/>
              <w:bottom w:val="single" w:sz="4" w:space="0" w:color="auto"/>
              <w:right w:val="nil"/>
            </w:tcBorders>
          </w:tcPr>
          <w:p w14:paraId="3B6D9EFE" w14:textId="77777777" w:rsidR="00794AFD" w:rsidRPr="00070ED0" w:rsidRDefault="00794AFD" w:rsidP="00794AFD">
            <w:pPr>
              <w:jc w:val="right"/>
              <w:rPr>
                <w:rFonts w:asciiTheme="minorHAnsi" w:hAnsiTheme="minorHAnsi" w:cs="Times New Roman"/>
                <w:b/>
                <w:sz w:val="16"/>
                <w:szCs w:val="16"/>
              </w:rPr>
            </w:pPr>
          </w:p>
          <w:p w14:paraId="77793D01" w14:textId="77777777" w:rsidR="00794AFD" w:rsidRPr="00070ED0" w:rsidRDefault="00794AFD" w:rsidP="00794AFD">
            <w:pPr>
              <w:jc w:val="right"/>
              <w:rPr>
                <w:rFonts w:asciiTheme="minorHAnsi" w:hAnsiTheme="minorHAnsi" w:cs="Times New Roman"/>
                <w:b/>
                <w:sz w:val="16"/>
                <w:szCs w:val="16"/>
              </w:rPr>
            </w:pPr>
            <w:r w:rsidRPr="00070ED0">
              <w:rPr>
                <w:rFonts w:asciiTheme="minorHAnsi" w:hAnsiTheme="minorHAnsi" w:cs="Times New Roman"/>
                <w:b/>
                <w:sz w:val="16"/>
                <w:szCs w:val="16"/>
              </w:rPr>
              <w:t>(6.</w:t>
            </w:r>
            <w:r>
              <w:rPr>
                <w:rFonts w:asciiTheme="minorHAnsi" w:hAnsiTheme="minorHAnsi" w:cs="Times New Roman"/>
                <w:b/>
                <w:sz w:val="16"/>
                <w:szCs w:val="16"/>
              </w:rPr>
              <w:t>1</w:t>
            </w:r>
            <w:r w:rsidRPr="00070ED0">
              <w:rPr>
                <w:rFonts w:asciiTheme="minorHAnsi" w:hAnsiTheme="minorHAnsi" w:cs="Times New Roman"/>
                <w:b/>
                <w:sz w:val="16"/>
                <w:szCs w:val="16"/>
              </w:rPr>
              <w:t>)</w:t>
            </w:r>
          </w:p>
        </w:tc>
        <w:tc>
          <w:tcPr>
            <w:tcW w:w="325" w:type="pct"/>
            <w:tcBorders>
              <w:top w:val="single" w:sz="4" w:space="0" w:color="auto"/>
              <w:left w:val="nil"/>
              <w:bottom w:val="single" w:sz="4" w:space="0" w:color="auto"/>
              <w:right w:val="nil"/>
            </w:tcBorders>
          </w:tcPr>
          <w:p w14:paraId="01263B30" w14:textId="77777777" w:rsidR="00794AFD" w:rsidRPr="00784F67" w:rsidRDefault="00794AFD" w:rsidP="00794AFD">
            <w:pPr>
              <w:jc w:val="right"/>
              <w:rPr>
                <w:rFonts w:asciiTheme="minorHAnsi" w:hAnsiTheme="minorHAnsi" w:cs="Times New Roman"/>
                <w:b/>
                <w:sz w:val="16"/>
                <w:szCs w:val="16"/>
              </w:rPr>
            </w:pPr>
          </w:p>
          <w:p w14:paraId="32B9629A"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80.6</w:t>
            </w:r>
          </w:p>
        </w:tc>
        <w:tc>
          <w:tcPr>
            <w:tcW w:w="385" w:type="pct"/>
            <w:tcBorders>
              <w:top w:val="single" w:sz="4" w:space="0" w:color="auto"/>
              <w:left w:val="nil"/>
              <w:bottom w:val="single" w:sz="4" w:space="0" w:color="auto"/>
              <w:right w:val="nil"/>
            </w:tcBorders>
          </w:tcPr>
          <w:p w14:paraId="0D087056" w14:textId="77777777" w:rsidR="00794AFD" w:rsidRPr="00784F67" w:rsidRDefault="00794AFD" w:rsidP="00794AFD">
            <w:pPr>
              <w:jc w:val="right"/>
              <w:rPr>
                <w:rFonts w:asciiTheme="minorHAnsi" w:hAnsiTheme="minorHAnsi" w:cs="Times New Roman"/>
                <w:b/>
                <w:sz w:val="16"/>
                <w:szCs w:val="16"/>
              </w:rPr>
            </w:pPr>
          </w:p>
          <w:p w14:paraId="17CA4FAD"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3,53</w:t>
            </w:r>
            <w:r>
              <w:rPr>
                <w:rFonts w:asciiTheme="minorHAnsi" w:hAnsiTheme="minorHAnsi" w:cs="Times New Roman"/>
                <w:b/>
                <w:sz w:val="16"/>
                <w:szCs w:val="16"/>
              </w:rPr>
              <w:t>9</w:t>
            </w:r>
            <w:r w:rsidRPr="00784F67">
              <w:rPr>
                <w:rFonts w:asciiTheme="minorHAnsi" w:hAnsiTheme="minorHAnsi" w:cs="Times New Roman"/>
                <w:b/>
                <w:sz w:val="16"/>
                <w:szCs w:val="16"/>
              </w:rPr>
              <w:t>.</w:t>
            </w:r>
            <w:r>
              <w:rPr>
                <w:rFonts w:asciiTheme="minorHAnsi" w:hAnsiTheme="minorHAnsi" w:cs="Times New Roman"/>
                <w:b/>
                <w:sz w:val="16"/>
                <w:szCs w:val="16"/>
              </w:rPr>
              <w:t>5</w:t>
            </w:r>
          </w:p>
        </w:tc>
        <w:tc>
          <w:tcPr>
            <w:tcW w:w="298" w:type="pct"/>
            <w:tcBorders>
              <w:top w:val="single" w:sz="4" w:space="0" w:color="auto"/>
              <w:left w:val="nil"/>
              <w:bottom w:val="single" w:sz="4" w:space="0" w:color="auto"/>
              <w:right w:val="nil"/>
            </w:tcBorders>
          </w:tcPr>
          <w:p w14:paraId="475F5310" w14:textId="77777777" w:rsidR="00794AFD" w:rsidRPr="00784F67" w:rsidRDefault="00794AFD" w:rsidP="00794AFD">
            <w:pPr>
              <w:jc w:val="right"/>
              <w:rPr>
                <w:rFonts w:asciiTheme="minorHAnsi" w:hAnsiTheme="minorHAnsi" w:cs="Times New Roman"/>
                <w:b/>
                <w:sz w:val="16"/>
                <w:szCs w:val="16"/>
              </w:rPr>
            </w:pPr>
          </w:p>
          <w:p w14:paraId="2F025947"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3,98</w:t>
            </w:r>
            <w:r>
              <w:rPr>
                <w:rFonts w:asciiTheme="minorHAnsi" w:hAnsiTheme="minorHAnsi" w:cs="Times New Roman"/>
                <w:b/>
                <w:sz w:val="16"/>
                <w:szCs w:val="16"/>
              </w:rPr>
              <w:t>4</w:t>
            </w:r>
            <w:r w:rsidRPr="00784F67">
              <w:rPr>
                <w:rFonts w:asciiTheme="minorHAnsi" w:hAnsiTheme="minorHAnsi" w:cs="Times New Roman"/>
                <w:b/>
                <w:sz w:val="16"/>
                <w:szCs w:val="16"/>
              </w:rPr>
              <w:t>.</w:t>
            </w:r>
            <w:r>
              <w:rPr>
                <w:rFonts w:asciiTheme="minorHAnsi" w:hAnsiTheme="minorHAnsi" w:cs="Times New Roman"/>
                <w:b/>
                <w:sz w:val="16"/>
                <w:szCs w:val="16"/>
              </w:rPr>
              <w:t>7</w:t>
            </w:r>
          </w:p>
        </w:tc>
        <w:tc>
          <w:tcPr>
            <w:tcW w:w="304" w:type="pct"/>
            <w:tcBorders>
              <w:top w:val="single" w:sz="4" w:space="0" w:color="auto"/>
              <w:left w:val="nil"/>
              <w:bottom w:val="single" w:sz="4" w:space="0" w:color="auto"/>
              <w:right w:val="nil"/>
            </w:tcBorders>
          </w:tcPr>
          <w:p w14:paraId="0827CD77" w14:textId="77777777" w:rsidR="00794AFD" w:rsidRPr="00784F67" w:rsidRDefault="00794AFD" w:rsidP="00794AFD">
            <w:pPr>
              <w:jc w:val="right"/>
              <w:rPr>
                <w:rFonts w:asciiTheme="minorHAnsi" w:hAnsiTheme="minorHAnsi" w:cs="Times New Roman"/>
                <w:b/>
                <w:sz w:val="16"/>
                <w:szCs w:val="16"/>
              </w:rPr>
            </w:pPr>
          </w:p>
          <w:p w14:paraId="7A020B72"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204.</w:t>
            </w:r>
            <w:r>
              <w:rPr>
                <w:rFonts w:asciiTheme="minorHAnsi" w:hAnsiTheme="minorHAnsi" w:cs="Times New Roman"/>
                <w:b/>
                <w:sz w:val="16"/>
                <w:szCs w:val="16"/>
              </w:rPr>
              <w:t>9</w:t>
            </w:r>
          </w:p>
        </w:tc>
        <w:tc>
          <w:tcPr>
            <w:tcW w:w="289" w:type="pct"/>
            <w:tcBorders>
              <w:top w:val="single" w:sz="4" w:space="0" w:color="auto"/>
              <w:left w:val="nil"/>
              <w:bottom w:val="single" w:sz="4" w:space="0" w:color="auto"/>
              <w:right w:val="nil"/>
            </w:tcBorders>
          </w:tcPr>
          <w:p w14:paraId="3B7DFD9D" w14:textId="77777777" w:rsidR="00794AFD" w:rsidRPr="00784F67" w:rsidRDefault="00794AFD" w:rsidP="00794AFD">
            <w:pPr>
              <w:jc w:val="right"/>
              <w:rPr>
                <w:rFonts w:asciiTheme="minorHAnsi" w:hAnsiTheme="minorHAnsi" w:cs="Times New Roman"/>
                <w:b/>
                <w:sz w:val="16"/>
                <w:szCs w:val="16"/>
              </w:rPr>
            </w:pPr>
          </w:p>
          <w:p w14:paraId="6B774AC5" w14:textId="77777777" w:rsidR="00794AFD" w:rsidRPr="00784F67" w:rsidRDefault="00794AFD" w:rsidP="00794AFD">
            <w:pPr>
              <w:jc w:val="right"/>
              <w:rPr>
                <w:rFonts w:asciiTheme="minorHAnsi" w:hAnsiTheme="minorHAnsi" w:cs="Times New Roman"/>
                <w:b/>
                <w:sz w:val="16"/>
                <w:szCs w:val="16"/>
              </w:rPr>
            </w:pPr>
            <w:r w:rsidRPr="00784F67">
              <w:rPr>
                <w:rFonts w:asciiTheme="minorHAnsi" w:hAnsiTheme="minorHAnsi" w:cs="Times New Roman"/>
                <w:b/>
                <w:sz w:val="16"/>
                <w:szCs w:val="16"/>
              </w:rPr>
              <w:t>4,18</w:t>
            </w:r>
            <w:r>
              <w:rPr>
                <w:rFonts w:asciiTheme="minorHAnsi" w:hAnsiTheme="minorHAnsi" w:cs="Times New Roman"/>
                <w:b/>
                <w:sz w:val="16"/>
                <w:szCs w:val="16"/>
              </w:rPr>
              <w:t>9</w:t>
            </w:r>
            <w:r w:rsidRPr="00784F67">
              <w:rPr>
                <w:rFonts w:asciiTheme="minorHAnsi" w:hAnsiTheme="minorHAnsi" w:cs="Times New Roman"/>
                <w:b/>
                <w:sz w:val="16"/>
                <w:szCs w:val="16"/>
              </w:rPr>
              <w:t>.</w:t>
            </w:r>
            <w:r>
              <w:rPr>
                <w:rFonts w:asciiTheme="minorHAnsi" w:hAnsiTheme="minorHAnsi" w:cs="Times New Roman"/>
                <w:b/>
                <w:sz w:val="16"/>
                <w:szCs w:val="16"/>
              </w:rPr>
              <w:t>6</w:t>
            </w:r>
          </w:p>
        </w:tc>
      </w:tr>
      <w:bookmarkEnd w:id="23"/>
    </w:tbl>
    <w:p w14:paraId="7174E495" w14:textId="77777777" w:rsidR="00794AFD" w:rsidRPr="00FC3D06" w:rsidRDefault="00794AFD" w:rsidP="00794AFD">
      <w:pPr>
        <w:rPr>
          <w:rFonts w:asciiTheme="minorHAnsi" w:hAnsiTheme="minorHAnsi" w:cs="Times New Roman"/>
          <w:b/>
          <w:sz w:val="18"/>
          <w:szCs w:val="18"/>
        </w:rPr>
      </w:pPr>
    </w:p>
    <w:p w14:paraId="2C722F27" w14:textId="77777777" w:rsidR="00794AFD" w:rsidRPr="00FC3D06" w:rsidRDefault="00794AFD" w:rsidP="00794AFD">
      <w:pPr>
        <w:rPr>
          <w:rFonts w:asciiTheme="minorHAnsi" w:hAnsiTheme="minorHAnsi" w:cs="Times New Roman"/>
          <w:b/>
          <w:sz w:val="18"/>
          <w:szCs w:val="18"/>
        </w:rPr>
      </w:pPr>
    </w:p>
    <w:p w14:paraId="3387AAEF" w14:textId="77777777" w:rsidR="00794AFD" w:rsidRPr="00FC3D06" w:rsidRDefault="00794AFD" w:rsidP="00794AFD">
      <w:pPr>
        <w:rPr>
          <w:rFonts w:asciiTheme="minorHAnsi" w:hAnsiTheme="minorHAnsi" w:cs="Times New Roman"/>
          <w:b/>
          <w:sz w:val="18"/>
          <w:szCs w:val="18"/>
        </w:rPr>
      </w:pPr>
    </w:p>
    <w:p w14:paraId="76B55C67" w14:textId="77777777" w:rsidR="00794AFD" w:rsidRPr="00FC3D06" w:rsidRDefault="00794AFD" w:rsidP="00794AFD">
      <w:pPr>
        <w:rPr>
          <w:rFonts w:asciiTheme="minorHAnsi" w:hAnsiTheme="minorHAnsi" w:cs="Times New Roman"/>
          <w:sz w:val="20"/>
          <w:szCs w:val="20"/>
        </w:rPr>
      </w:pPr>
      <w:r w:rsidRPr="00FC3D06">
        <w:rPr>
          <w:rFonts w:asciiTheme="minorHAnsi" w:hAnsiTheme="minorHAnsi" w:cs="Times New Roman"/>
          <w:b/>
          <w:sz w:val="18"/>
          <w:szCs w:val="18"/>
        </w:rPr>
        <w:br w:type="page"/>
      </w:r>
      <w:r>
        <w:rPr>
          <w:rFonts w:asciiTheme="minorHAnsi" w:hAnsiTheme="minorHAnsi" w:cs="Times New Roman"/>
          <w:b/>
          <w:sz w:val="18"/>
          <w:szCs w:val="18"/>
        </w:rPr>
        <w:lastRenderedPageBreak/>
        <w:t xml:space="preserve">CONDENSED </w:t>
      </w:r>
      <w:r w:rsidRPr="001C5950">
        <w:rPr>
          <w:rFonts w:asciiTheme="minorHAnsi" w:hAnsiTheme="minorHAnsi" w:cs="Times New Roman"/>
          <w:b/>
          <w:sz w:val="20"/>
          <w:szCs w:val="20"/>
        </w:rPr>
        <w:t>CONSOLIDATED STATEMENT OF CHANGES IN EQUITY</w:t>
      </w:r>
    </w:p>
    <w:p w14:paraId="26A6C37F"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cs="Times New Roman"/>
          <w:sz w:val="20"/>
          <w:szCs w:val="20"/>
        </w:rPr>
        <w:t xml:space="preserve">Year ended 31 December </w:t>
      </w:r>
      <w:r>
        <w:rPr>
          <w:rFonts w:asciiTheme="minorHAnsi" w:hAnsiTheme="minorHAnsi" w:cs="Times New Roman"/>
          <w:sz w:val="20"/>
          <w:szCs w:val="20"/>
        </w:rPr>
        <w:t>2018</w:t>
      </w:r>
    </w:p>
    <w:p w14:paraId="66A69E26" w14:textId="77777777" w:rsidR="00794AFD" w:rsidRDefault="00794AFD" w:rsidP="00794AFD">
      <w:pPr>
        <w:rPr>
          <w:rFonts w:asciiTheme="minorHAnsi" w:hAnsiTheme="minorHAnsi" w:cs="Times New Roman"/>
          <w:sz w:val="20"/>
          <w:szCs w:val="18"/>
        </w:rPr>
      </w:pPr>
    </w:p>
    <w:tbl>
      <w:tblPr>
        <w:tblW w:w="4998" w:type="pct"/>
        <w:tblLayout w:type="fixed"/>
        <w:tblLook w:val="0000" w:firstRow="0" w:lastRow="0" w:firstColumn="0" w:lastColumn="0" w:noHBand="0" w:noVBand="0"/>
      </w:tblPr>
      <w:tblGrid>
        <w:gridCol w:w="2935"/>
        <w:gridCol w:w="1208"/>
        <w:gridCol w:w="925"/>
        <w:gridCol w:w="1028"/>
        <w:gridCol w:w="875"/>
        <w:gridCol w:w="31"/>
        <w:gridCol w:w="1065"/>
        <w:gridCol w:w="1171"/>
        <w:gridCol w:w="1084"/>
        <w:gridCol w:w="1283"/>
        <w:gridCol w:w="993"/>
        <w:gridCol w:w="22"/>
        <w:gridCol w:w="972"/>
        <w:gridCol w:w="984"/>
        <w:gridCol w:w="993"/>
      </w:tblGrid>
      <w:tr w:rsidR="00794AFD" w:rsidRPr="001C5950" w14:paraId="2947FFE5" w14:textId="77777777" w:rsidTr="00794AFD">
        <w:trPr>
          <w:gridAfter w:val="3"/>
          <w:wAfter w:w="947" w:type="pct"/>
          <w:trHeight w:val="223"/>
        </w:trPr>
        <w:tc>
          <w:tcPr>
            <w:tcW w:w="943" w:type="pct"/>
            <w:tcBorders>
              <w:left w:val="nil"/>
            </w:tcBorders>
          </w:tcPr>
          <w:p w14:paraId="210E0ECB" w14:textId="77777777" w:rsidR="00794AFD" w:rsidRPr="00FC3D06" w:rsidRDefault="00794AFD" w:rsidP="00794AFD">
            <w:pPr>
              <w:ind w:left="-108"/>
              <w:rPr>
                <w:rFonts w:asciiTheme="minorHAnsi" w:hAnsiTheme="minorHAnsi" w:cs="Times New Roman"/>
                <w:sz w:val="16"/>
                <w:szCs w:val="16"/>
              </w:rPr>
            </w:pPr>
          </w:p>
        </w:tc>
        <w:tc>
          <w:tcPr>
            <w:tcW w:w="3110" w:type="pct"/>
            <w:gridSpan w:val="11"/>
            <w:tcBorders>
              <w:top w:val="single" w:sz="4" w:space="0" w:color="auto"/>
            </w:tcBorders>
          </w:tcPr>
          <w:p w14:paraId="335A464E" w14:textId="77777777" w:rsidR="00794AFD" w:rsidRPr="001C5950" w:rsidRDefault="00794AFD" w:rsidP="00794AFD">
            <w:pPr>
              <w:jc w:val="center"/>
              <w:rPr>
                <w:rFonts w:asciiTheme="minorHAnsi" w:hAnsiTheme="minorHAnsi" w:cs="Times New Roman"/>
                <w:b/>
                <w:bCs/>
                <w:sz w:val="16"/>
                <w:szCs w:val="16"/>
              </w:rPr>
            </w:pPr>
            <w:r w:rsidRPr="001C5950">
              <w:rPr>
                <w:rFonts w:asciiTheme="minorHAnsi" w:hAnsiTheme="minorHAnsi" w:cs="Times New Roman"/>
                <w:b/>
                <w:bCs/>
                <w:sz w:val="16"/>
                <w:szCs w:val="16"/>
              </w:rPr>
              <w:t xml:space="preserve">Attributable to equity holders of the Company (see Note </w:t>
            </w:r>
            <w:r w:rsidRPr="00FC3D06">
              <w:rPr>
                <w:rFonts w:asciiTheme="minorHAnsi" w:hAnsiTheme="minorHAnsi" w:cs="Times New Roman"/>
                <w:b/>
                <w:bCs/>
                <w:sz w:val="16"/>
                <w:szCs w:val="16"/>
              </w:rPr>
              <w:t>1</w:t>
            </w:r>
            <w:r>
              <w:rPr>
                <w:rFonts w:asciiTheme="minorHAnsi" w:hAnsiTheme="minorHAnsi" w:cs="Times New Roman"/>
                <w:b/>
                <w:bCs/>
                <w:sz w:val="16"/>
                <w:szCs w:val="16"/>
              </w:rPr>
              <w:t>1</w:t>
            </w:r>
            <w:r w:rsidRPr="001C5950">
              <w:rPr>
                <w:rFonts w:asciiTheme="minorHAnsi" w:hAnsiTheme="minorHAnsi" w:cs="Times New Roman"/>
                <w:b/>
                <w:bCs/>
                <w:sz w:val="16"/>
                <w:szCs w:val="16"/>
              </w:rPr>
              <w:t>)</w:t>
            </w:r>
          </w:p>
        </w:tc>
      </w:tr>
      <w:tr w:rsidR="00794AFD" w:rsidRPr="001C5950" w14:paraId="5B43815D" w14:textId="77777777" w:rsidTr="00794AFD">
        <w:trPr>
          <w:gridAfter w:val="3"/>
          <w:wAfter w:w="947" w:type="pct"/>
          <w:trHeight w:val="223"/>
        </w:trPr>
        <w:tc>
          <w:tcPr>
            <w:tcW w:w="943" w:type="pct"/>
            <w:tcBorders>
              <w:left w:val="nil"/>
            </w:tcBorders>
          </w:tcPr>
          <w:p w14:paraId="4A30BAB3" w14:textId="77777777" w:rsidR="00794AFD" w:rsidRPr="00FC3D06" w:rsidRDefault="00794AFD" w:rsidP="00794AFD">
            <w:pPr>
              <w:ind w:left="-108"/>
              <w:rPr>
                <w:rFonts w:asciiTheme="minorHAnsi" w:hAnsiTheme="minorHAnsi" w:cs="Times New Roman"/>
                <w:sz w:val="16"/>
                <w:szCs w:val="16"/>
              </w:rPr>
            </w:pPr>
          </w:p>
        </w:tc>
        <w:tc>
          <w:tcPr>
            <w:tcW w:w="3110" w:type="pct"/>
            <w:gridSpan w:val="11"/>
            <w:tcBorders>
              <w:top w:val="single" w:sz="4" w:space="0" w:color="auto"/>
            </w:tcBorders>
          </w:tcPr>
          <w:p w14:paraId="4A773BF2" w14:textId="77777777" w:rsidR="00794AFD" w:rsidRPr="001C5950" w:rsidRDefault="00794AFD" w:rsidP="00794AFD">
            <w:pPr>
              <w:jc w:val="center"/>
              <w:rPr>
                <w:rFonts w:asciiTheme="minorHAnsi" w:hAnsiTheme="minorHAnsi" w:cs="Times New Roman"/>
                <w:b/>
                <w:bCs/>
                <w:sz w:val="16"/>
                <w:szCs w:val="16"/>
              </w:rPr>
            </w:pPr>
          </w:p>
        </w:tc>
      </w:tr>
      <w:tr w:rsidR="00794AFD" w:rsidRPr="001C5950" w14:paraId="67CBFE6F" w14:textId="77777777" w:rsidTr="00794AFD">
        <w:trPr>
          <w:gridAfter w:val="1"/>
          <w:wAfter w:w="319" w:type="pct"/>
          <w:trHeight w:val="1070"/>
        </w:trPr>
        <w:tc>
          <w:tcPr>
            <w:tcW w:w="943" w:type="pct"/>
            <w:tcBorders>
              <w:top w:val="single" w:sz="4" w:space="0" w:color="auto"/>
              <w:left w:val="nil"/>
              <w:bottom w:val="single" w:sz="4" w:space="0" w:color="auto"/>
              <w:right w:val="nil"/>
            </w:tcBorders>
          </w:tcPr>
          <w:p w14:paraId="47C6AD71" w14:textId="77777777" w:rsidR="00794AFD" w:rsidRPr="001C5950" w:rsidRDefault="00794AFD" w:rsidP="00794AFD">
            <w:pPr>
              <w:ind w:left="-108"/>
              <w:rPr>
                <w:rFonts w:asciiTheme="minorHAnsi" w:hAnsiTheme="minorHAnsi" w:cs="Times New Roman"/>
                <w:sz w:val="16"/>
                <w:szCs w:val="16"/>
              </w:rPr>
            </w:pPr>
          </w:p>
          <w:p w14:paraId="2BF8AE08" w14:textId="77777777" w:rsidR="00794AFD" w:rsidRPr="001C5950" w:rsidRDefault="00794AFD" w:rsidP="00794AFD">
            <w:pPr>
              <w:ind w:left="-108"/>
              <w:rPr>
                <w:rFonts w:asciiTheme="minorHAnsi" w:hAnsiTheme="minorHAnsi" w:cs="Times New Roman"/>
                <w:sz w:val="16"/>
                <w:szCs w:val="16"/>
              </w:rPr>
            </w:pPr>
          </w:p>
          <w:p w14:paraId="7E39248C" w14:textId="77777777" w:rsidR="00794AFD" w:rsidRPr="001C5950" w:rsidRDefault="00794AFD" w:rsidP="00794AFD">
            <w:pPr>
              <w:ind w:left="-108"/>
              <w:rPr>
                <w:rFonts w:asciiTheme="minorHAnsi" w:hAnsiTheme="minorHAnsi" w:cs="Times New Roman"/>
                <w:sz w:val="16"/>
                <w:szCs w:val="16"/>
              </w:rPr>
            </w:pPr>
          </w:p>
          <w:p w14:paraId="713BFF2D" w14:textId="77777777" w:rsidR="00794AFD" w:rsidRPr="001C5950" w:rsidRDefault="00794AFD" w:rsidP="00794AFD">
            <w:pPr>
              <w:ind w:left="-108"/>
              <w:rPr>
                <w:rFonts w:asciiTheme="minorHAnsi" w:hAnsiTheme="minorHAnsi" w:cs="Times New Roman"/>
                <w:sz w:val="16"/>
                <w:szCs w:val="16"/>
              </w:rPr>
            </w:pPr>
          </w:p>
          <w:p w14:paraId="25B945FA" w14:textId="77777777" w:rsidR="00794AFD" w:rsidRPr="001C5950" w:rsidRDefault="00794AFD" w:rsidP="00794AFD">
            <w:pPr>
              <w:ind w:left="-108"/>
              <w:rPr>
                <w:rFonts w:asciiTheme="minorHAnsi" w:hAnsiTheme="minorHAnsi" w:cs="Times New Roman"/>
                <w:sz w:val="16"/>
                <w:szCs w:val="16"/>
              </w:rPr>
            </w:pPr>
          </w:p>
          <w:p w14:paraId="4FBE5F90" w14:textId="77777777" w:rsidR="00794AFD" w:rsidRPr="001C5950" w:rsidRDefault="00794AFD" w:rsidP="00794AFD">
            <w:pPr>
              <w:ind w:left="-108"/>
              <w:rPr>
                <w:rFonts w:asciiTheme="minorHAnsi" w:hAnsiTheme="minorHAnsi" w:cs="Times New Roman"/>
                <w:sz w:val="16"/>
                <w:szCs w:val="16"/>
              </w:rPr>
            </w:pPr>
          </w:p>
        </w:tc>
        <w:tc>
          <w:tcPr>
            <w:tcW w:w="388" w:type="pct"/>
            <w:tcBorders>
              <w:top w:val="single" w:sz="4" w:space="0" w:color="auto"/>
              <w:left w:val="nil"/>
              <w:bottom w:val="single" w:sz="4" w:space="0" w:color="auto"/>
              <w:right w:val="nil"/>
            </w:tcBorders>
          </w:tcPr>
          <w:p w14:paraId="5564E5B0" w14:textId="77777777" w:rsidR="00794AFD" w:rsidRPr="001C5950" w:rsidRDefault="00794AFD" w:rsidP="00794AFD">
            <w:pPr>
              <w:jc w:val="right"/>
              <w:rPr>
                <w:rFonts w:asciiTheme="minorHAnsi" w:hAnsiTheme="minorHAnsi" w:cs="Times New Roman"/>
                <w:b/>
                <w:bCs/>
                <w:sz w:val="16"/>
                <w:szCs w:val="16"/>
              </w:rPr>
            </w:pPr>
          </w:p>
          <w:p w14:paraId="1ACC6AA1" w14:textId="77777777" w:rsidR="00794AFD" w:rsidRPr="001C5950" w:rsidRDefault="00794AFD" w:rsidP="00794AFD">
            <w:pPr>
              <w:jc w:val="right"/>
              <w:rPr>
                <w:rFonts w:asciiTheme="minorHAnsi" w:hAnsiTheme="minorHAnsi" w:cs="Times New Roman"/>
                <w:b/>
                <w:bCs/>
                <w:i/>
                <w:sz w:val="16"/>
                <w:szCs w:val="16"/>
              </w:rPr>
            </w:pPr>
            <w:r w:rsidRPr="001C5950">
              <w:rPr>
                <w:rFonts w:asciiTheme="minorHAnsi" w:hAnsiTheme="minorHAnsi" w:cs="Times New Roman"/>
                <w:b/>
                <w:bCs/>
                <w:i/>
                <w:sz w:val="16"/>
                <w:szCs w:val="16"/>
              </w:rPr>
              <w:t>Number of</w:t>
            </w:r>
          </w:p>
          <w:p w14:paraId="2F23663A" w14:textId="77777777" w:rsidR="00794AFD" w:rsidRPr="001C5950" w:rsidRDefault="00794AFD" w:rsidP="00794AFD">
            <w:pPr>
              <w:jc w:val="right"/>
              <w:rPr>
                <w:rFonts w:asciiTheme="minorHAnsi" w:hAnsiTheme="minorHAnsi" w:cs="Times New Roman"/>
                <w:b/>
                <w:bCs/>
                <w:i/>
                <w:sz w:val="16"/>
                <w:szCs w:val="16"/>
              </w:rPr>
            </w:pPr>
            <w:r w:rsidRPr="001C5950">
              <w:rPr>
                <w:rFonts w:asciiTheme="minorHAnsi" w:hAnsiTheme="minorHAnsi" w:cs="Times New Roman"/>
                <w:b/>
                <w:bCs/>
                <w:i/>
                <w:sz w:val="16"/>
                <w:szCs w:val="16"/>
              </w:rPr>
              <w:t xml:space="preserve"> ordinary</w:t>
            </w:r>
          </w:p>
          <w:p w14:paraId="7C157A56" w14:textId="77777777" w:rsidR="00794AFD" w:rsidRPr="001C5950" w:rsidRDefault="00794AFD" w:rsidP="00794AFD">
            <w:pPr>
              <w:jc w:val="right"/>
              <w:rPr>
                <w:rFonts w:asciiTheme="minorHAnsi" w:hAnsiTheme="minorHAnsi" w:cs="Times New Roman"/>
                <w:b/>
                <w:bCs/>
                <w:i/>
                <w:sz w:val="16"/>
                <w:szCs w:val="16"/>
              </w:rPr>
            </w:pPr>
            <w:r w:rsidRPr="001C5950">
              <w:rPr>
                <w:rFonts w:asciiTheme="minorHAnsi" w:hAnsiTheme="minorHAnsi" w:cs="Times New Roman"/>
                <w:b/>
                <w:bCs/>
                <w:i/>
                <w:sz w:val="16"/>
                <w:szCs w:val="16"/>
              </w:rPr>
              <w:t xml:space="preserve"> shares in</w:t>
            </w:r>
          </w:p>
          <w:p w14:paraId="5F032914"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i/>
                <w:sz w:val="16"/>
                <w:szCs w:val="16"/>
              </w:rPr>
              <w:t xml:space="preserve"> issu</w:t>
            </w:r>
            <w:r w:rsidRPr="001C5950">
              <w:rPr>
                <w:rFonts w:asciiTheme="minorHAnsi" w:hAnsiTheme="minorHAnsi" w:cs="Times New Roman"/>
                <w:b/>
                <w:bCs/>
                <w:sz w:val="16"/>
                <w:szCs w:val="16"/>
              </w:rPr>
              <w:t>e</w:t>
            </w:r>
          </w:p>
          <w:p w14:paraId="174BDD94" w14:textId="77777777" w:rsidR="00794AFD" w:rsidRPr="001C5950" w:rsidRDefault="00794AFD" w:rsidP="00794AFD">
            <w:pPr>
              <w:jc w:val="right"/>
              <w:rPr>
                <w:rFonts w:asciiTheme="minorHAnsi" w:hAnsiTheme="minorHAnsi" w:cs="Times New Roman"/>
                <w:i/>
                <w:sz w:val="16"/>
                <w:szCs w:val="16"/>
              </w:rPr>
            </w:pPr>
            <w:r w:rsidRPr="001C5950">
              <w:rPr>
                <w:rFonts w:asciiTheme="minorHAnsi" w:hAnsiTheme="minorHAnsi" w:cs="Times New Roman"/>
                <w:b/>
                <w:bCs/>
                <w:i/>
                <w:sz w:val="16"/>
                <w:szCs w:val="16"/>
              </w:rPr>
              <w:t>millions</w:t>
            </w:r>
          </w:p>
        </w:tc>
        <w:tc>
          <w:tcPr>
            <w:tcW w:w="297" w:type="pct"/>
            <w:tcBorders>
              <w:top w:val="single" w:sz="4" w:space="0" w:color="auto"/>
              <w:left w:val="nil"/>
              <w:bottom w:val="single" w:sz="4" w:space="0" w:color="auto"/>
              <w:right w:val="nil"/>
            </w:tcBorders>
          </w:tcPr>
          <w:p w14:paraId="54802D2A"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Issued</w:t>
            </w:r>
          </w:p>
          <w:p w14:paraId="54517927"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share</w:t>
            </w:r>
          </w:p>
          <w:p w14:paraId="54A19F4A"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capital and share premium</w:t>
            </w:r>
          </w:p>
          <w:p w14:paraId="5768B6B8" w14:textId="77777777" w:rsidR="00794AFD" w:rsidRPr="001C5950" w:rsidRDefault="00794AFD" w:rsidP="00794AFD">
            <w:pPr>
              <w:jc w:val="right"/>
              <w:rPr>
                <w:rFonts w:asciiTheme="minorHAnsi" w:hAnsiTheme="minorHAnsi" w:cs="Times New Roman"/>
                <w:sz w:val="16"/>
                <w:szCs w:val="16"/>
              </w:rPr>
            </w:pPr>
            <w:r w:rsidRPr="001C5950">
              <w:rPr>
                <w:rFonts w:asciiTheme="minorHAnsi" w:hAnsiTheme="minorHAnsi" w:cs="Times New Roman"/>
                <w:b/>
                <w:bCs/>
                <w:sz w:val="16"/>
                <w:szCs w:val="16"/>
              </w:rPr>
              <w:t>£m</w:t>
            </w:r>
          </w:p>
        </w:tc>
        <w:tc>
          <w:tcPr>
            <w:tcW w:w="330" w:type="pct"/>
            <w:tcBorders>
              <w:top w:val="single" w:sz="4" w:space="0" w:color="auto"/>
              <w:left w:val="nil"/>
              <w:bottom w:val="single" w:sz="4" w:space="0" w:color="auto"/>
              <w:right w:val="nil"/>
            </w:tcBorders>
          </w:tcPr>
          <w:p w14:paraId="67368CB4" w14:textId="77777777" w:rsidR="00794AFD" w:rsidRPr="001C5950" w:rsidRDefault="00794AFD" w:rsidP="00794AFD">
            <w:pPr>
              <w:jc w:val="right"/>
              <w:rPr>
                <w:rFonts w:asciiTheme="minorHAnsi" w:hAnsiTheme="minorHAnsi" w:cs="Times New Roman"/>
                <w:b/>
                <w:bCs/>
                <w:sz w:val="16"/>
                <w:szCs w:val="16"/>
              </w:rPr>
            </w:pPr>
          </w:p>
          <w:p w14:paraId="32C0C9C1"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Foreign</w:t>
            </w:r>
          </w:p>
          <w:p w14:paraId="2908CE53"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exchange</w:t>
            </w:r>
          </w:p>
          <w:p w14:paraId="51E01E7E"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translation</w:t>
            </w:r>
          </w:p>
          <w:p w14:paraId="1DFEA789" w14:textId="77777777" w:rsidR="00794AFD" w:rsidRPr="001C5950" w:rsidRDefault="00794AFD" w:rsidP="00794AFD">
            <w:pPr>
              <w:jc w:val="right"/>
              <w:rPr>
                <w:rFonts w:asciiTheme="minorHAnsi" w:hAnsiTheme="minorHAnsi" w:cs="Times New Roman"/>
                <w:sz w:val="18"/>
                <w:szCs w:val="18"/>
              </w:rPr>
            </w:pPr>
            <w:r w:rsidRPr="001C5950">
              <w:rPr>
                <w:rFonts w:asciiTheme="minorHAnsi" w:hAnsiTheme="minorHAnsi" w:cs="Times New Roman"/>
                <w:b/>
                <w:bCs/>
                <w:sz w:val="16"/>
                <w:szCs w:val="16"/>
              </w:rPr>
              <w:t xml:space="preserve"> reserve</w:t>
            </w:r>
          </w:p>
          <w:p w14:paraId="4D6DEB7D" w14:textId="77777777" w:rsidR="00794AFD" w:rsidRPr="001C5950" w:rsidRDefault="00794AFD" w:rsidP="00794AFD">
            <w:pPr>
              <w:jc w:val="right"/>
              <w:rPr>
                <w:rFonts w:asciiTheme="minorHAnsi" w:hAnsiTheme="minorHAnsi" w:cs="Times New Roman"/>
                <w:sz w:val="16"/>
                <w:szCs w:val="16"/>
              </w:rPr>
            </w:pPr>
            <w:r w:rsidRPr="001C5950">
              <w:rPr>
                <w:rFonts w:asciiTheme="minorHAnsi" w:hAnsiTheme="minorHAnsi" w:cs="Times New Roman"/>
                <w:b/>
                <w:bCs/>
                <w:sz w:val="16"/>
                <w:szCs w:val="16"/>
              </w:rPr>
              <w:t>£m</w:t>
            </w:r>
          </w:p>
        </w:tc>
        <w:tc>
          <w:tcPr>
            <w:tcW w:w="281" w:type="pct"/>
            <w:tcBorders>
              <w:top w:val="single" w:sz="4" w:space="0" w:color="auto"/>
              <w:left w:val="nil"/>
              <w:bottom w:val="single" w:sz="4" w:space="0" w:color="auto"/>
              <w:right w:val="nil"/>
            </w:tcBorders>
          </w:tcPr>
          <w:p w14:paraId="0CF00782" w14:textId="77777777" w:rsidR="00794AFD" w:rsidRPr="001C5950" w:rsidRDefault="00794AFD" w:rsidP="00794AFD">
            <w:pPr>
              <w:jc w:val="right"/>
              <w:rPr>
                <w:rFonts w:asciiTheme="minorHAnsi" w:hAnsiTheme="minorHAnsi" w:cs="Times New Roman"/>
                <w:b/>
                <w:bCs/>
                <w:sz w:val="16"/>
                <w:szCs w:val="16"/>
              </w:rPr>
            </w:pPr>
          </w:p>
          <w:p w14:paraId="6F5CCBAF" w14:textId="77777777" w:rsidR="00794AFD" w:rsidRPr="001C5950" w:rsidRDefault="00794AFD" w:rsidP="00794AFD">
            <w:pPr>
              <w:jc w:val="right"/>
              <w:rPr>
                <w:rFonts w:asciiTheme="minorHAnsi" w:hAnsiTheme="minorHAnsi" w:cs="Times New Roman"/>
                <w:b/>
                <w:bCs/>
                <w:sz w:val="16"/>
                <w:szCs w:val="16"/>
              </w:rPr>
            </w:pPr>
          </w:p>
          <w:p w14:paraId="55FEE106" w14:textId="77777777" w:rsidR="00794AFD" w:rsidRPr="001C5950" w:rsidRDefault="00794AFD" w:rsidP="00794AFD">
            <w:pPr>
              <w:jc w:val="right"/>
              <w:rPr>
                <w:rFonts w:asciiTheme="minorHAnsi" w:hAnsiTheme="minorHAnsi" w:cs="Times New Roman"/>
                <w:b/>
                <w:bCs/>
                <w:sz w:val="16"/>
                <w:szCs w:val="16"/>
              </w:rPr>
            </w:pPr>
          </w:p>
          <w:p w14:paraId="2E0B851D"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Other</w:t>
            </w:r>
          </w:p>
          <w:p w14:paraId="0AFE6C86"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reserves</w:t>
            </w:r>
          </w:p>
          <w:p w14:paraId="5D9612FD" w14:textId="77777777" w:rsidR="00794AFD" w:rsidRPr="001C5950" w:rsidRDefault="00794AFD" w:rsidP="00794AFD">
            <w:pPr>
              <w:jc w:val="right"/>
              <w:rPr>
                <w:rFonts w:asciiTheme="minorHAnsi" w:hAnsiTheme="minorHAnsi" w:cs="Times New Roman"/>
                <w:sz w:val="16"/>
                <w:szCs w:val="16"/>
              </w:rPr>
            </w:pPr>
            <w:r w:rsidRPr="001C5950">
              <w:rPr>
                <w:rFonts w:asciiTheme="minorHAnsi" w:hAnsiTheme="minorHAnsi" w:cs="Times New Roman"/>
                <w:b/>
                <w:bCs/>
                <w:sz w:val="16"/>
                <w:szCs w:val="16"/>
              </w:rPr>
              <w:t>£m</w:t>
            </w:r>
          </w:p>
        </w:tc>
        <w:tc>
          <w:tcPr>
            <w:tcW w:w="352" w:type="pct"/>
            <w:gridSpan w:val="2"/>
            <w:tcBorders>
              <w:top w:val="single" w:sz="4" w:space="0" w:color="auto"/>
              <w:left w:val="nil"/>
              <w:bottom w:val="single" w:sz="4" w:space="0" w:color="auto"/>
              <w:right w:val="nil"/>
            </w:tcBorders>
          </w:tcPr>
          <w:p w14:paraId="61636A98" w14:textId="77777777" w:rsidR="00794AFD" w:rsidRPr="001C5950" w:rsidRDefault="00794AFD" w:rsidP="00794AFD">
            <w:pPr>
              <w:jc w:val="right"/>
              <w:rPr>
                <w:rFonts w:asciiTheme="minorHAnsi" w:hAnsiTheme="minorHAnsi" w:cs="Times New Roman"/>
                <w:b/>
                <w:bCs/>
                <w:sz w:val="16"/>
                <w:szCs w:val="16"/>
              </w:rPr>
            </w:pPr>
          </w:p>
          <w:p w14:paraId="3DFD3EA2" w14:textId="77777777" w:rsidR="00794AFD" w:rsidRPr="001C5950" w:rsidRDefault="00794AFD" w:rsidP="00794AFD">
            <w:pPr>
              <w:jc w:val="right"/>
              <w:rPr>
                <w:rFonts w:asciiTheme="minorHAnsi" w:hAnsiTheme="minorHAnsi" w:cs="Times New Roman"/>
                <w:b/>
                <w:bCs/>
                <w:sz w:val="16"/>
                <w:szCs w:val="16"/>
              </w:rPr>
            </w:pPr>
          </w:p>
          <w:p w14:paraId="37589888" w14:textId="77777777" w:rsidR="00794AFD" w:rsidRPr="001C5950" w:rsidRDefault="00794AFD" w:rsidP="00794AFD">
            <w:pPr>
              <w:jc w:val="right"/>
              <w:rPr>
                <w:rFonts w:asciiTheme="minorHAnsi" w:hAnsiTheme="minorHAnsi" w:cs="Times New Roman"/>
                <w:b/>
                <w:bCs/>
                <w:sz w:val="16"/>
                <w:szCs w:val="16"/>
              </w:rPr>
            </w:pPr>
          </w:p>
          <w:p w14:paraId="5CE05E6A"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Treasury</w:t>
            </w:r>
          </w:p>
          <w:p w14:paraId="2692ED83"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shares</w:t>
            </w:r>
          </w:p>
          <w:p w14:paraId="6DAE8EBB" w14:textId="77777777" w:rsidR="00794AFD" w:rsidRPr="001C5950" w:rsidRDefault="00794AFD" w:rsidP="00794AFD">
            <w:pPr>
              <w:jc w:val="right"/>
              <w:rPr>
                <w:rFonts w:asciiTheme="minorHAnsi" w:hAnsiTheme="minorHAnsi" w:cs="Times New Roman"/>
                <w:sz w:val="16"/>
                <w:szCs w:val="16"/>
              </w:rPr>
            </w:pPr>
            <w:r w:rsidRPr="001C5950">
              <w:rPr>
                <w:rFonts w:asciiTheme="minorHAnsi" w:hAnsiTheme="minorHAnsi" w:cs="Times New Roman"/>
                <w:b/>
                <w:bCs/>
                <w:sz w:val="16"/>
                <w:szCs w:val="16"/>
              </w:rPr>
              <w:t>£m</w:t>
            </w:r>
          </w:p>
        </w:tc>
        <w:tc>
          <w:tcPr>
            <w:tcW w:w="376" w:type="pct"/>
            <w:tcBorders>
              <w:top w:val="single" w:sz="4" w:space="0" w:color="auto"/>
              <w:left w:val="nil"/>
              <w:bottom w:val="single" w:sz="4" w:space="0" w:color="auto"/>
              <w:right w:val="nil"/>
            </w:tcBorders>
          </w:tcPr>
          <w:p w14:paraId="5CA69B76" w14:textId="77777777" w:rsidR="00794AFD" w:rsidRPr="001C5950" w:rsidRDefault="00794AFD" w:rsidP="00794AFD">
            <w:pPr>
              <w:jc w:val="right"/>
              <w:rPr>
                <w:rFonts w:asciiTheme="minorHAnsi" w:hAnsiTheme="minorHAnsi" w:cs="Times New Roman"/>
                <w:b/>
                <w:bCs/>
                <w:sz w:val="16"/>
                <w:szCs w:val="16"/>
              </w:rPr>
            </w:pPr>
          </w:p>
          <w:p w14:paraId="7EA6DDB2"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Shares</w:t>
            </w:r>
          </w:p>
          <w:p w14:paraId="62940214"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held by</w:t>
            </w:r>
          </w:p>
          <w:p w14:paraId="6320A263"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employee benefit trust</w:t>
            </w:r>
          </w:p>
          <w:p w14:paraId="7602AA18" w14:textId="77777777" w:rsidR="00794AFD" w:rsidRPr="001C5950" w:rsidRDefault="00794AFD" w:rsidP="00794AFD">
            <w:pPr>
              <w:jc w:val="right"/>
              <w:rPr>
                <w:rFonts w:asciiTheme="minorHAnsi" w:hAnsiTheme="minorHAnsi" w:cs="Times New Roman"/>
                <w:sz w:val="16"/>
                <w:szCs w:val="16"/>
              </w:rPr>
            </w:pPr>
            <w:r w:rsidRPr="001C5950">
              <w:rPr>
                <w:rFonts w:asciiTheme="minorHAnsi" w:hAnsiTheme="minorHAnsi" w:cs="Times New Roman"/>
                <w:b/>
                <w:bCs/>
                <w:sz w:val="16"/>
                <w:szCs w:val="16"/>
              </w:rPr>
              <w:t>£m</w:t>
            </w:r>
          </w:p>
        </w:tc>
        <w:tc>
          <w:tcPr>
            <w:tcW w:w="348" w:type="pct"/>
            <w:tcBorders>
              <w:top w:val="single" w:sz="4" w:space="0" w:color="auto"/>
              <w:left w:val="nil"/>
              <w:bottom w:val="single" w:sz="4" w:space="0" w:color="auto"/>
              <w:right w:val="nil"/>
            </w:tcBorders>
          </w:tcPr>
          <w:p w14:paraId="5F445DC4" w14:textId="77777777" w:rsidR="00794AFD" w:rsidRPr="001C5950" w:rsidRDefault="00794AFD" w:rsidP="00794AFD">
            <w:pPr>
              <w:jc w:val="right"/>
              <w:rPr>
                <w:rFonts w:asciiTheme="minorHAnsi" w:hAnsiTheme="minorHAnsi" w:cs="Times New Roman"/>
                <w:b/>
                <w:bCs/>
                <w:sz w:val="16"/>
                <w:szCs w:val="16"/>
              </w:rPr>
            </w:pPr>
          </w:p>
          <w:p w14:paraId="5CCE1C91"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Share-</w:t>
            </w:r>
          </w:p>
          <w:p w14:paraId="6A2AC3E2"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based</w:t>
            </w:r>
          </w:p>
          <w:p w14:paraId="05A9B3CF"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payment</w:t>
            </w:r>
          </w:p>
          <w:p w14:paraId="5A63C598"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reserve</w:t>
            </w:r>
          </w:p>
          <w:p w14:paraId="40A0374E" w14:textId="77777777" w:rsidR="00794AFD" w:rsidRPr="001C5950" w:rsidRDefault="00794AFD" w:rsidP="00794AFD">
            <w:pPr>
              <w:jc w:val="right"/>
              <w:rPr>
                <w:rFonts w:asciiTheme="minorHAnsi" w:hAnsiTheme="minorHAnsi" w:cs="Times New Roman"/>
                <w:sz w:val="16"/>
                <w:szCs w:val="16"/>
              </w:rPr>
            </w:pPr>
            <w:r w:rsidRPr="001C5950">
              <w:rPr>
                <w:rFonts w:asciiTheme="minorHAnsi" w:hAnsiTheme="minorHAnsi" w:cs="Times New Roman"/>
                <w:b/>
                <w:bCs/>
                <w:sz w:val="16"/>
                <w:szCs w:val="16"/>
              </w:rPr>
              <w:t>£m</w:t>
            </w:r>
          </w:p>
        </w:tc>
        <w:tc>
          <w:tcPr>
            <w:tcW w:w="412" w:type="pct"/>
            <w:tcBorders>
              <w:top w:val="single" w:sz="4" w:space="0" w:color="auto"/>
              <w:left w:val="nil"/>
              <w:bottom w:val="single" w:sz="4" w:space="0" w:color="auto"/>
              <w:right w:val="nil"/>
            </w:tcBorders>
          </w:tcPr>
          <w:p w14:paraId="5D767211" w14:textId="77777777" w:rsidR="00794AFD" w:rsidRPr="001C5950" w:rsidRDefault="00794AFD" w:rsidP="00794AFD">
            <w:pPr>
              <w:jc w:val="right"/>
              <w:rPr>
                <w:rFonts w:asciiTheme="minorHAnsi" w:hAnsiTheme="minorHAnsi" w:cs="Times New Roman"/>
                <w:b/>
                <w:bCs/>
                <w:sz w:val="16"/>
                <w:szCs w:val="16"/>
              </w:rPr>
            </w:pPr>
          </w:p>
          <w:p w14:paraId="2402E200" w14:textId="77777777" w:rsidR="00794AFD" w:rsidRPr="001C5950" w:rsidRDefault="00794AFD" w:rsidP="00794AFD">
            <w:pPr>
              <w:jc w:val="right"/>
              <w:rPr>
                <w:rFonts w:asciiTheme="minorHAnsi" w:hAnsiTheme="minorHAnsi" w:cs="Times New Roman"/>
                <w:b/>
                <w:bCs/>
                <w:sz w:val="16"/>
                <w:szCs w:val="16"/>
              </w:rPr>
            </w:pPr>
          </w:p>
          <w:p w14:paraId="1DA4DC17" w14:textId="77777777" w:rsidR="00794AFD" w:rsidRPr="001C5950" w:rsidRDefault="00794AFD" w:rsidP="00794AFD">
            <w:pPr>
              <w:jc w:val="right"/>
              <w:rPr>
                <w:rFonts w:asciiTheme="minorHAnsi" w:hAnsiTheme="minorHAnsi" w:cs="Times New Roman"/>
                <w:b/>
                <w:bCs/>
                <w:sz w:val="16"/>
                <w:szCs w:val="16"/>
              </w:rPr>
            </w:pPr>
          </w:p>
          <w:p w14:paraId="589C19C6"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Retained</w:t>
            </w:r>
          </w:p>
          <w:p w14:paraId="77959C57"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earnings</w:t>
            </w:r>
          </w:p>
          <w:p w14:paraId="419BA686" w14:textId="77777777" w:rsidR="00794AFD" w:rsidRPr="001C5950" w:rsidRDefault="00794AFD" w:rsidP="00794AFD">
            <w:pPr>
              <w:jc w:val="right"/>
              <w:rPr>
                <w:rFonts w:asciiTheme="minorHAnsi" w:hAnsiTheme="minorHAnsi" w:cs="Times New Roman"/>
                <w:sz w:val="16"/>
                <w:szCs w:val="16"/>
              </w:rPr>
            </w:pPr>
            <w:r w:rsidRPr="001C5950">
              <w:rPr>
                <w:rFonts w:asciiTheme="minorHAnsi" w:hAnsiTheme="minorHAnsi" w:cs="Times New Roman"/>
                <w:b/>
                <w:bCs/>
                <w:sz w:val="16"/>
                <w:szCs w:val="16"/>
              </w:rPr>
              <w:t>£m</w:t>
            </w:r>
          </w:p>
        </w:tc>
        <w:tc>
          <w:tcPr>
            <w:tcW w:w="319" w:type="pct"/>
            <w:tcBorders>
              <w:top w:val="single" w:sz="4" w:space="0" w:color="auto"/>
              <w:left w:val="nil"/>
              <w:bottom w:val="single" w:sz="4" w:space="0" w:color="auto"/>
              <w:right w:val="nil"/>
            </w:tcBorders>
          </w:tcPr>
          <w:p w14:paraId="0B503255" w14:textId="77777777" w:rsidR="00794AFD" w:rsidRPr="001C5950" w:rsidRDefault="00794AFD" w:rsidP="00794AFD">
            <w:pPr>
              <w:jc w:val="right"/>
              <w:rPr>
                <w:rFonts w:asciiTheme="minorHAnsi" w:hAnsiTheme="minorHAnsi" w:cs="Times New Roman"/>
                <w:b/>
                <w:bCs/>
                <w:sz w:val="16"/>
                <w:szCs w:val="16"/>
              </w:rPr>
            </w:pPr>
          </w:p>
          <w:p w14:paraId="1EA79D94" w14:textId="77777777" w:rsidR="00794AFD" w:rsidRPr="001C5950" w:rsidRDefault="00794AFD" w:rsidP="00794AFD">
            <w:pPr>
              <w:jc w:val="right"/>
              <w:rPr>
                <w:rFonts w:asciiTheme="minorHAnsi" w:hAnsiTheme="minorHAnsi" w:cs="Times New Roman"/>
                <w:b/>
                <w:bCs/>
                <w:sz w:val="16"/>
                <w:szCs w:val="16"/>
              </w:rPr>
            </w:pPr>
          </w:p>
          <w:p w14:paraId="1F55012C" w14:textId="77777777" w:rsidR="00794AFD" w:rsidRPr="001C5950" w:rsidRDefault="00794AFD" w:rsidP="00794AFD">
            <w:pPr>
              <w:jc w:val="right"/>
              <w:rPr>
                <w:rFonts w:asciiTheme="minorHAnsi" w:hAnsiTheme="minorHAnsi" w:cs="Times New Roman"/>
                <w:b/>
                <w:bCs/>
                <w:sz w:val="16"/>
                <w:szCs w:val="16"/>
              </w:rPr>
            </w:pPr>
          </w:p>
          <w:p w14:paraId="1B1AB6A0"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Total</w:t>
            </w:r>
          </w:p>
          <w:p w14:paraId="6ADCD018"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equity</w:t>
            </w:r>
          </w:p>
          <w:p w14:paraId="34281CDC"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£m</w:t>
            </w:r>
          </w:p>
        </w:tc>
        <w:tc>
          <w:tcPr>
            <w:tcW w:w="319" w:type="pct"/>
            <w:gridSpan w:val="2"/>
            <w:tcBorders>
              <w:top w:val="single" w:sz="4" w:space="0" w:color="auto"/>
              <w:left w:val="nil"/>
              <w:bottom w:val="single" w:sz="4" w:space="0" w:color="auto"/>
              <w:right w:val="nil"/>
            </w:tcBorders>
          </w:tcPr>
          <w:p w14:paraId="01E7EC62" w14:textId="77777777" w:rsidR="00794AFD" w:rsidRPr="001C5950" w:rsidRDefault="00794AFD" w:rsidP="00794AFD">
            <w:pPr>
              <w:jc w:val="right"/>
              <w:rPr>
                <w:rFonts w:asciiTheme="minorHAnsi" w:hAnsiTheme="minorHAnsi" w:cs="Times New Roman"/>
                <w:b/>
                <w:bCs/>
                <w:sz w:val="16"/>
                <w:szCs w:val="16"/>
              </w:rPr>
            </w:pPr>
          </w:p>
          <w:p w14:paraId="39641184" w14:textId="77777777" w:rsidR="00794AFD" w:rsidRPr="001C5950" w:rsidRDefault="00794AFD" w:rsidP="00794AFD">
            <w:pPr>
              <w:jc w:val="right"/>
              <w:rPr>
                <w:rFonts w:asciiTheme="minorHAnsi" w:hAnsiTheme="minorHAnsi" w:cs="Times New Roman"/>
                <w:b/>
                <w:bCs/>
                <w:sz w:val="16"/>
                <w:szCs w:val="16"/>
              </w:rPr>
            </w:pPr>
          </w:p>
          <w:p w14:paraId="4F00CB59"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Non-controlling interest</w:t>
            </w:r>
          </w:p>
          <w:p w14:paraId="6C85F05E"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£m</w:t>
            </w:r>
          </w:p>
        </w:tc>
        <w:tc>
          <w:tcPr>
            <w:tcW w:w="316" w:type="pct"/>
            <w:tcBorders>
              <w:top w:val="single" w:sz="4" w:space="0" w:color="auto"/>
              <w:left w:val="nil"/>
              <w:bottom w:val="single" w:sz="4" w:space="0" w:color="auto"/>
              <w:right w:val="nil"/>
            </w:tcBorders>
          </w:tcPr>
          <w:p w14:paraId="69633A96" w14:textId="77777777" w:rsidR="00794AFD" w:rsidRPr="001C5950" w:rsidRDefault="00794AFD" w:rsidP="00794AFD">
            <w:pPr>
              <w:jc w:val="right"/>
              <w:rPr>
                <w:rFonts w:asciiTheme="minorHAnsi" w:hAnsiTheme="minorHAnsi" w:cs="Times New Roman"/>
                <w:b/>
                <w:bCs/>
                <w:sz w:val="16"/>
                <w:szCs w:val="16"/>
              </w:rPr>
            </w:pPr>
          </w:p>
          <w:p w14:paraId="1ECB70D3" w14:textId="77777777" w:rsidR="00794AFD" w:rsidRPr="001C5950" w:rsidRDefault="00794AFD" w:rsidP="00794AFD">
            <w:pPr>
              <w:jc w:val="right"/>
              <w:rPr>
                <w:rFonts w:asciiTheme="minorHAnsi" w:hAnsiTheme="minorHAnsi" w:cs="Times New Roman"/>
                <w:b/>
                <w:bCs/>
                <w:sz w:val="16"/>
                <w:szCs w:val="16"/>
              </w:rPr>
            </w:pPr>
          </w:p>
          <w:p w14:paraId="7DB40A71" w14:textId="77777777" w:rsidR="00794AFD" w:rsidRPr="001C5950" w:rsidRDefault="00794AFD" w:rsidP="00794AFD">
            <w:pPr>
              <w:jc w:val="right"/>
              <w:rPr>
                <w:rFonts w:asciiTheme="minorHAnsi" w:hAnsiTheme="minorHAnsi" w:cs="Times New Roman"/>
                <w:b/>
                <w:bCs/>
                <w:sz w:val="16"/>
                <w:szCs w:val="16"/>
              </w:rPr>
            </w:pPr>
          </w:p>
          <w:p w14:paraId="7F018F4D"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Total</w:t>
            </w:r>
          </w:p>
          <w:p w14:paraId="79E37FB8"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 xml:space="preserve"> equity</w:t>
            </w:r>
          </w:p>
          <w:p w14:paraId="27A7B4B3" w14:textId="77777777" w:rsidR="00794AFD" w:rsidRPr="001C5950" w:rsidRDefault="00794AFD" w:rsidP="00794AFD">
            <w:pPr>
              <w:jc w:val="right"/>
              <w:rPr>
                <w:rFonts w:asciiTheme="minorHAnsi" w:hAnsiTheme="minorHAnsi" w:cs="Times New Roman"/>
                <w:b/>
                <w:bCs/>
                <w:sz w:val="16"/>
                <w:szCs w:val="16"/>
              </w:rPr>
            </w:pPr>
            <w:r w:rsidRPr="001C5950">
              <w:rPr>
                <w:rFonts w:asciiTheme="minorHAnsi" w:hAnsiTheme="minorHAnsi" w:cs="Times New Roman"/>
                <w:b/>
                <w:bCs/>
                <w:sz w:val="16"/>
                <w:szCs w:val="16"/>
              </w:rPr>
              <w:t>£m</w:t>
            </w:r>
          </w:p>
        </w:tc>
      </w:tr>
      <w:tr w:rsidR="00794AFD" w:rsidRPr="001C5950" w14:paraId="41CE35D4" w14:textId="77777777" w:rsidTr="00794AFD">
        <w:trPr>
          <w:gridAfter w:val="1"/>
          <w:wAfter w:w="319" w:type="pct"/>
          <w:trHeight w:val="380"/>
        </w:trPr>
        <w:tc>
          <w:tcPr>
            <w:tcW w:w="943" w:type="pct"/>
            <w:tcBorders>
              <w:top w:val="single" w:sz="4" w:space="0" w:color="auto"/>
              <w:left w:val="nil"/>
              <w:right w:val="nil"/>
            </w:tcBorders>
          </w:tcPr>
          <w:p w14:paraId="17ECC623" w14:textId="77777777" w:rsidR="00794AFD" w:rsidRPr="00FC3D06" w:rsidRDefault="00794AFD" w:rsidP="00794AFD">
            <w:pPr>
              <w:ind w:left="-108"/>
              <w:rPr>
                <w:rFonts w:asciiTheme="minorHAnsi" w:hAnsiTheme="minorHAnsi" w:cs="Times New Roman"/>
                <w:sz w:val="16"/>
                <w:szCs w:val="16"/>
              </w:rPr>
            </w:pPr>
          </w:p>
          <w:p w14:paraId="7179F013" w14:textId="77777777" w:rsidR="00794AFD" w:rsidRPr="00FC3D06" w:rsidRDefault="00794AFD" w:rsidP="00794AFD">
            <w:pPr>
              <w:ind w:left="-108"/>
              <w:rPr>
                <w:rFonts w:asciiTheme="minorHAnsi" w:hAnsiTheme="minorHAnsi" w:cs="Times New Roman"/>
                <w:sz w:val="16"/>
                <w:szCs w:val="16"/>
              </w:rPr>
            </w:pPr>
            <w:r w:rsidRPr="001C5950">
              <w:rPr>
                <w:rFonts w:asciiTheme="minorHAnsi" w:hAnsiTheme="minorHAnsi" w:cs="Times New Roman"/>
                <w:sz w:val="16"/>
                <w:szCs w:val="16"/>
              </w:rPr>
              <w:t xml:space="preserve">Balance at 1 January </w:t>
            </w:r>
            <w:r>
              <w:rPr>
                <w:rFonts w:asciiTheme="minorHAnsi" w:hAnsiTheme="minorHAnsi" w:cs="Times New Roman"/>
                <w:sz w:val="16"/>
                <w:szCs w:val="16"/>
              </w:rPr>
              <w:t>2018</w:t>
            </w:r>
          </w:p>
        </w:tc>
        <w:tc>
          <w:tcPr>
            <w:tcW w:w="388" w:type="pct"/>
            <w:tcBorders>
              <w:top w:val="single" w:sz="4" w:space="0" w:color="auto"/>
              <w:left w:val="nil"/>
              <w:right w:val="nil"/>
            </w:tcBorders>
          </w:tcPr>
          <w:p w14:paraId="6DFBEE0E" w14:textId="77777777" w:rsidR="00794AFD" w:rsidRPr="00FC3D06" w:rsidRDefault="00794AFD" w:rsidP="00794AFD">
            <w:pPr>
              <w:jc w:val="right"/>
              <w:rPr>
                <w:rFonts w:asciiTheme="minorHAnsi" w:hAnsiTheme="minorHAnsi" w:cs="Times New Roman"/>
                <w:sz w:val="16"/>
                <w:szCs w:val="16"/>
              </w:rPr>
            </w:pPr>
          </w:p>
          <w:p w14:paraId="74E87150" w14:textId="77777777" w:rsidR="00794AFD" w:rsidRPr="00FC3D06" w:rsidRDefault="00794AFD" w:rsidP="00794AFD">
            <w:pPr>
              <w:jc w:val="right"/>
              <w:rPr>
                <w:rFonts w:asciiTheme="minorHAnsi" w:hAnsiTheme="minorHAnsi" w:cs="Times New Roman"/>
                <w:i/>
                <w:sz w:val="16"/>
                <w:szCs w:val="16"/>
              </w:rPr>
            </w:pPr>
            <w:r w:rsidRPr="00FC3D06">
              <w:rPr>
                <w:rFonts w:asciiTheme="minorHAnsi" w:hAnsiTheme="minorHAnsi" w:cs="Times New Roman"/>
                <w:i/>
                <w:sz w:val="16"/>
                <w:szCs w:val="16"/>
              </w:rPr>
              <w:t>86.5</w:t>
            </w:r>
          </w:p>
        </w:tc>
        <w:tc>
          <w:tcPr>
            <w:tcW w:w="297" w:type="pct"/>
            <w:tcBorders>
              <w:top w:val="single" w:sz="4" w:space="0" w:color="auto"/>
              <w:left w:val="nil"/>
              <w:right w:val="nil"/>
            </w:tcBorders>
          </w:tcPr>
          <w:p w14:paraId="14500F5D" w14:textId="77777777" w:rsidR="00794AFD" w:rsidRPr="00FC3D06" w:rsidRDefault="00794AFD" w:rsidP="00794AFD">
            <w:pPr>
              <w:jc w:val="right"/>
              <w:rPr>
                <w:rFonts w:asciiTheme="minorHAnsi" w:hAnsiTheme="minorHAnsi" w:cs="Times New Roman"/>
                <w:sz w:val="16"/>
                <w:szCs w:val="16"/>
              </w:rPr>
            </w:pPr>
          </w:p>
          <w:p w14:paraId="5E6A1BA7"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423.0</w:t>
            </w:r>
          </w:p>
        </w:tc>
        <w:tc>
          <w:tcPr>
            <w:tcW w:w="330" w:type="pct"/>
            <w:tcBorders>
              <w:top w:val="single" w:sz="4" w:space="0" w:color="auto"/>
              <w:left w:val="nil"/>
              <w:right w:val="nil"/>
            </w:tcBorders>
          </w:tcPr>
          <w:p w14:paraId="27B3D0B4" w14:textId="77777777" w:rsidR="00794AFD" w:rsidRPr="00FC3D06" w:rsidRDefault="00794AFD" w:rsidP="00794AFD">
            <w:pPr>
              <w:jc w:val="right"/>
              <w:rPr>
                <w:rFonts w:asciiTheme="minorHAnsi" w:hAnsiTheme="minorHAnsi" w:cs="Times New Roman"/>
                <w:sz w:val="16"/>
                <w:szCs w:val="16"/>
              </w:rPr>
            </w:pPr>
          </w:p>
          <w:p w14:paraId="385A469C"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(13.8)</w:t>
            </w:r>
          </w:p>
        </w:tc>
        <w:tc>
          <w:tcPr>
            <w:tcW w:w="281" w:type="pct"/>
            <w:tcBorders>
              <w:top w:val="single" w:sz="4" w:space="0" w:color="auto"/>
              <w:left w:val="nil"/>
              <w:right w:val="nil"/>
            </w:tcBorders>
          </w:tcPr>
          <w:p w14:paraId="7A539181" w14:textId="77777777" w:rsidR="00794AFD" w:rsidRPr="00FC3D06" w:rsidRDefault="00794AFD" w:rsidP="00794AFD">
            <w:pPr>
              <w:jc w:val="right"/>
              <w:rPr>
                <w:rFonts w:asciiTheme="minorHAnsi" w:hAnsiTheme="minorHAnsi" w:cs="Times New Roman"/>
                <w:sz w:val="16"/>
                <w:szCs w:val="16"/>
              </w:rPr>
            </w:pPr>
          </w:p>
          <w:p w14:paraId="730202F6"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15.4</w:t>
            </w:r>
          </w:p>
        </w:tc>
        <w:tc>
          <w:tcPr>
            <w:tcW w:w="352" w:type="pct"/>
            <w:gridSpan w:val="2"/>
            <w:tcBorders>
              <w:top w:val="single" w:sz="4" w:space="0" w:color="auto"/>
              <w:left w:val="nil"/>
              <w:right w:val="nil"/>
            </w:tcBorders>
          </w:tcPr>
          <w:p w14:paraId="2F38965F" w14:textId="77777777" w:rsidR="00794AFD" w:rsidRPr="00FC3D06" w:rsidRDefault="00794AFD" w:rsidP="00794AFD">
            <w:pPr>
              <w:jc w:val="right"/>
              <w:rPr>
                <w:rFonts w:asciiTheme="minorHAnsi" w:hAnsiTheme="minorHAnsi" w:cs="Times New Roman"/>
                <w:sz w:val="16"/>
                <w:szCs w:val="16"/>
              </w:rPr>
            </w:pPr>
          </w:p>
          <w:p w14:paraId="28ED8FDB"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(40.7)</w:t>
            </w:r>
          </w:p>
        </w:tc>
        <w:tc>
          <w:tcPr>
            <w:tcW w:w="376" w:type="pct"/>
            <w:tcBorders>
              <w:top w:val="single" w:sz="4" w:space="0" w:color="auto"/>
              <w:left w:val="nil"/>
              <w:right w:val="nil"/>
            </w:tcBorders>
          </w:tcPr>
          <w:p w14:paraId="3CB49A21" w14:textId="77777777" w:rsidR="00794AFD" w:rsidRPr="00FC3D06" w:rsidRDefault="00794AFD" w:rsidP="00794AFD">
            <w:pPr>
              <w:jc w:val="right"/>
              <w:rPr>
                <w:rFonts w:asciiTheme="minorHAnsi" w:hAnsiTheme="minorHAnsi" w:cs="Times New Roman"/>
                <w:sz w:val="16"/>
                <w:szCs w:val="16"/>
              </w:rPr>
            </w:pPr>
          </w:p>
          <w:p w14:paraId="7789A818"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(15.6)</w:t>
            </w:r>
          </w:p>
        </w:tc>
        <w:tc>
          <w:tcPr>
            <w:tcW w:w="348" w:type="pct"/>
            <w:tcBorders>
              <w:top w:val="single" w:sz="4" w:space="0" w:color="auto"/>
              <w:left w:val="nil"/>
              <w:right w:val="nil"/>
            </w:tcBorders>
          </w:tcPr>
          <w:p w14:paraId="7702A530" w14:textId="77777777" w:rsidR="00794AFD" w:rsidRPr="00FC3D06" w:rsidRDefault="00794AFD" w:rsidP="00794AFD">
            <w:pPr>
              <w:jc w:val="right"/>
              <w:rPr>
                <w:rFonts w:asciiTheme="minorHAnsi" w:hAnsiTheme="minorHAnsi" w:cs="Times New Roman"/>
                <w:sz w:val="16"/>
                <w:szCs w:val="16"/>
              </w:rPr>
            </w:pPr>
          </w:p>
          <w:p w14:paraId="3B882809"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112.9</w:t>
            </w:r>
          </w:p>
        </w:tc>
        <w:tc>
          <w:tcPr>
            <w:tcW w:w="412" w:type="pct"/>
            <w:tcBorders>
              <w:top w:val="single" w:sz="4" w:space="0" w:color="auto"/>
              <w:left w:val="nil"/>
              <w:right w:val="nil"/>
            </w:tcBorders>
          </w:tcPr>
          <w:p w14:paraId="7174B603" w14:textId="77777777" w:rsidR="00794AFD" w:rsidRPr="00FC3D06" w:rsidRDefault="00794AFD" w:rsidP="00794AFD">
            <w:pPr>
              <w:jc w:val="right"/>
              <w:rPr>
                <w:rFonts w:asciiTheme="minorHAnsi" w:hAnsiTheme="minorHAnsi" w:cs="Times New Roman"/>
                <w:sz w:val="16"/>
                <w:szCs w:val="16"/>
              </w:rPr>
            </w:pPr>
          </w:p>
          <w:p w14:paraId="25777BA4"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3,914.2</w:t>
            </w:r>
          </w:p>
        </w:tc>
        <w:tc>
          <w:tcPr>
            <w:tcW w:w="319" w:type="pct"/>
            <w:tcBorders>
              <w:top w:val="single" w:sz="4" w:space="0" w:color="auto"/>
              <w:left w:val="nil"/>
              <w:right w:val="nil"/>
            </w:tcBorders>
          </w:tcPr>
          <w:p w14:paraId="73CF0171" w14:textId="77777777" w:rsidR="00794AFD" w:rsidRPr="00FC3D06" w:rsidRDefault="00794AFD" w:rsidP="00794AFD">
            <w:pPr>
              <w:jc w:val="right"/>
              <w:rPr>
                <w:rFonts w:asciiTheme="minorHAnsi" w:hAnsiTheme="minorHAnsi" w:cs="Times New Roman"/>
                <w:sz w:val="16"/>
                <w:szCs w:val="16"/>
              </w:rPr>
            </w:pPr>
          </w:p>
          <w:p w14:paraId="67773519"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4,395.4</w:t>
            </w:r>
          </w:p>
        </w:tc>
        <w:tc>
          <w:tcPr>
            <w:tcW w:w="319" w:type="pct"/>
            <w:gridSpan w:val="2"/>
            <w:tcBorders>
              <w:top w:val="single" w:sz="4" w:space="0" w:color="auto"/>
              <w:left w:val="nil"/>
              <w:right w:val="nil"/>
            </w:tcBorders>
          </w:tcPr>
          <w:p w14:paraId="633CF365" w14:textId="77777777" w:rsidR="00794AFD" w:rsidRPr="00FC3D06" w:rsidRDefault="00794AFD" w:rsidP="00794AFD">
            <w:pPr>
              <w:jc w:val="right"/>
              <w:rPr>
                <w:rFonts w:asciiTheme="minorHAnsi" w:hAnsiTheme="minorHAnsi" w:cs="Times New Roman"/>
                <w:sz w:val="16"/>
                <w:szCs w:val="16"/>
              </w:rPr>
            </w:pPr>
          </w:p>
          <w:p w14:paraId="34525870"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16" w:type="pct"/>
            <w:tcBorders>
              <w:top w:val="single" w:sz="4" w:space="0" w:color="auto"/>
              <w:left w:val="nil"/>
              <w:right w:val="nil"/>
            </w:tcBorders>
          </w:tcPr>
          <w:p w14:paraId="561785FF" w14:textId="77777777" w:rsidR="00794AFD" w:rsidRPr="00FC3D06" w:rsidRDefault="00794AFD" w:rsidP="00794AFD">
            <w:pPr>
              <w:jc w:val="right"/>
              <w:rPr>
                <w:rFonts w:asciiTheme="minorHAnsi" w:hAnsiTheme="minorHAnsi" w:cs="Times New Roman"/>
                <w:sz w:val="16"/>
                <w:szCs w:val="16"/>
              </w:rPr>
            </w:pPr>
          </w:p>
          <w:p w14:paraId="5F7C6226"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4,395.4</w:t>
            </w:r>
          </w:p>
        </w:tc>
      </w:tr>
      <w:tr w:rsidR="00794AFD" w:rsidRPr="001C5950" w14:paraId="3EBE83B3" w14:textId="77777777" w:rsidTr="00794AFD">
        <w:trPr>
          <w:gridAfter w:val="1"/>
          <w:wAfter w:w="319" w:type="pct"/>
          <w:trHeight w:val="190"/>
        </w:trPr>
        <w:tc>
          <w:tcPr>
            <w:tcW w:w="943" w:type="pct"/>
            <w:tcBorders>
              <w:left w:val="nil"/>
              <w:right w:val="nil"/>
            </w:tcBorders>
          </w:tcPr>
          <w:p w14:paraId="1EF3E0AE" w14:textId="77777777" w:rsidR="00794AFD" w:rsidRPr="00FC3D06" w:rsidRDefault="00794AFD" w:rsidP="00794AFD">
            <w:pPr>
              <w:ind w:left="-108"/>
              <w:rPr>
                <w:rFonts w:asciiTheme="minorHAnsi" w:hAnsiTheme="minorHAnsi" w:cs="Times New Roman"/>
                <w:sz w:val="16"/>
                <w:szCs w:val="16"/>
              </w:rPr>
            </w:pPr>
            <w:r w:rsidRPr="00FC3D06">
              <w:rPr>
                <w:rFonts w:asciiTheme="minorHAnsi" w:hAnsiTheme="minorHAnsi" w:cs="Times New Roman"/>
                <w:sz w:val="16"/>
                <w:szCs w:val="16"/>
              </w:rPr>
              <w:t>Adoption of IFRS 9</w:t>
            </w:r>
          </w:p>
        </w:tc>
        <w:tc>
          <w:tcPr>
            <w:tcW w:w="388" w:type="pct"/>
            <w:tcBorders>
              <w:left w:val="nil"/>
              <w:bottom w:val="single" w:sz="4" w:space="0" w:color="auto"/>
              <w:right w:val="nil"/>
            </w:tcBorders>
          </w:tcPr>
          <w:p w14:paraId="0CFF44D0"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297" w:type="pct"/>
            <w:tcBorders>
              <w:left w:val="nil"/>
              <w:bottom w:val="single" w:sz="4" w:space="0" w:color="auto"/>
              <w:right w:val="nil"/>
            </w:tcBorders>
          </w:tcPr>
          <w:p w14:paraId="37FF8B9F"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30" w:type="pct"/>
            <w:tcBorders>
              <w:left w:val="nil"/>
              <w:bottom w:val="single" w:sz="4" w:space="0" w:color="auto"/>
              <w:right w:val="nil"/>
            </w:tcBorders>
          </w:tcPr>
          <w:p w14:paraId="619C251B"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281" w:type="pct"/>
            <w:tcBorders>
              <w:left w:val="nil"/>
              <w:bottom w:val="single" w:sz="4" w:space="0" w:color="auto"/>
              <w:right w:val="nil"/>
            </w:tcBorders>
          </w:tcPr>
          <w:p w14:paraId="3E486E8D"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(13.7)</w:t>
            </w:r>
          </w:p>
        </w:tc>
        <w:tc>
          <w:tcPr>
            <w:tcW w:w="352" w:type="pct"/>
            <w:gridSpan w:val="2"/>
            <w:tcBorders>
              <w:left w:val="nil"/>
              <w:bottom w:val="single" w:sz="4" w:space="0" w:color="auto"/>
              <w:right w:val="nil"/>
            </w:tcBorders>
          </w:tcPr>
          <w:p w14:paraId="7BC5E6B8"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76" w:type="pct"/>
            <w:tcBorders>
              <w:left w:val="nil"/>
              <w:bottom w:val="single" w:sz="4" w:space="0" w:color="auto"/>
              <w:right w:val="nil"/>
            </w:tcBorders>
          </w:tcPr>
          <w:p w14:paraId="72311654"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8" w:type="pct"/>
            <w:tcBorders>
              <w:left w:val="nil"/>
              <w:bottom w:val="single" w:sz="4" w:space="0" w:color="auto"/>
              <w:right w:val="nil"/>
            </w:tcBorders>
          </w:tcPr>
          <w:p w14:paraId="60328D86"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412" w:type="pct"/>
            <w:tcBorders>
              <w:left w:val="nil"/>
              <w:bottom w:val="single" w:sz="4" w:space="0" w:color="auto"/>
              <w:right w:val="nil"/>
            </w:tcBorders>
          </w:tcPr>
          <w:p w14:paraId="0E6C3502"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13.7</w:t>
            </w:r>
          </w:p>
        </w:tc>
        <w:tc>
          <w:tcPr>
            <w:tcW w:w="319" w:type="pct"/>
            <w:tcBorders>
              <w:left w:val="nil"/>
              <w:bottom w:val="single" w:sz="4" w:space="0" w:color="auto"/>
              <w:right w:val="nil"/>
            </w:tcBorders>
          </w:tcPr>
          <w:p w14:paraId="683A53B5"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19" w:type="pct"/>
            <w:gridSpan w:val="2"/>
            <w:tcBorders>
              <w:left w:val="nil"/>
              <w:bottom w:val="single" w:sz="4" w:space="0" w:color="auto"/>
              <w:right w:val="nil"/>
            </w:tcBorders>
          </w:tcPr>
          <w:p w14:paraId="20AA399F"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16" w:type="pct"/>
            <w:tcBorders>
              <w:left w:val="nil"/>
              <w:bottom w:val="single" w:sz="4" w:space="0" w:color="auto"/>
              <w:right w:val="nil"/>
            </w:tcBorders>
          </w:tcPr>
          <w:p w14:paraId="3D714DB2"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r>
      <w:tr w:rsidR="00794AFD" w:rsidRPr="001C5950" w14:paraId="4B112F06" w14:textId="77777777" w:rsidTr="00794AFD">
        <w:trPr>
          <w:gridAfter w:val="1"/>
          <w:wAfter w:w="319" w:type="pct"/>
          <w:trHeight w:val="289"/>
        </w:trPr>
        <w:tc>
          <w:tcPr>
            <w:tcW w:w="943" w:type="pct"/>
            <w:tcBorders>
              <w:left w:val="nil"/>
              <w:right w:val="nil"/>
            </w:tcBorders>
          </w:tcPr>
          <w:p w14:paraId="2DCF424B" w14:textId="77777777" w:rsidR="00794AFD" w:rsidRPr="00FC3D06" w:rsidRDefault="00794AFD" w:rsidP="00794AFD">
            <w:pPr>
              <w:ind w:left="-108"/>
              <w:rPr>
                <w:rFonts w:asciiTheme="minorHAnsi" w:hAnsiTheme="minorHAnsi" w:cs="Times New Roman"/>
                <w:sz w:val="16"/>
                <w:szCs w:val="16"/>
              </w:rPr>
            </w:pPr>
            <w:r w:rsidRPr="00FC3D06">
              <w:rPr>
                <w:rFonts w:asciiTheme="minorHAnsi" w:hAnsiTheme="minorHAnsi" w:cs="Times New Roman"/>
                <w:sz w:val="16"/>
                <w:szCs w:val="16"/>
              </w:rPr>
              <w:t>Opening balance as restated</w:t>
            </w:r>
          </w:p>
        </w:tc>
        <w:tc>
          <w:tcPr>
            <w:tcW w:w="388" w:type="pct"/>
            <w:tcBorders>
              <w:top w:val="single" w:sz="4" w:space="0" w:color="auto"/>
              <w:left w:val="nil"/>
              <w:bottom w:val="single" w:sz="4" w:space="0" w:color="auto"/>
              <w:right w:val="nil"/>
            </w:tcBorders>
          </w:tcPr>
          <w:p w14:paraId="032F100A"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i/>
                <w:sz w:val="16"/>
                <w:szCs w:val="16"/>
              </w:rPr>
              <w:t>86.5</w:t>
            </w:r>
          </w:p>
        </w:tc>
        <w:tc>
          <w:tcPr>
            <w:tcW w:w="297" w:type="pct"/>
            <w:tcBorders>
              <w:top w:val="single" w:sz="4" w:space="0" w:color="auto"/>
              <w:left w:val="nil"/>
              <w:bottom w:val="single" w:sz="4" w:space="0" w:color="auto"/>
              <w:right w:val="nil"/>
            </w:tcBorders>
          </w:tcPr>
          <w:p w14:paraId="3F870C7A"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423.0</w:t>
            </w:r>
          </w:p>
        </w:tc>
        <w:tc>
          <w:tcPr>
            <w:tcW w:w="330" w:type="pct"/>
            <w:tcBorders>
              <w:top w:val="single" w:sz="4" w:space="0" w:color="auto"/>
              <w:left w:val="nil"/>
              <w:bottom w:val="single" w:sz="4" w:space="0" w:color="auto"/>
              <w:right w:val="nil"/>
            </w:tcBorders>
          </w:tcPr>
          <w:p w14:paraId="3AF66AAE"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(13.8)</w:t>
            </w:r>
          </w:p>
        </w:tc>
        <w:tc>
          <w:tcPr>
            <w:tcW w:w="281" w:type="pct"/>
            <w:tcBorders>
              <w:top w:val="single" w:sz="4" w:space="0" w:color="auto"/>
              <w:left w:val="nil"/>
              <w:bottom w:val="single" w:sz="4" w:space="0" w:color="auto"/>
              <w:right w:val="nil"/>
            </w:tcBorders>
          </w:tcPr>
          <w:p w14:paraId="1A677532"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1.7</w:t>
            </w:r>
          </w:p>
        </w:tc>
        <w:tc>
          <w:tcPr>
            <w:tcW w:w="352" w:type="pct"/>
            <w:gridSpan w:val="2"/>
            <w:tcBorders>
              <w:top w:val="single" w:sz="4" w:space="0" w:color="auto"/>
              <w:left w:val="nil"/>
              <w:bottom w:val="single" w:sz="4" w:space="0" w:color="auto"/>
              <w:right w:val="nil"/>
            </w:tcBorders>
          </w:tcPr>
          <w:p w14:paraId="0E07CCCB"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(40.7)</w:t>
            </w:r>
          </w:p>
        </w:tc>
        <w:tc>
          <w:tcPr>
            <w:tcW w:w="376" w:type="pct"/>
            <w:tcBorders>
              <w:top w:val="single" w:sz="4" w:space="0" w:color="auto"/>
              <w:left w:val="nil"/>
              <w:bottom w:val="single" w:sz="4" w:space="0" w:color="auto"/>
              <w:right w:val="nil"/>
            </w:tcBorders>
          </w:tcPr>
          <w:p w14:paraId="5C48421D"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(15.6)</w:t>
            </w:r>
          </w:p>
        </w:tc>
        <w:tc>
          <w:tcPr>
            <w:tcW w:w="348" w:type="pct"/>
            <w:tcBorders>
              <w:top w:val="single" w:sz="4" w:space="0" w:color="auto"/>
              <w:left w:val="nil"/>
              <w:bottom w:val="single" w:sz="4" w:space="0" w:color="auto"/>
              <w:right w:val="nil"/>
            </w:tcBorders>
          </w:tcPr>
          <w:p w14:paraId="5B1D3F7B"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112.9</w:t>
            </w:r>
          </w:p>
        </w:tc>
        <w:tc>
          <w:tcPr>
            <w:tcW w:w="412" w:type="pct"/>
            <w:tcBorders>
              <w:top w:val="single" w:sz="4" w:space="0" w:color="auto"/>
              <w:left w:val="nil"/>
              <w:bottom w:val="single" w:sz="4" w:space="0" w:color="auto"/>
              <w:right w:val="nil"/>
            </w:tcBorders>
          </w:tcPr>
          <w:p w14:paraId="0C192F92"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3,927.9</w:t>
            </w:r>
          </w:p>
        </w:tc>
        <w:tc>
          <w:tcPr>
            <w:tcW w:w="319" w:type="pct"/>
            <w:tcBorders>
              <w:top w:val="single" w:sz="4" w:space="0" w:color="auto"/>
              <w:left w:val="nil"/>
              <w:bottom w:val="single" w:sz="4" w:space="0" w:color="auto"/>
              <w:right w:val="nil"/>
            </w:tcBorders>
          </w:tcPr>
          <w:p w14:paraId="3D42BE5E"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4,395.4</w:t>
            </w:r>
          </w:p>
        </w:tc>
        <w:tc>
          <w:tcPr>
            <w:tcW w:w="319" w:type="pct"/>
            <w:gridSpan w:val="2"/>
            <w:tcBorders>
              <w:top w:val="single" w:sz="4" w:space="0" w:color="auto"/>
              <w:left w:val="nil"/>
              <w:bottom w:val="single" w:sz="4" w:space="0" w:color="auto"/>
              <w:right w:val="nil"/>
            </w:tcBorders>
          </w:tcPr>
          <w:p w14:paraId="448DFD2E"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16" w:type="pct"/>
            <w:tcBorders>
              <w:top w:val="single" w:sz="4" w:space="0" w:color="auto"/>
              <w:left w:val="nil"/>
              <w:bottom w:val="single" w:sz="4" w:space="0" w:color="auto"/>
              <w:right w:val="nil"/>
            </w:tcBorders>
          </w:tcPr>
          <w:p w14:paraId="1636B02B"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4,395.4</w:t>
            </w:r>
          </w:p>
        </w:tc>
      </w:tr>
      <w:tr w:rsidR="00794AFD" w:rsidRPr="001C5950" w14:paraId="21880839" w14:textId="77777777" w:rsidTr="00794AFD">
        <w:trPr>
          <w:gridAfter w:val="1"/>
          <w:wAfter w:w="319" w:type="pct"/>
          <w:trHeight w:val="301"/>
        </w:trPr>
        <w:tc>
          <w:tcPr>
            <w:tcW w:w="1331" w:type="pct"/>
            <w:gridSpan w:val="2"/>
            <w:tcBorders>
              <w:top w:val="nil"/>
              <w:left w:val="nil"/>
              <w:bottom w:val="nil"/>
              <w:right w:val="nil"/>
            </w:tcBorders>
          </w:tcPr>
          <w:p w14:paraId="6D45C501" w14:textId="77777777" w:rsidR="00794AFD" w:rsidRPr="005C690B" w:rsidRDefault="00794AFD" w:rsidP="00794AFD">
            <w:pPr>
              <w:ind w:left="-108"/>
              <w:rPr>
                <w:rFonts w:asciiTheme="minorHAnsi" w:hAnsiTheme="minorHAnsi" w:cs="Times New Roman"/>
                <w:b/>
                <w:i/>
                <w:sz w:val="16"/>
                <w:szCs w:val="16"/>
              </w:rPr>
            </w:pPr>
            <w:r w:rsidRPr="005C690B">
              <w:rPr>
                <w:rFonts w:asciiTheme="minorHAnsi" w:hAnsiTheme="minorHAnsi" w:cs="Times New Roman"/>
                <w:b/>
                <w:sz w:val="16"/>
                <w:szCs w:val="16"/>
              </w:rPr>
              <w:t>Total comprehensive income for the year</w:t>
            </w:r>
          </w:p>
        </w:tc>
        <w:tc>
          <w:tcPr>
            <w:tcW w:w="297" w:type="pct"/>
            <w:tcBorders>
              <w:top w:val="nil"/>
              <w:left w:val="nil"/>
              <w:bottom w:val="nil"/>
              <w:right w:val="nil"/>
            </w:tcBorders>
          </w:tcPr>
          <w:p w14:paraId="28A3B0AD" w14:textId="77777777" w:rsidR="00794AFD" w:rsidRPr="00FC3D06" w:rsidRDefault="00794AFD" w:rsidP="00794AFD">
            <w:pPr>
              <w:jc w:val="right"/>
              <w:rPr>
                <w:rFonts w:asciiTheme="minorHAnsi" w:hAnsiTheme="minorHAnsi" w:cs="Times New Roman"/>
                <w:sz w:val="16"/>
                <w:szCs w:val="16"/>
              </w:rPr>
            </w:pPr>
          </w:p>
        </w:tc>
        <w:tc>
          <w:tcPr>
            <w:tcW w:w="330" w:type="pct"/>
            <w:tcBorders>
              <w:top w:val="nil"/>
              <w:left w:val="nil"/>
              <w:bottom w:val="nil"/>
              <w:right w:val="nil"/>
            </w:tcBorders>
          </w:tcPr>
          <w:p w14:paraId="2ABD9352" w14:textId="77777777" w:rsidR="00794AFD" w:rsidRPr="00FC3D06" w:rsidRDefault="00794AFD" w:rsidP="00794AFD">
            <w:pPr>
              <w:jc w:val="right"/>
              <w:rPr>
                <w:rFonts w:asciiTheme="minorHAnsi" w:hAnsiTheme="minorHAnsi" w:cs="Times New Roman"/>
                <w:sz w:val="16"/>
                <w:szCs w:val="16"/>
              </w:rPr>
            </w:pPr>
          </w:p>
        </w:tc>
        <w:tc>
          <w:tcPr>
            <w:tcW w:w="281" w:type="pct"/>
            <w:tcBorders>
              <w:top w:val="nil"/>
              <w:left w:val="nil"/>
              <w:bottom w:val="nil"/>
              <w:right w:val="nil"/>
            </w:tcBorders>
          </w:tcPr>
          <w:p w14:paraId="45C98CA7" w14:textId="77777777" w:rsidR="00794AFD" w:rsidRPr="00FC3D06" w:rsidRDefault="00794AFD" w:rsidP="00794AFD">
            <w:pPr>
              <w:jc w:val="right"/>
              <w:rPr>
                <w:rFonts w:asciiTheme="minorHAnsi" w:hAnsiTheme="minorHAnsi" w:cs="Times New Roman"/>
                <w:sz w:val="16"/>
                <w:szCs w:val="16"/>
              </w:rPr>
            </w:pPr>
          </w:p>
        </w:tc>
        <w:tc>
          <w:tcPr>
            <w:tcW w:w="352" w:type="pct"/>
            <w:gridSpan w:val="2"/>
            <w:tcBorders>
              <w:top w:val="nil"/>
              <w:left w:val="nil"/>
              <w:bottom w:val="nil"/>
              <w:right w:val="nil"/>
            </w:tcBorders>
          </w:tcPr>
          <w:p w14:paraId="6025B0AB" w14:textId="77777777" w:rsidR="00794AFD" w:rsidRPr="00FC3D06" w:rsidRDefault="00794AFD" w:rsidP="00794AFD">
            <w:pPr>
              <w:jc w:val="right"/>
              <w:rPr>
                <w:rFonts w:asciiTheme="minorHAnsi" w:hAnsiTheme="minorHAnsi" w:cs="Times New Roman"/>
                <w:sz w:val="16"/>
                <w:szCs w:val="16"/>
              </w:rPr>
            </w:pPr>
          </w:p>
        </w:tc>
        <w:tc>
          <w:tcPr>
            <w:tcW w:w="376" w:type="pct"/>
            <w:tcBorders>
              <w:top w:val="nil"/>
              <w:left w:val="nil"/>
              <w:bottom w:val="nil"/>
              <w:right w:val="nil"/>
            </w:tcBorders>
          </w:tcPr>
          <w:p w14:paraId="20F76D56" w14:textId="77777777" w:rsidR="00794AFD" w:rsidRPr="00FC3D06" w:rsidRDefault="00794AFD" w:rsidP="00794AFD">
            <w:pPr>
              <w:jc w:val="right"/>
              <w:rPr>
                <w:rFonts w:asciiTheme="minorHAnsi" w:hAnsiTheme="minorHAnsi" w:cs="Times New Roman"/>
                <w:sz w:val="16"/>
                <w:szCs w:val="16"/>
              </w:rPr>
            </w:pPr>
          </w:p>
        </w:tc>
        <w:tc>
          <w:tcPr>
            <w:tcW w:w="348" w:type="pct"/>
            <w:tcBorders>
              <w:top w:val="nil"/>
              <w:left w:val="nil"/>
              <w:bottom w:val="nil"/>
              <w:right w:val="nil"/>
            </w:tcBorders>
          </w:tcPr>
          <w:p w14:paraId="4F2A2E38" w14:textId="77777777" w:rsidR="00794AFD" w:rsidRPr="00FC3D06" w:rsidRDefault="00794AFD" w:rsidP="00794AFD">
            <w:pPr>
              <w:jc w:val="right"/>
              <w:rPr>
                <w:rFonts w:asciiTheme="minorHAnsi" w:hAnsiTheme="minorHAnsi" w:cs="Times New Roman"/>
                <w:sz w:val="16"/>
                <w:szCs w:val="16"/>
              </w:rPr>
            </w:pPr>
          </w:p>
        </w:tc>
        <w:tc>
          <w:tcPr>
            <w:tcW w:w="412" w:type="pct"/>
            <w:tcBorders>
              <w:top w:val="nil"/>
              <w:left w:val="nil"/>
              <w:bottom w:val="nil"/>
              <w:right w:val="nil"/>
            </w:tcBorders>
          </w:tcPr>
          <w:p w14:paraId="203BFA1B" w14:textId="77777777" w:rsidR="00794AFD" w:rsidRPr="00FC3D06" w:rsidRDefault="00794AFD" w:rsidP="00794AFD">
            <w:pPr>
              <w:jc w:val="right"/>
              <w:rPr>
                <w:rFonts w:asciiTheme="minorHAnsi" w:hAnsiTheme="minorHAnsi" w:cs="Times New Roman"/>
                <w:sz w:val="16"/>
                <w:szCs w:val="16"/>
              </w:rPr>
            </w:pPr>
          </w:p>
        </w:tc>
        <w:tc>
          <w:tcPr>
            <w:tcW w:w="319" w:type="pct"/>
            <w:tcBorders>
              <w:top w:val="nil"/>
              <w:left w:val="nil"/>
              <w:bottom w:val="nil"/>
              <w:right w:val="nil"/>
            </w:tcBorders>
          </w:tcPr>
          <w:p w14:paraId="37F69688" w14:textId="77777777" w:rsidR="00794AFD" w:rsidRPr="00FC3D06" w:rsidRDefault="00794AFD" w:rsidP="00794AFD">
            <w:pPr>
              <w:jc w:val="right"/>
              <w:rPr>
                <w:rFonts w:asciiTheme="minorHAnsi" w:hAnsiTheme="minorHAnsi" w:cs="Times New Roman"/>
                <w:sz w:val="16"/>
                <w:szCs w:val="16"/>
              </w:rPr>
            </w:pPr>
          </w:p>
        </w:tc>
        <w:tc>
          <w:tcPr>
            <w:tcW w:w="319" w:type="pct"/>
            <w:gridSpan w:val="2"/>
            <w:tcBorders>
              <w:top w:val="nil"/>
              <w:left w:val="nil"/>
              <w:bottom w:val="nil"/>
              <w:right w:val="nil"/>
            </w:tcBorders>
          </w:tcPr>
          <w:p w14:paraId="09F9A624" w14:textId="77777777" w:rsidR="00794AFD" w:rsidRPr="00FC3D06" w:rsidRDefault="00794AFD" w:rsidP="00794AFD">
            <w:pPr>
              <w:jc w:val="right"/>
              <w:rPr>
                <w:rFonts w:asciiTheme="minorHAnsi" w:hAnsiTheme="minorHAnsi" w:cs="Times New Roman"/>
                <w:sz w:val="16"/>
                <w:szCs w:val="16"/>
              </w:rPr>
            </w:pPr>
          </w:p>
        </w:tc>
        <w:tc>
          <w:tcPr>
            <w:tcW w:w="316" w:type="pct"/>
            <w:tcBorders>
              <w:top w:val="nil"/>
              <w:left w:val="nil"/>
              <w:bottom w:val="nil"/>
              <w:right w:val="nil"/>
            </w:tcBorders>
          </w:tcPr>
          <w:p w14:paraId="49677889" w14:textId="77777777" w:rsidR="00794AFD" w:rsidRPr="00FC3D06" w:rsidRDefault="00794AFD" w:rsidP="00794AFD">
            <w:pPr>
              <w:jc w:val="right"/>
              <w:rPr>
                <w:rFonts w:asciiTheme="minorHAnsi" w:hAnsiTheme="minorHAnsi" w:cs="Times New Roman"/>
                <w:sz w:val="16"/>
                <w:szCs w:val="16"/>
              </w:rPr>
            </w:pPr>
          </w:p>
        </w:tc>
      </w:tr>
      <w:tr w:rsidR="00794AFD" w:rsidRPr="001C5950" w14:paraId="770FAC6A" w14:textId="77777777" w:rsidTr="00794AFD">
        <w:trPr>
          <w:gridAfter w:val="1"/>
          <w:wAfter w:w="319" w:type="pct"/>
          <w:trHeight w:val="162"/>
        </w:trPr>
        <w:tc>
          <w:tcPr>
            <w:tcW w:w="943" w:type="pct"/>
            <w:tcBorders>
              <w:top w:val="nil"/>
              <w:left w:val="nil"/>
              <w:bottom w:val="nil"/>
              <w:right w:val="nil"/>
            </w:tcBorders>
          </w:tcPr>
          <w:p w14:paraId="7AB02E1F" w14:textId="77777777" w:rsidR="00794AFD" w:rsidRPr="001C5950" w:rsidRDefault="00794AFD" w:rsidP="00794AFD">
            <w:pPr>
              <w:ind w:left="-108"/>
              <w:rPr>
                <w:rFonts w:asciiTheme="minorHAnsi" w:hAnsiTheme="minorHAnsi" w:cs="Times New Roman"/>
                <w:sz w:val="16"/>
                <w:szCs w:val="16"/>
              </w:rPr>
            </w:pPr>
            <w:r w:rsidRPr="001C5950">
              <w:rPr>
                <w:rFonts w:asciiTheme="minorHAnsi" w:hAnsiTheme="minorHAnsi" w:cs="Times New Roman"/>
                <w:sz w:val="16"/>
                <w:szCs w:val="16"/>
              </w:rPr>
              <w:t>Profit for the year</w:t>
            </w:r>
          </w:p>
        </w:tc>
        <w:tc>
          <w:tcPr>
            <w:tcW w:w="388" w:type="pct"/>
            <w:tcBorders>
              <w:top w:val="nil"/>
              <w:left w:val="nil"/>
              <w:bottom w:val="nil"/>
              <w:right w:val="nil"/>
            </w:tcBorders>
          </w:tcPr>
          <w:p w14:paraId="53E65D09" w14:textId="77777777" w:rsidR="00794AFD" w:rsidRPr="00FC3D06" w:rsidRDefault="00794AFD" w:rsidP="00794AFD">
            <w:pPr>
              <w:jc w:val="right"/>
              <w:rPr>
                <w:rFonts w:asciiTheme="minorHAnsi" w:hAnsiTheme="minorHAnsi" w:cs="Times New Roman"/>
                <w:i/>
                <w:sz w:val="16"/>
                <w:szCs w:val="16"/>
              </w:rPr>
            </w:pPr>
            <w:r w:rsidRPr="00FC3D06">
              <w:rPr>
                <w:rFonts w:asciiTheme="minorHAnsi" w:hAnsiTheme="minorHAnsi" w:cs="Times New Roman"/>
                <w:i/>
                <w:sz w:val="16"/>
                <w:szCs w:val="16"/>
              </w:rPr>
              <w:t>-</w:t>
            </w:r>
          </w:p>
        </w:tc>
        <w:tc>
          <w:tcPr>
            <w:tcW w:w="297" w:type="pct"/>
            <w:tcBorders>
              <w:top w:val="nil"/>
              <w:left w:val="nil"/>
              <w:bottom w:val="nil"/>
              <w:right w:val="nil"/>
            </w:tcBorders>
          </w:tcPr>
          <w:p w14:paraId="478C1330"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30" w:type="pct"/>
            <w:tcBorders>
              <w:top w:val="nil"/>
              <w:left w:val="nil"/>
              <w:bottom w:val="nil"/>
              <w:right w:val="nil"/>
            </w:tcBorders>
          </w:tcPr>
          <w:p w14:paraId="63C8E802"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281" w:type="pct"/>
            <w:tcBorders>
              <w:top w:val="nil"/>
              <w:left w:val="nil"/>
              <w:bottom w:val="nil"/>
              <w:right w:val="nil"/>
            </w:tcBorders>
          </w:tcPr>
          <w:p w14:paraId="2D79912F"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52" w:type="pct"/>
            <w:gridSpan w:val="2"/>
            <w:tcBorders>
              <w:top w:val="nil"/>
              <w:left w:val="nil"/>
              <w:bottom w:val="nil"/>
              <w:right w:val="nil"/>
            </w:tcBorders>
          </w:tcPr>
          <w:p w14:paraId="2BC3869A"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76" w:type="pct"/>
            <w:tcBorders>
              <w:top w:val="nil"/>
              <w:left w:val="nil"/>
              <w:bottom w:val="nil"/>
              <w:right w:val="nil"/>
            </w:tcBorders>
          </w:tcPr>
          <w:p w14:paraId="070F8336"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8" w:type="pct"/>
            <w:tcBorders>
              <w:top w:val="nil"/>
              <w:left w:val="nil"/>
              <w:bottom w:val="nil"/>
              <w:right w:val="nil"/>
            </w:tcBorders>
          </w:tcPr>
          <w:p w14:paraId="79296A1B"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412" w:type="pct"/>
            <w:tcBorders>
              <w:top w:val="nil"/>
              <w:left w:val="nil"/>
              <w:bottom w:val="nil"/>
              <w:right w:val="nil"/>
            </w:tcBorders>
          </w:tcPr>
          <w:p w14:paraId="44D8968E"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201.4</w:t>
            </w:r>
          </w:p>
        </w:tc>
        <w:tc>
          <w:tcPr>
            <w:tcW w:w="319" w:type="pct"/>
            <w:tcBorders>
              <w:top w:val="nil"/>
              <w:left w:val="nil"/>
              <w:bottom w:val="nil"/>
              <w:right w:val="nil"/>
            </w:tcBorders>
          </w:tcPr>
          <w:p w14:paraId="44148C18"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201.4</w:t>
            </w:r>
          </w:p>
        </w:tc>
        <w:tc>
          <w:tcPr>
            <w:tcW w:w="319" w:type="pct"/>
            <w:gridSpan w:val="2"/>
            <w:tcBorders>
              <w:top w:val="nil"/>
              <w:left w:val="nil"/>
              <w:bottom w:val="nil"/>
              <w:right w:val="nil"/>
            </w:tcBorders>
          </w:tcPr>
          <w:p w14:paraId="634F4BA2"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(20.7)</w:t>
            </w:r>
          </w:p>
        </w:tc>
        <w:tc>
          <w:tcPr>
            <w:tcW w:w="316" w:type="pct"/>
            <w:tcBorders>
              <w:top w:val="nil"/>
              <w:left w:val="nil"/>
              <w:bottom w:val="nil"/>
              <w:right w:val="nil"/>
            </w:tcBorders>
          </w:tcPr>
          <w:p w14:paraId="74157AA9"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180.7</w:t>
            </w:r>
          </w:p>
        </w:tc>
      </w:tr>
      <w:tr w:rsidR="00794AFD" w:rsidRPr="001C5950" w14:paraId="0098A9EC" w14:textId="77777777" w:rsidTr="00794AFD">
        <w:trPr>
          <w:gridAfter w:val="1"/>
          <w:wAfter w:w="319" w:type="pct"/>
          <w:trHeight w:val="162"/>
        </w:trPr>
        <w:tc>
          <w:tcPr>
            <w:tcW w:w="943" w:type="pct"/>
            <w:tcBorders>
              <w:top w:val="nil"/>
              <w:left w:val="nil"/>
              <w:bottom w:val="nil"/>
              <w:right w:val="nil"/>
            </w:tcBorders>
          </w:tcPr>
          <w:p w14:paraId="2F5644A3" w14:textId="77777777" w:rsidR="00794AFD" w:rsidRPr="001C5950" w:rsidRDefault="00794AFD" w:rsidP="00794AFD">
            <w:pPr>
              <w:ind w:left="-108"/>
              <w:rPr>
                <w:rFonts w:asciiTheme="minorHAnsi" w:hAnsiTheme="minorHAnsi" w:cs="Times New Roman"/>
                <w:sz w:val="16"/>
                <w:szCs w:val="16"/>
              </w:rPr>
            </w:pPr>
            <w:r w:rsidRPr="001C5950">
              <w:rPr>
                <w:rFonts w:asciiTheme="minorHAnsi" w:hAnsiTheme="minorHAnsi" w:cs="Times New Roman"/>
                <w:sz w:val="16"/>
                <w:szCs w:val="16"/>
              </w:rPr>
              <w:t xml:space="preserve">Foreign exchange translation </w:t>
            </w:r>
          </w:p>
        </w:tc>
        <w:tc>
          <w:tcPr>
            <w:tcW w:w="388" w:type="pct"/>
            <w:tcBorders>
              <w:top w:val="nil"/>
              <w:left w:val="nil"/>
              <w:bottom w:val="nil"/>
              <w:right w:val="nil"/>
            </w:tcBorders>
            <w:shd w:val="clear" w:color="auto" w:fill="auto"/>
          </w:tcPr>
          <w:p w14:paraId="1B93EADF" w14:textId="77777777" w:rsidR="00794AFD" w:rsidRPr="00FC3D06" w:rsidRDefault="00794AFD" w:rsidP="00794AFD">
            <w:pPr>
              <w:jc w:val="right"/>
              <w:rPr>
                <w:rFonts w:asciiTheme="minorHAnsi" w:hAnsiTheme="minorHAnsi" w:cs="Times New Roman"/>
                <w:i/>
                <w:sz w:val="16"/>
                <w:szCs w:val="16"/>
              </w:rPr>
            </w:pPr>
            <w:r w:rsidRPr="00FC3D06">
              <w:rPr>
                <w:rFonts w:asciiTheme="minorHAnsi" w:hAnsiTheme="minorHAnsi" w:cs="Times New Roman"/>
                <w:i/>
                <w:sz w:val="16"/>
                <w:szCs w:val="16"/>
              </w:rPr>
              <w:t>-</w:t>
            </w:r>
          </w:p>
        </w:tc>
        <w:tc>
          <w:tcPr>
            <w:tcW w:w="297" w:type="pct"/>
            <w:tcBorders>
              <w:top w:val="nil"/>
              <w:left w:val="nil"/>
              <w:bottom w:val="nil"/>
              <w:right w:val="nil"/>
            </w:tcBorders>
            <w:shd w:val="clear" w:color="auto" w:fill="auto"/>
          </w:tcPr>
          <w:p w14:paraId="14A635B2"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30" w:type="pct"/>
            <w:tcBorders>
              <w:top w:val="nil"/>
              <w:left w:val="nil"/>
              <w:bottom w:val="nil"/>
              <w:right w:val="nil"/>
            </w:tcBorders>
            <w:shd w:val="clear" w:color="auto" w:fill="auto"/>
          </w:tcPr>
          <w:p w14:paraId="4766A87C"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17.9</w:t>
            </w:r>
          </w:p>
        </w:tc>
        <w:tc>
          <w:tcPr>
            <w:tcW w:w="281" w:type="pct"/>
            <w:tcBorders>
              <w:top w:val="nil"/>
              <w:left w:val="nil"/>
              <w:bottom w:val="nil"/>
              <w:right w:val="nil"/>
            </w:tcBorders>
            <w:shd w:val="clear" w:color="auto" w:fill="auto"/>
          </w:tcPr>
          <w:p w14:paraId="485A6713"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52" w:type="pct"/>
            <w:gridSpan w:val="2"/>
            <w:tcBorders>
              <w:top w:val="nil"/>
              <w:left w:val="nil"/>
              <w:bottom w:val="nil"/>
              <w:right w:val="nil"/>
            </w:tcBorders>
            <w:shd w:val="clear" w:color="auto" w:fill="auto"/>
          </w:tcPr>
          <w:p w14:paraId="4F312F6D"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76" w:type="pct"/>
            <w:tcBorders>
              <w:top w:val="nil"/>
              <w:left w:val="nil"/>
              <w:bottom w:val="nil"/>
              <w:right w:val="nil"/>
            </w:tcBorders>
            <w:shd w:val="clear" w:color="auto" w:fill="auto"/>
          </w:tcPr>
          <w:p w14:paraId="2CF5352D"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8" w:type="pct"/>
            <w:tcBorders>
              <w:top w:val="nil"/>
              <w:left w:val="nil"/>
              <w:bottom w:val="nil"/>
              <w:right w:val="nil"/>
            </w:tcBorders>
            <w:shd w:val="clear" w:color="auto" w:fill="auto"/>
          </w:tcPr>
          <w:p w14:paraId="5605CB40"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412" w:type="pct"/>
            <w:tcBorders>
              <w:top w:val="nil"/>
              <w:left w:val="nil"/>
              <w:bottom w:val="nil"/>
              <w:right w:val="nil"/>
            </w:tcBorders>
            <w:shd w:val="clear" w:color="auto" w:fill="auto"/>
          </w:tcPr>
          <w:p w14:paraId="3753302A"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19" w:type="pct"/>
            <w:tcBorders>
              <w:top w:val="nil"/>
              <w:left w:val="nil"/>
              <w:bottom w:val="nil"/>
              <w:right w:val="nil"/>
            </w:tcBorders>
            <w:shd w:val="clear" w:color="auto" w:fill="auto"/>
          </w:tcPr>
          <w:p w14:paraId="0D6B93E7"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17.9</w:t>
            </w:r>
          </w:p>
        </w:tc>
        <w:tc>
          <w:tcPr>
            <w:tcW w:w="319" w:type="pct"/>
            <w:gridSpan w:val="2"/>
            <w:tcBorders>
              <w:top w:val="nil"/>
              <w:left w:val="nil"/>
              <w:bottom w:val="nil"/>
              <w:right w:val="nil"/>
            </w:tcBorders>
          </w:tcPr>
          <w:p w14:paraId="7315B3D2"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8.2</w:t>
            </w:r>
          </w:p>
        </w:tc>
        <w:tc>
          <w:tcPr>
            <w:tcW w:w="316" w:type="pct"/>
            <w:tcBorders>
              <w:top w:val="nil"/>
              <w:left w:val="nil"/>
              <w:bottom w:val="nil"/>
              <w:right w:val="nil"/>
            </w:tcBorders>
          </w:tcPr>
          <w:p w14:paraId="22A07441"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26.1</w:t>
            </w:r>
          </w:p>
        </w:tc>
      </w:tr>
      <w:tr w:rsidR="00794AFD" w:rsidRPr="001C5950" w14:paraId="6D5AC1EC" w14:textId="77777777" w:rsidTr="00794AFD">
        <w:trPr>
          <w:gridAfter w:val="1"/>
          <w:wAfter w:w="319" w:type="pct"/>
          <w:trHeight w:val="153"/>
        </w:trPr>
        <w:tc>
          <w:tcPr>
            <w:tcW w:w="943" w:type="pct"/>
            <w:tcBorders>
              <w:top w:val="nil"/>
              <w:left w:val="nil"/>
              <w:right w:val="nil"/>
            </w:tcBorders>
          </w:tcPr>
          <w:p w14:paraId="7BBB8112" w14:textId="77777777" w:rsidR="00794AFD" w:rsidRPr="001C5950" w:rsidRDefault="00794AFD" w:rsidP="00794AFD">
            <w:pPr>
              <w:ind w:left="-108"/>
              <w:rPr>
                <w:rFonts w:asciiTheme="minorHAnsi" w:hAnsiTheme="minorHAnsi" w:cs="Times New Roman"/>
                <w:sz w:val="16"/>
                <w:szCs w:val="16"/>
              </w:rPr>
            </w:pPr>
            <w:r w:rsidRPr="001C5950">
              <w:rPr>
                <w:rFonts w:asciiTheme="minorHAnsi" w:hAnsiTheme="minorHAnsi" w:cs="Times New Roman"/>
                <w:sz w:val="16"/>
                <w:szCs w:val="16"/>
              </w:rPr>
              <w:t>Total comprehensive income  / (loss) for the year</w:t>
            </w:r>
          </w:p>
        </w:tc>
        <w:tc>
          <w:tcPr>
            <w:tcW w:w="388" w:type="pct"/>
            <w:tcBorders>
              <w:top w:val="single" w:sz="4" w:space="0" w:color="auto"/>
              <w:left w:val="nil"/>
              <w:bottom w:val="single" w:sz="4" w:space="0" w:color="auto"/>
              <w:right w:val="nil"/>
            </w:tcBorders>
          </w:tcPr>
          <w:p w14:paraId="63539489" w14:textId="77777777" w:rsidR="00794AFD" w:rsidRPr="00FC3D06" w:rsidRDefault="00794AFD" w:rsidP="00794AFD">
            <w:pPr>
              <w:jc w:val="right"/>
              <w:rPr>
                <w:rFonts w:asciiTheme="minorHAnsi" w:hAnsiTheme="minorHAnsi" w:cs="Times New Roman"/>
                <w:i/>
                <w:sz w:val="16"/>
                <w:szCs w:val="16"/>
              </w:rPr>
            </w:pPr>
          </w:p>
          <w:p w14:paraId="18764109" w14:textId="77777777" w:rsidR="00794AFD" w:rsidRPr="00FC3D06" w:rsidRDefault="00794AFD" w:rsidP="00794AFD">
            <w:pPr>
              <w:jc w:val="right"/>
              <w:rPr>
                <w:rFonts w:asciiTheme="minorHAnsi" w:hAnsiTheme="minorHAnsi" w:cs="Times New Roman"/>
                <w:i/>
                <w:sz w:val="16"/>
                <w:szCs w:val="16"/>
              </w:rPr>
            </w:pPr>
            <w:r w:rsidRPr="00FC3D06">
              <w:rPr>
                <w:rFonts w:asciiTheme="minorHAnsi" w:hAnsiTheme="minorHAnsi" w:cs="Times New Roman"/>
                <w:i/>
                <w:sz w:val="16"/>
                <w:szCs w:val="16"/>
              </w:rPr>
              <w:t>-</w:t>
            </w:r>
          </w:p>
        </w:tc>
        <w:tc>
          <w:tcPr>
            <w:tcW w:w="297" w:type="pct"/>
            <w:tcBorders>
              <w:top w:val="single" w:sz="4" w:space="0" w:color="auto"/>
              <w:left w:val="nil"/>
              <w:bottom w:val="single" w:sz="4" w:space="0" w:color="auto"/>
              <w:right w:val="nil"/>
            </w:tcBorders>
          </w:tcPr>
          <w:p w14:paraId="0BA9B404" w14:textId="77777777" w:rsidR="00794AFD" w:rsidRPr="00FC3D06" w:rsidRDefault="00794AFD" w:rsidP="00794AFD">
            <w:pPr>
              <w:jc w:val="right"/>
              <w:rPr>
                <w:rFonts w:asciiTheme="minorHAnsi" w:hAnsiTheme="minorHAnsi" w:cs="Times New Roman"/>
                <w:sz w:val="16"/>
                <w:szCs w:val="16"/>
              </w:rPr>
            </w:pPr>
          </w:p>
          <w:p w14:paraId="086BA458"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30" w:type="pct"/>
            <w:tcBorders>
              <w:top w:val="single" w:sz="4" w:space="0" w:color="auto"/>
              <w:left w:val="nil"/>
              <w:bottom w:val="single" w:sz="4" w:space="0" w:color="auto"/>
              <w:right w:val="nil"/>
            </w:tcBorders>
          </w:tcPr>
          <w:p w14:paraId="248C81DD" w14:textId="77777777" w:rsidR="00794AFD" w:rsidRPr="00FC3D06" w:rsidRDefault="00794AFD" w:rsidP="00794AFD">
            <w:pPr>
              <w:jc w:val="right"/>
              <w:rPr>
                <w:rFonts w:asciiTheme="minorHAnsi" w:hAnsiTheme="minorHAnsi" w:cs="Times New Roman"/>
                <w:sz w:val="16"/>
                <w:szCs w:val="16"/>
              </w:rPr>
            </w:pPr>
          </w:p>
          <w:p w14:paraId="3D5EB01C"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17.9</w:t>
            </w:r>
          </w:p>
        </w:tc>
        <w:tc>
          <w:tcPr>
            <w:tcW w:w="281" w:type="pct"/>
            <w:tcBorders>
              <w:top w:val="single" w:sz="4" w:space="0" w:color="auto"/>
              <w:left w:val="nil"/>
              <w:bottom w:val="single" w:sz="4" w:space="0" w:color="auto"/>
              <w:right w:val="nil"/>
            </w:tcBorders>
          </w:tcPr>
          <w:p w14:paraId="7496FE2E" w14:textId="77777777" w:rsidR="00794AFD" w:rsidRPr="00FC3D06" w:rsidRDefault="00794AFD" w:rsidP="00794AFD">
            <w:pPr>
              <w:jc w:val="right"/>
              <w:rPr>
                <w:rFonts w:asciiTheme="minorHAnsi" w:hAnsiTheme="minorHAnsi" w:cs="Times New Roman"/>
                <w:sz w:val="16"/>
                <w:szCs w:val="16"/>
              </w:rPr>
            </w:pPr>
          </w:p>
          <w:p w14:paraId="5FA22D02"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52" w:type="pct"/>
            <w:gridSpan w:val="2"/>
            <w:tcBorders>
              <w:top w:val="single" w:sz="4" w:space="0" w:color="auto"/>
              <w:left w:val="nil"/>
              <w:bottom w:val="single" w:sz="4" w:space="0" w:color="auto"/>
              <w:right w:val="nil"/>
            </w:tcBorders>
          </w:tcPr>
          <w:p w14:paraId="6BA5A122" w14:textId="77777777" w:rsidR="00794AFD" w:rsidRPr="00FC3D06" w:rsidRDefault="00794AFD" w:rsidP="00794AFD">
            <w:pPr>
              <w:jc w:val="right"/>
              <w:rPr>
                <w:rFonts w:asciiTheme="minorHAnsi" w:hAnsiTheme="minorHAnsi" w:cs="Times New Roman"/>
                <w:sz w:val="16"/>
                <w:szCs w:val="16"/>
              </w:rPr>
            </w:pPr>
          </w:p>
          <w:p w14:paraId="4C237569"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76" w:type="pct"/>
            <w:tcBorders>
              <w:top w:val="single" w:sz="4" w:space="0" w:color="auto"/>
              <w:left w:val="nil"/>
              <w:bottom w:val="single" w:sz="4" w:space="0" w:color="auto"/>
              <w:right w:val="nil"/>
            </w:tcBorders>
          </w:tcPr>
          <w:p w14:paraId="075C11E4" w14:textId="77777777" w:rsidR="00794AFD" w:rsidRPr="00FC3D06" w:rsidRDefault="00794AFD" w:rsidP="00794AFD">
            <w:pPr>
              <w:jc w:val="right"/>
              <w:rPr>
                <w:rFonts w:asciiTheme="minorHAnsi" w:hAnsiTheme="minorHAnsi" w:cs="Times New Roman"/>
                <w:sz w:val="16"/>
                <w:szCs w:val="16"/>
              </w:rPr>
            </w:pPr>
          </w:p>
          <w:p w14:paraId="72271C03"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8" w:type="pct"/>
            <w:tcBorders>
              <w:top w:val="single" w:sz="4" w:space="0" w:color="auto"/>
              <w:left w:val="nil"/>
              <w:bottom w:val="single" w:sz="4" w:space="0" w:color="auto"/>
              <w:right w:val="nil"/>
            </w:tcBorders>
          </w:tcPr>
          <w:p w14:paraId="616A842B" w14:textId="77777777" w:rsidR="00794AFD" w:rsidRPr="00FC3D06" w:rsidRDefault="00794AFD" w:rsidP="00794AFD">
            <w:pPr>
              <w:jc w:val="right"/>
              <w:rPr>
                <w:rFonts w:asciiTheme="minorHAnsi" w:hAnsiTheme="minorHAnsi" w:cs="Times New Roman"/>
                <w:sz w:val="16"/>
                <w:szCs w:val="16"/>
              </w:rPr>
            </w:pPr>
          </w:p>
          <w:p w14:paraId="4E5D40CF"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412" w:type="pct"/>
            <w:tcBorders>
              <w:top w:val="single" w:sz="4" w:space="0" w:color="auto"/>
              <w:left w:val="nil"/>
              <w:bottom w:val="single" w:sz="4" w:space="0" w:color="auto"/>
              <w:right w:val="nil"/>
            </w:tcBorders>
          </w:tcPr>
          <w:p w14:paraId="6A8C2135" w14:textId="77777777" w:rsidR="00794AFD" w:rsidRPr="00FC3D06" w:rsidRDefault="00794AFD" w:rsidP="00794AFD">
            <w:pPr>
              <w:jc w:val="right"/>
              <w:rPr>
                <w:rFonts w:asciiTheme="minorHAnsi" w:hAnsiTheme="minorHAnsi" w:cs="Times New Roman"/>
                <w:sz w:val="16"/>
                <w:szCs w:val="16"/>
              </w:rPr>
            </w:pPr>
          </w:p>
          <w:p w14:paraId="1CE2F08F"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201.4</w:t>
            </w:r>
          </w:p>
        </w:tc>
        <w:tc>
          <w:tcPr>
            <w:tcW w:w="319" w:type="pct"/>
            <w:tcBorders>
              <w:top w:val="single" w:sz="4" w:space="0" w:color="auto"/>
              <w:left w:val="nil"/>
              <w:bottom w:val="single" w:sz="4" w:space="0" w:color="auto"/>
              <w:right w:val="nil"/>
            </w:tcBorders>
          </w:tcPr>
          <w:p w14:paraId="49334C8E" w14:textId="77777777" w:rsidR="00794AFD" w:rsidRPr="00FC3D06" w:rsidRDefault="00794AFD" w:rsidP="00794AFD">
            <w:pPr>
              <w:jc w:val="right"/>
              <w:rPr>
                <w:rFonts w:asciiTheme="minorHAnsi" w:hAnsiTheme="minorHAnsi" w:cs="Times New Roman"/>
                <w:sz w:val="16"/>
                <w:szCs w:val="16"/>
              </w:rPr>
            </w:pPr>
          </w:p>
          <w:p w14:paraId="500CBCAD"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219.3</w:t>
            </w:r>
          </w:p>
        </w:tc>
        <w:tc>
          <w:tcPr>
            <w:tcW w:w="319" w:type="pct"/>
            <w:gridSpan w:val="2"/>
            <w:tcBorders>
              <w:top w:val="single" w:sz="4" w:space="0" w:color="auto"/>
              <w:left w:val="nil"/>
              <w:bottom w:val="single" w:sz="4" w:space="0" w:color="auto"/>
              <w:right w:val="nil"/>
            </w:tcBorders>
          </w:tcPr>
          <w:p w14:paraId="13AF1191" w14:textId="77777777" w:rsidR="00794AFD" w:rsidRPr="00FC3D06" w:rsidRDefault="00794AFD" w:rsidP="00794AFD">
            <w:pPr>
              <w:jc w:val="right"/>
              <w:rPr>
                <w:rFonts w:asciiTheme="minorHAnsi" w:hAnsiTheme="minorHAnsi" w:cs="Times New Roman"/>
                <w:sz w:val="16"/>
                <w:szCs w:val="16"/>
              </w:rPr>
            </w:pPr>
          </w:p>
          <w:p w14:paraId="3E419D8D"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(12.5)</w:t>
            </w:r>
          </w:p>
        </w:tc>
        <w:tc>
          <w:tcPr>
            <w:tcW w:w="316" w:type="pct"/>
            <w:tcBorders>
              <w:top w:val="single" w:sz="4" w:space="0" w:color="auto"/>
              <w:left w:val="nil"/>
              <w:bottom w:val="single" w:sz="4" w:space="0" w:color="auto"/>
              <w:right w:val="nil"/>
            </w:tcBorders>
          </w:tcPr>
          <w:p w14:paraId="7645F4B3" w14:textId="77777777" w:rsidR="00794AFD" w:rsidRPr="00FC3D06" w:rsidRDefault="00794AFD" w:rsidP="00794AFD">
            <w:pPr>
              <w:jc w:val="right"/>
              <w:rPr>
                <w:rFonts w:asciiTheme="minorHAnsi" w:hAnsiTheme="minorHAnsi" w:cs="Times New Roman"/>
                <w:sz w:val="16"/>
                <w:szCs w:val="16"/>
              </w:rPr>
            </w:pPr>
          </w:p>
          <w:p w14:paraId="74C965FE"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206.8</w:t>
            </w:r>
          </w:p>
        </w:tc>
      </w:tr>
      <w:tr w:rsidR="00794AFD" w:rsidRPr="001C5950" w14:paraId="3693D248" w14:textId="77777777" w:rsidTr="00794AFD">
        <w:trPr>
          <w:trHeight w:val="297"/>
        </w:trPr>
        <w:tc>
          <w:tcPr>
            <w:tcW w:w="1628" w:type="pct"/>
            <w:gridSpan w:val="3"/>
            <w:tcBorders>
              <w:top w:val="nil"/>
              <w:left w:val="nil"/>
              <w:bottom w:val="nil"/>
              <w:right w:val="nil"/>
            </w:tcBorders>
          </w:tcPr>
          <w:p w14:paraId="4DCE764A" w14:textId="77777777" w:rsidR="00794AFD" w:rsidRPr="005C690B" w:rsidRDefault="00794AFD" w:rsidP="00794AFD">
            <w:pPr>
              <w:ind w:left="-108"/>
              <w:rPr>
                <w:rFonts w:asciiTheme="minorHAnsi" w:hAnsiTheme="minorHAnsi" w:cs="Times New Roman"/>
                <w:b/>
                <w:sz w:val="16"/>
                <w:szCs w:val="16"/>
              </w:rPr>
            </w:pPr>
            <w:r w:rsidRPr="005C690B">
              <w:rPr>
                <w:rFonts w:asciiTheme="minorHAnsi" w:hAnsiTheme="minorHAnsi" w:cs="Times New Roman"/>
                <w:b/>
                <w:sz w:val="16"/>
                <w:szCs w:val="16"/>
              </w:rPr>
              <w:t>Transactions with owners of the Company, recognised directly in equity</w:t>
            </w:r>
          </w:p>
        </w:tc>
        <w:tc>
          <w:tcPr>
            <w:tcW w:w="330" w:type="pct"/>
            <w:tcBorders>
              <w:left w:val="nil"/>
              <w:bottom w:val="nil"/>
              <w:right w:val="nil"/>
            </w:tcBorders>
          </w:tcPr>
          <w:p w14:paraId="049CE2F5" w14:textId="77777777" w:rsidR="00794AFD" w:rsidRPr="00FC3D06" w:rsidRDefault="00794AFD" w:rsidP="00794AFD">
            <w:pPr>
              <w:jc w:val="right"/>
              <w:rPr>
                <w:rFonts w:asciiTheme="minorHAnsi" w:hAnsiTheme="minorHAnsi" w:cs="Times New Roman"/>
                <w:sz w:val="16"/>
                <w:szCs w:val="16"/>
              </w:rPr>
            </w:pPr>
          </w:p>
        </w:tc>
        <w:tc>
          <w:tcPr>
            <w:tcW w:w="291" w:type="pct"/>
            <w:gridSpan w:val="2"/>
            <w:tcBorders>
              <w:left w:val="nil"/>
              <w:bottom w:val="nil"/>
              <w:right w:val="nil"/>
            </w:tcBorders>
          </w:tcPr>
          <w:p w14:paraId="11BB7DF7" w14:textId="77777777" w:rsidR="00794AFD" w:rsidRPr="00FC3D06" w:rsidRDefault="00794AFD" w:rsidP="00794AFD">
            <w:pPr>
              <w:jc w:val="right"/>
              <w:rPr>
                <w:rFonts w:asciiTheme="minorHAnsi" w:hAnsiTheme="minorHAnsi" w:cs="Times New Roman"/>
                <w:sz w:val="16"/>
                <w:szCs w:val="16"/>
              </w:rPr>
            </w:pPr>
          </w:p>
        </w:tc>
        <w:tc>
          <w:tcPr>
            <w:tcW w:w="342" w:type="pct"/>
            <w:tcBorders>
              <w:left w:val="nil"/>
              <w:bottom w:val="nil"/>
              <w:right w:val="nil"/>
            </w:tcBorders>
          </w:tcPr>
          <w:p w14:paraId="60DC1F9B" w14:textId="77777777" w:rsidR="00794AFD" w:rsidRPr="00FC3D06" w:rsidRDefault="00794AFD" w:rsidP="00794AFD">
            <w:pPr>
              <w:jc w:val="right"/>
              <w:rPr>
                <w:rFonts w:asciiTheme="minorHAnsi" w:hAnsiTheme="minorHAnsi" w:cs="Times New Roman"/>
                <w:sz w:val="16"/>
                <w:szCs w:val="16"/>
              </w:rPr>
            </w:pPr>
          </w:p>
        </w:tc>
        <w:tc>
          <w:tcPr>
            <w:tcW w:w="376" w:type="pct"/>
            <w:tcBorders>
              <w:left w:val="nil"/>
              <w:bottom w:val="nil"/>
              <w:right w:val="nil"/>
            </w:tcBorders>
          </w:tcPr>
          <w:p w14:paraId="77B563F5" w14:textId="77777777" w:rsidR="00794AFD" w:rsidRPr="00FC3D06" w:rsidRDefault="00794AFD" w:rsidP="00794AFD">
            <w:pPr>
              <w:jc w:val="right"/>
              <w:rPr>
                <w:rFonts w:asciiTheme="minorHAnsi" w:hAnsiTheme="minorHAnsi" w:cs="Times New Roman"/>
                <w:sz w:val="16"/>
                <w:szCs w:val="16"/>
              </w:rPr>
            </w:pPr>
          </w:p>
        </w:tc>
        <w:tc>
          <w:tcPr>
            <w:tcW w:w="348" w:type="pct"/>
            <w:tcBorders>
              <w:left w:val="nil"/>
              <w:bottom w:val="nil"/>
              <w:right w:val="nil"/>
            </w:tcBorders>
          </w:tcPr>
          <w:p w14:paraId="04C8A85E" w14:textId="77777777" w:rsidR="00794AFD" w:rsidRPr="00FC3D06" w:rsidRDefault="00794AFD" w:rsidP="00794AFD">
            <w:pPr>
              <w:jc w:val="right"/>
              <w:rPr>
                <w:rFonts w:asciiTheme="minorHAnsi" w:hAnsiTheme="minorHAnsi" w:cs="Times New Roman"/>
                <w:sz w:val="16"/>
                <w:szCs w:val="16"/>
              </w:rPr>
            </w:pPr>
          </w:p>
        </w:tc>
        <w:tc>
          <w:tcPr>
            <w:tcW w:w="412" w:type="pct"/>
            <w:tcBorders>
              <w:left w:val="nil"/>
              <w:bottom w:val="nil"/>
              <w:right w:val="nil"/>
            </w:tcBorders>
          </w:tcPr>
          <w:p w14:paraId="20EFC317" w14:textId="77777777" w:rsidR="00794AFD" w:rsidRPr="00FC3D06" w:rsidRDefault="00794AFD" w:rsidP="00794AFD">
            <w:pPr>
              <w:jc w:val="right"/>
              <w:rPr>
                <w:rFonts w:asciiTheme="minorHAnsi" w:hAnsiTheme="minorHAnsi" w:cs="Times New Roman"/>
                <w:sz w:val="16"/>
                <w:szCs w:val="16"/>
              </w:rPr>
            </w:pPr>
          </w:p>
        </w:tc>
        <w:tc>
          <w:tcPr>
            <w:tcW w:w="319" w:type="pct"/>
            <w:tcBorders>
              <w:left w:val="nil"/>
              <w:bottom w:val="nil"/>
              <w:right w:val="nil"/>
            </w:tcBorders>
          </w:tcPr>
          <w:p w14:paraId="291C11E3" w14:textId="77777777" w:rsidR="00794AFD" w:rsidRPr="00FC3D06" w:rsidRDefault="00794AFD" w:rsidP="00794AFD">
            <w:pPr>
              <w:jc w:val="right"/>
              <w:rPr>
                <w:rFonts w:asciiTheme="minorHAnsi" w:hAnsiTheme="minorHAnsi" w:cs="Times New Roman"/>
                <w:sz w:val="16"/>
                <w:szCs w:val="16"/>
              </w:rPr>
            </w:pPr>
          </w:p>
        </w:tc>
        <w:tc>
          <w:tcPr>
            <w:tcW w:w="319" w:type="pct"/>
            <w:gridSpan w:val="2"/>
            <w:tcBorders>
              <w:left w:val="nil"/>
              <w:bottom w:val="nil"/>
              <w:right w:val="nil"/>
            </w:tcBorders>
          </w:tcPr>
          <w:p w14:paraId="34E704B6" w14:textId="77777777" w:rsidR="00794AFD" w:rsidRPr="00FC3D06" w:rsidRDefault="00794AFD" w:rsidP="00794AFD">
            <w:pPr>
              <w:jc w:val="right"/>
              <w:rPr>
                <w:rFonts w:asciiTheme="minorHAnsi" w:hAnsiTheme="minorHAnsi" w:cs="Times New Roman"/>
                <w:sz w:val="16"/>
                <w:szCs w:val="16"/>
              </w:rPr>
            </w:pPr>
          </w:p>
        </w:tc>
        <w:tc>
          <w:tcPr>
            <w:tcW w:w="316" w:type="pct"/>
            <w:tcBorders>
              <w:left w:val="nil"/>
              <w:bottom w:val="nil"/>
              <w:right w:val="nil"/>
            </w:tcBorders>
          </w:tcPr>
          <w:p w14:paraId="1DAC8C64" w14:textId="77777777" w:rsidR="00794AFD" w:rsidRPr="00FC3D06" w:rsidRDefault="00794AFD" w:rsidP="00794AFD">
            <w:pPr>
              <w:jc w:val="right"/>
              <w:rPr>
                <w:rFonts w:asciiTheme="minorHAnsi" w:hAnsiTheme="minorHAnsi" w:cs="Times New Roman"/>
                <w:sz w:val="16"/>
                <w:szCs w:val="16"/>
              </w:rPr>
            </w:pPr>
          </w:p>
        </w:tc>
        <w:tc>
          <w:tcPr>
            <w:tcW w:w="319" w:type="pct"/>
          </w:tcPr>
          <w:p w14:paraId="7F929CBC" w14:textId="77777777" w:rsidR="00794AFD" w:rsidRPr="001C5950" w:rsidRDefault="00794AFD" w:rsidP="00794AFD">
            <w:pPr>
              <w:widowControl/>
              <w:autoSpaceDE/>
              <w:autoSpaceDN/>
              <w:adjustRightInd/>
            </w:pPr>
          </w:p>
        </w:tc>
      </w:tr>
      <w:tr w:rsidR="00794AFD" w:rsidRPr="001C5950" w14:paraId="1C5CDC28" w14:textId="77777777" w:rsidTr="00794AFD">
        <w:trPr>
          <w:gridAfter w:val="1"/>
          <w:wAfter w:w="319" w:type="pct"/>
          <w:trHeight w:val="188"/>
        </w:trPr>
        <w:tc>
          <w:tcPr>
            <w:tcW w:w="943" w:type="pct"/>
            <w:tcBorders>
              <w:top w:val="nil"/>
              <w:left w:val="nil"/>
              <w:bottom w:val="nil"/>
              <w:right w:val="nil"/>
            </w:tcBorders>
          </w:tcPr>
          <w:p w14:paraId="5FF6E2E7" w14:textId="77777777" w:rsidR="00794AFD" w:rsidRPr="001C5950" w:rsidRDefault="00794AFD" w:rsidP="00794AFD">
            <w:pPr>
              <w:ind w:left="-108"/>
              <w:rPr>
                <w:rFonts w:asciiTheme="minorHAnsi" w:hAnsiTheme="minorHAnsi" w:cs="Times New Roman"/>
                <w:sz w:val="16"/>
                <w:szCs w:val="16"/>
              </w:rPr>
            </w:pPr>
            <w:r w:rsidRPr="001C5950">
              <w:rPr>
                <w:rFonts w:asciiTheme="minorHAnsi" w:hAnsiTheme="minorHAnsi" w:cs="Times New Roman"/>
                <w:sz w:val="16"/>
                <w:szCs w:val="16"/>
              </w:rPr>
              <w:t xml:space="preserve">Shares issued </w:t>
            </w:r>
            <w:r w:rsidRPr="00FC3D06">
              <w:rPr>
                <w:rFonts w:asciiTheme="minorHAnsi" w:hAnsiTheme="minorHAnsi" w:cs="Times New Roman"/>
                <w:sz w:val="16"/>
                <w:szCs w:val="16"/>
              </w:rPr>
              <w:t>(Note 1</w:t>
            </w:r>
            <w:r>
              <w:rPr>
                <w:rFonts w:asciiTheme="minorHAnsi" w:hAnsiTheme="minorHAnsi" w:cs="Times New Roman"/>
                <w:sz w:val="16"/>
                <w:szCs w:val="16"/>
              </w:rPr>
              <w:t>1</w:t>
            </w:r>
            <w:r w:rsidRPr="00FC3D06">
              <w:rPr>
                <w:rFonts w:asciiTheme="minorHAnsi" w:hAnsiTheme="minorHAnsi" w:cs="Times New Roman"/>
                <w:sz w:val="16"/>
                <w:szCs w:val="16"/>
              </w:rPr>
              <w:t>)</w:t>
            </w:r>
          </w:p>
        </w:tc>
        <w:tc>
          <w:tcPr>
            <w:tcW w:w="388" w:type="pct"/>
            <w:tcBorders>
              <w:left w:val="nil"/>
              <w:bottom w:val="nil"/>
              <w:right w:val="nil"/>
            </w:tcBorders>
          </w:tcPr>
          <w:p w14:paraId="1D6BB474" w14:textId="77777777" w:rsidR="00794AFD" w:rsidRPr="00FC3D06" w:rsidRDefault="00794AFD" w:rsidP="00794AFD">
            <w:pPr>
              <w:jc w:val="right"/>
              <w:rPr>
                <w:rFonts w:asciiTheme="minorHAnsi" w:hAnsiTheme="minorHAnsi" w:cs="Times New Roman"/>
                <w:i/>
                <w:sz w:val="16"/>
                <w:szCs w:val="16"/>
              </w:rPr>
            </w:pPr>
            <w:r w:rsidRPr="00FC3D06">
              <w:rPr>
                <w:rFonts w:asciiTheme="minorHAnsi" w:hAnsiTheme="minorHAnsi" w:cs="Times New Roman"/>
                <w:i/>
                <w:sz w:val="16"/>
                <w:szCs w:val="16"/>
              </w:rPr>
              <w:t>0.5</w:t>
            </w:r>
          </w:p>
        </w:tc>
        <w:tc>
          <w:tcPr>
            <w:tcW w:w="297" w:type="pct"/>
            <w:tcBorders>
              <w:left w:val="nil"/>
              <w:bottom w:val="nil"/>
              <w:right w:val="nil"/>
            </w:tcBorders>
          </w:tcPr>
          <w:p w14:paraId="47F67545"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2.3</w:t>
            </w:r>
          </w:p>
        </w:tc>
        <w:tc>
          <w:tcPr>
            <w:tcW w:w="330" w:type="pct"/>
            <w:tcBorders>
              <w:left w:val="nil"/>
              <w:bottom w:val="nil"/>
              <w:right w:val="nil"/>
            </w:tcBorders>
          </w:tcPr>
          <w:p w14:paraId="54FDBB92"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291" w:type="pct"/>
            <w:gridSpan w:val="2"/>
            <w:tcBorders>
              <w:left w:val="nil"/>
              <w:bottom w:val="nil"/>
              <w:right w:val="nil"/>
            </w:tcBorders>
          </w:tcPr>
          <w:p w14:paraId="2511B246"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2" w:type="pct"/>
            <w:tcBorders>
              <w:left w:val="nil"/>
              <w:bottom w:val="nil"/>
              <w:right w:val="nil"/>
            </w:tcBorders>
          </w:tcPr>
          <w:p w14:paraId="32F0DFED"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76" w:type="pct"/>
            <w:tcBorders>
              <w:left w:val="nil"/>
              <w:bottom w:val="nil"/>
              <w:right w:val="nil"/>
            </w:tcBorders>
          </w:tcPr>
          <w:p w14:paraId="5DCB5F49"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8" w:type="pct"/>
            <w:tcBorders>
              <w:left w:val="nil"/>
              <w:bottom w:val="nil"/>
              <w:right w:val="nil"/>
            </w:tcBorders>
          </w:tcPr>
          <w:p w14:paraId="5E136BB4"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412" w:type="pct"/>
            <w:tcBorders>
              <w:left w:val="nil"/>
              <w:bottom w:val="nil"/>
              <w:right w:val="nil"/>
            </w:tcBorders>
          </w:tcPr>
          <w:p w14:paraId="2A17BFB8"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19" w:type="pct"/>
            <w:tcBorders>
              <w:left w:val="nil"/>
              <w:bottom w:val="nil"/>
              <w:right w:val="nil"/>
            </w:tcBorders>
          </w:tcPr>
          <w:p w14:paraId="6C22BBD3"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2.3</w:t>
            </w:r>
          </w:p>
        </w:tc>
        <w:tc>
          <w:tcPr>
            <w:tcW w:w="319" w:type="pct"/>
            <w:gridSpan w:val="2"/>
            <w:tcBorders>
              <w:left w:val="nil"/>
              <w:bottom w:val="nil"/>
              <w:right w:val="nil"/>
            </w:tcBorders>
          </w:tcPr>
          <w:p w14:paraId="0B8C8085"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16" w:type="pct"/>
            <w:tcBorders>
              <w:left w:val="nil"/>
              <w:bottom w:val="nil"/>
              <w:right w:val="nil"/>
            </w:tcBorders>
          </w:tcPr>
          <w:p w14:paraId="282B3354"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2.3</w:t>
            </w:r>
          </w:p>
        </w:tc>
      </w:tr>
      <w:tr w:rsidR="00794AFD" w:rsidRPr="001C5950" w14:paraId="57352026" w14:textId="77777777" w:rsidTr="00794AFD">
        <w:trPr>
          <w:gridAfter w:val="1"/>
          <w:wAfter w:w="319" w:type="pct"/>
          <w:trHeight w:val="188"/>
        </w:trPr>
        <w:tc>
          <w:tcPr>
            <w:tcW w:w="943" w:type="pct"/>
            <w:tcBorders>
              <w:top w:val="nil"/>
              <w:left w:val="nil"/>
              <w:bottom w:val="nil"/>
              <w:right w:val="nil"/>
            </w:tcBorders>
          </w:tcPr>
          <w:p w14:paraId="3176BEAD" w14:textId="77777777" w:rsidR="00794AFD" w:rsidRPr="001C5950" w:rsidRDefault="00794AFD" w:rsidP="00794AFD">
            <w:pPr>
              <w:ind w:left="-108"/>
              <w:rPr>
                <w:rFonts w:asciiTheme="minorHAnsi" w:hAnsiTheme="minorHAnsi" w:cs="Times New Roman"/>
                <w:sz w:val="16"/>
                <w:szCs w:val="16"/>
              </w:rPr>
            </w:pPr>
            <w:r w:rsidRPr="001C5950">
              <w:rPr>
                <w:rFonts w:asciiTheme="minorHAnsi" w:hAnsiTheme="minorHAnsi" w:cs="Times New Roman"/>
                <w:sz w:val="16"/>
                <w:szCs w:val="16"/>
              </w:rPr>
              <w:t>Shares issued in Non-controlling interest</w:t>
            </w:r>
          </w:p>
        </w:tc>
        <w:tc>
          <w:tcPr>
            <w:tcW w:w="388" w:type="pct"/>
            <w:tcBorders>
              <w:left w:val="nil"/>
              <w:bottom w:val="nil"/>
              <w:right w:val="nil"/>
            </w:tcBorders>
          </w:tcPr>
          <w:p w14:paraId="337DCC03" w14:textId="77777777" w:rsidR="00794AFD" w:rsidRPr="00FC3D06" w:rsidRDefault="00794AFD" w:rsidP="00794AFD">
            <w:pPr>
              <w:jc w:val="right"/>
              <w:rPr>
                <w:rFonts w:asciiTheme="minorHAnsi" w:hAnsiTheme="minorHAnsi" w:cs="Times New Roman"/>
                <w:i/>
                <w:sz w:val="16"/>
                <w:szCs w:val="16"/>
              </w:rPr>
            </w:pPr>
          </w:p>
        </w:tc>
        <w:tc>
          <w:tcPr>
            <w:tcW w:w="297" w:type="pct"/>
            <w:tcBorders>
              <w:left w:val="nil"/>
              <w:bottom w:val="nil"/>
              <w:right w:val="nil"/>
            </w:tcBorders>
          </w:tcPr>
          <w:p w14:paraId="7C086EC5" w14:textId="77777777" w:rsidR="00794AFD" w:rsidRPr="00FC3D06" w:rsidRDefault="00794AFD" w:rsidP="00794AFD">
            <w:pPr>
              <w:jc w:val="right"/>
              <w:rPr>
                <w:rFonts w:asciiTheme="minorHAnsi" w:hAnsiTheme="minorHAnsi" w:cs="Times New Roman"/>
                <w:sz w:val="16"/>
                <w:szCs w:val="16"/>
              </w:rPr>
            </w:pPr>
          </w:p>
        </w:tc>
        <w:tc>
          <w:tcPr>
            <w:tcW w:w="330" w:type="pct"/>
            <w:tcBorders>
              <w:left w:val="nil"/>
              <w:bottom w:val="nil"/>
              <w:right w:val="nil"/>
            </w:tcBorders>
          </w:tcPr>
          <w:p w14:paraId="6A8E7A0B" w14:textId="77777777" w:rsidR="00794AFD" w:rsidRPr="00FC3D06" w:rsidRDefault="00794AFD" w:rsidP="00794AFD">
            <w:pPr>
              <w:jc w:val="right"/>
              <w:rPr>
                <w:rFonts w:asciiTheme="minorHAnsi" w:hAnsiTheme="minorHAnsi" w:cs="Times New Roman"/>
                <w:sz w:val="16"/>
                <w:szCs w:val="16"/>
              </w:rPr>
            </w:pPr>
          </w:p>
        </w:tc>
        <w:tc>
          <w:tcPr>
            <w:tcW w:w="291" w:type="pct"/>
            <w:gridSpan w:val="2"/>
            <w:tcBorders>
              <w:left w:val="nil"/>
              <w:bottom w:val="nil"/>
              <w:right w:val="nil"/>
            </w:tcBorders>
          </w:tcPr>
          <w:p w14:paraId="76ECE936" w14:textId="77777777" w:rsidR="00794AFD" w:rsidRPr="00FC3D06" w:rsidRDefault="00794AFD" w:rsidP="00794AFD">
            <w:pPr>
              <w:jc w:val="right"/>
              <w:rPr>
                <w:rFonts w:asciiTheme="minorHAnsi" w:hAnsiTheme="minorHAnsi" w:cs="Times New Roman"/>
                <w:sz w:val="16"/>
                <w:szCs w:val="16"/>
              </w:rPr>
            </w:pPr>
          </w:p>
        </w:tc>
        <w:tc>
          <w:tcPr>
            <w:tcW w:w="342" w:type="pct"/>
            <w:tcBorders>
              <w:left w:val="nil"/>
              <w:bottom w:val="nil"/>
              <w:right w:val="nil"/>
            </w:tcBorders>
          </w:tcPr>
          <w:p w14:paraId="79BBA810" w14:textId="77777777" w:rsidR="00794AFD" w:rsidRPr="00FC3D06" w:rsidRDefault="00794AFD" w:rsidP="00794AFD">
            <w:pPr>
              <w:jc w:val="right"/>
              <w:rPr>
                <w:rFonts w:asciiTheme="minorHAnsi" w:hAnsiTheme="minorHAnsi" w:cs="Times New Roman"/>
                <w:sz w:val="16"/>
                <w:szCs w:val="16"/>
              </w:rPr>
            </w:pPr>
          </w:p>
        </w:tc>
        <w:tc>
          <w:tcPr>
            <w:tcW w:w="376" w:type="pct"/>
            <w:tcBorders>
              <w:left w:val="nil"/>
              <w:bottom w:val="nil"/>
              <w:right w:val="nil"/>
            </w:tcBorders>
          </w:tcPr>
          <w:p w14:paraId="2F2B59EF" w14:textId="77777777" w:rsidR="00794AFD" w:rsidRPr="00FC3D06" w:rsidRDefault="00794AFD" w:rsidP="00794AFD">
            <w:pPr>
              <w:jc w:val="right"/>
              <w:rPr>
                <w:rFonts w:asciiTheme="minorHAnsi" w:hAnsiTheme="minorHAnsi" w:cs="Times New Roman"/>
                <w:sz w:val="16"/>
                <w:szCs w:val="16"/>
              </w:rPr>
            </w:pPr>
          </w:p>
        </w:tc>
        <w:tc>
          <w:tcPr>
            <w:tcW w:w="348" w:type="pct"/>
            <w:tcBorders>
              <w:left w:val="nil"/>
              <w:bottom w:val="nil"/>
              <w:right w:val="nil"/>
            </w:tcBorders>
          </w:tcPr>
          <w:p w14:paraId="2D2603DC" w14:textId="77777777" w:rsidR="00794AFD" w:rsidRPr="00FC3D06" w:rsidRDefault="00794AFD" w:rsidP="00794AFD">
            <w:pPr>
              <w:jc w:val="right"/>
              <w:rPr>
                <w:rFonts w:asciiTheme="minorHAnsi" w:hAnsiTheme="minorHAnsi" w:cs="Times New Roman"/>
                <w:sz w:val="16"/>
                <w:szCs w:val="16"/>
              </w:rPr>
            </w:pPr>
          </w:p>
        </w:tc>
        <w:tc>
          <w:tcPr>
            <w:tcW w:w="412" w:type="pct"/>
            <w:tcBorders>
              <w:left w:val="nil"/>
              <w:bottom w:val="nil"/>
              <w:right w:val="nil"/>
            </w:tcBorders>
          </w:tcPr>
          <w:p w14:paraId="266EE730"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22.6</w:t>
            </w:r>
          </w:p>
        </w:tc>
        <w:tc>
          <w:tcPr>
            <w:tcW w:w="319" w:type="pct"/>
            <w:tcBorders>
              <w:left w:val="nil"/>
              <w:bottom w:val="nil"/>
              <w:right w:val="nil"/>
            </w:tcBorders>
          </w:tcPr>
          <w:p w14:paraId="07A7F53B"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22.6</w:t>
            </w:r>
          </w:p>
        </w:tc>
        <w:tc>
          <w:tcPr>
            <w:tcW w:w="319" w:type="pct"/>
            <w:gridSpan w:val="2"/>
            <w:tcBorders>
              <w:left w:val="nil"/>
              <w:bottom w:val="nil"/>
              <w:right w:val="nil"/>
            </w:tcBorders>
          </w:tcPr>
          <w:p w14:paraId="51779546"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16.8</w:t>
            </w:r>
          </w:p>
        </w:tc>
        <w:tc>
          <w:tcPr>
            <w:tcW w:w="316" w:type="pct"/>
            <w:tcBorders>
              <w:left w:val="nil"/>
              <w:bottom w:val="nil"/>
              <w:right w:val="nil"/>
            </w:tcBorders>
          </w:tcPr>
          <w:p w14:paraId="73A68B26"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39.4</w:t>
            </w:r>
          </w:p>
        </w:tc>
      </w:tr>
      <w:tr w:rsidR="00794AFD" w:rsidRPr="001C5950" w14:paraId="29DE9ED7" w14:textId="77777777" w:rsidTr="00794AFD">
        <w:trPr>
          <w:gridAfter w:val="1"/>
          <w:wAfter w:w="319" w:type="pct"/>
          <w:trHeight w:val="166"/>
        </w:trPr>
        <w:tc>
          <w:tcPr>
            <w:tcW w:w="943" w:type="pct"/>
            <w:tcBorders>
              <w:left w:val="nil"/>
              <w:right w:val="nil"/>
            </w:tcBorders>
          </w:tcPr>
          <w:p w14:paraId="2C1F28A6"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 xml:space="preserve">Business combinations – FanDuel (Note </w:t>
            </w:r>
            <w:r>
              <w:rPr>
                <w:rFonts w:asciiTheme="minorHAnsi" w:hAnsiTheme="minorHAnsi" w:cs="Times New Roman"/>
                <w:sz w:val="16"/>
                <w:szCs w:val="16"/>
              </w:rPr>
              <w:t>8</w:t>
            </w:r>
            <w:r w:rsidRPr="001C5950">
              <w:rPr>
                <w:rFonts w:asciiTheme="minorHAnsi" w:hAnsiTheme="minorHAnsi" w:cs="Times New Roman"/>
                <w:sz w:val="16"/>
                <w:szCs w:val="16"/>
              </w:rPr>
              <w:t>)</w:t>
            </w:r>
          </w:p>
        </w:tc>
        <w:tc>
          <w:tcPr>
            <w:tcW w:w="388" w:type="pct"/>
            <w:tcBorders>
              <w:left w:val="nil"/>
              <w:right w:val="nil"/>
            </w:tcBorders>
          </w:tcPr>
          <w:p w14:paraId="42672FC9" w14:textId="77777777" w:rsidR="00794AFD" w:rsidRPr="00FC3D06" w:rsidRDefault="00794AFD" w:rsidP="00794AFD">
            <w:pPr>
              <w:jc w:val="right"/>
              <w:rPr>
                <w:rFonts w:asciiTheme="minorHAnsi" w:hAnsiTheme="minorHAnsi" w:cs="Times New Roman"/>
                <w:i/>
                <w:sz w:val="16"/>
                <w:szCs w:val="16"/>
              </w:rPr>
            </w:pPr>
            <w:r w:rsidRPr="00FC3D06">
              <w:rPr>
                <w:rFonts w:asciiTheme="minorHAnsi" w:hAnsiTheme="minorHAnsi" w:cs="Times New Roman"/>
                <w:i/>
                <w:sz w:val="16"/>
                <w:szCs w:val="16"/>
              </w:rPr>
              <w:t>-</w:t>
            </w:r>
          </w:p>
        </w:tc>
        <w:tc>
          <w:tcPr>
            <w:tcW w:w="297" w:type="pct"/>
            <w:tcBorders>
              <w:left w:val="nil"/>
              <w:right w:val="nil"/>
            </w:tcBorders>
          </w:tcPr>
          <w:p w14:paraId="0BA116CD"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30" w:type="pct"/>
            <w:tcBorders>
              <w:left w:val="nil"/>
              <w:right w:val="nil"/>
            </w:tcBorders>
          </w:tcPr>
          <w:p w14:paraId="3DF475B6"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291" w:type="pct"/>
            <w:gridSpan w:val="2"/>
            <w:tcBorders>
              <w:left w:val="nil"/>
              <w:right w:val="nil"/>
            </w:tcBorders>
          </w:tcPr>
          <w:p w14:paraId="6654ACA5"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2" w:type="pct"/>
            <w:tcBorders>
              <w:left w:val="nil"/>
              <w:right w:val="nil"/>
            </w:tcBorders>
          </w:tcPr>
          <w:p w14:paraId="59701480"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76" w:type="pct"/>
            <w:tcBorders>
              <w:left w:val="nil"/>
              <w:right w:val="nil"/>
            </w:tcBorders>
          </w:tcPr>
          <w:p w14:paraId="3BCF552E"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8" w:type="pct"/>
            <w:tcBorders>
              <w:left w:val="nil"/>
              <w:right w:val="nil"/>
            </w:tcBorders>
          </w:tcPr>
          <w:p w14:paraId="1C03A805"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412" w:type="pct"/>
            <w:tcBorders>
              <w:left w:val="nil"/>
              <w:right w:val="nil"/>
            </w:tcBorders>
          </w:tcPr>
          <w:p w14:paraId="53518748"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8.9</w:t>
            </w:r>
          </w:p>
        </w:tc>
        <w:tc>
          <w:tcPr>
            <w:tcW w:w="319" w:type="pct"/>
            <w:tcBorders>
              <w:left w:val="nil"/>
              <w:right w:val="nil"/>
            </w:tcBorders>
          </w:tcPr>
          <w:p w14:paraId="79BFA939"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8.9</w:t>
            </w:r>
          </w:p>
        </w:tc>
        <w:tc>
          <w:tcPr>
            <w:tcW w:w="319" w:type="pct"/>
            <w:gridSpan w:val="2"/>
            <w:tcBorders>
              <w:left w:val="nil"/>
              <w:right w:val="nil"/>
            </w:tcBorders>
          </w:tcPr>
          <w:p w14:paraId="48CBE844"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209.0</w:t>
            </w:r>
          </w:p>
        </w:tc>
        <w:tc>
          <w:tcPr>
            <w:tcW w:w="316" w:type="pct"/>
            <w:tcBorders>
              <w:left w:val="nil"/>
              <w:right w:val="nil"/>
            </w:tcBorders>
          </w:tcPr>
          <w:p w14:paraId="519A5C95"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217.9</w:t>
            </w:r>
          </w:p>
        </w:tc>
      </w:tr>
      <w:tr w:rsidR="00794AFD" w:rsidRPr="001C5950" w14:paraId="5A3E2B4B" w14:textId="77777777" w:rsidTr="00794AFD">
        <w:trPr>
          <w:gridAfter w:val="1"/>
          <w:wAfter w:w="319" w:type="pct"/>
          <w:trHeight w:val="333"/>
        </w:trPr>
        <w:tc>
          <w:tcPr>
            <w:tcW w:w="943" w:type="pct"/>
            <w:tcBorders>
              <w:left w:val="nil"/>
              <w:right w:val="nil"/>
            </w:tcBorders>
          </w:tcPr>
          <w:p w14:paraId="5C80685C"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 xml:space="preserve">Own shares acquired by the Group (Note </w:t>
            </w:r>
            <w:r w:rsidRPr="00FC3D06">
              <w:rPr>
                <w:rFonts w:asciiTheme="minorHAnsi" w:hAnsiTheme="minorHAnsi" w:cs="Times New Roman"/>
                <w:sz w:val="16"/>
                <w:szCs w:val="16"/>
              </w:rPr>
              <w:t>1</w:t>
            </w:r>
            <w:r>
              <w:rPr>
                <w:rFonts w:asciiTheme="minorHAnsi" w:hAnsiTheme="minorHAnsi" w:cs="Times New Roman"/>
                <w:sz w:val="16"/>
                <w:szCs w:val="16"/>
              </w:rPr>
              <w:t>1</w:t>
            </w:r>
            <w:r w:rsidRPr="001C5950">
              <w:rPr>
                <w:rFonts w:asciiTheme="minorHAnsi" w:hAnsiTheme="minorHAnsi" w:cs="Times New Roman"/>
                <w:sz w:val="16"/>
                <w:szCs w:val="16"/>
              </w:rPr>
              <w:t>)</w:t>
            </w:r>
          </w:p>
        </w:tc>
        <w:tc>
          <w:tcPr>
            <w:tcW w:w="388" w:type="pct"/>
            <w:tcBorders>
              <w:left w:val="nil"/>
              <w:right w:val="nil"/>
            </w:tcBorders>
          </w:tcPr>
          <w:p w14:paraId="45306B7C" w14:textId="77777777" w:rsidR="00794AFD" w:rsidRPr="00FC3D06" w:rsidRDefault="00794AFD" w:rsidP="00794AFD">
            <w:pPr>
              <w:jc w:val="right"/>
              <w:rPr>
                <w:rFonts w:asciiTheme="minorHAnsi" w:hAnsiTheme="minorHAnsi" w:cs="Times New Roman"/>
                <w:i/>
                <w:sz w:val="16"/>
                <w:szCs w:val="16"/>
              </w:rPr>
            </w:pPr>
          </w:p>
          <w:p w14:paraId="6D985A9F" w14:textId="77777777" w:rsidR="00794AFD" w:rsidRPr="00FC3D06" w:rsidRDefault="00794AFD" w:rsidP="00794AFD">
            <w:pPr>
              <w:jc w:val="right"/>
              <w:rPr>
                <w:rFonts w:asciiTheme="minorHAnsi" w:hAnsiTheme="minorHAnsi" w:cs="Times New Roman"/>
                <w:i/>
                <w:sz w:val="16"/>
                <w:szCs w:val="16"/>
              </w:rPr>
            </w:pPr>
            <w:r w:rsidRPr="00FC3D06">
              <w:rPr>
                <w:rFonts w:asciiTheme="minorHAnsi" w:hAnsiTheme="minorHAnsi" w:cs="Times New Roman"/>
                <w:i/>
                <w:sz w:val="16"/>
                <w:szCs w:val="16"/>
              </w:rPr>
              <w:t>(5.6)</w:t>
            </w:r>
          </w:p>
        </w:tc>
        <w:tc>
          <w:tcPr>
            <w:tcW w:w="297" w:type="pct"/>
            <w:tcBorders>
              <w:left w:val="nil"/>
              <w:right w:val="nil"/>
            </w:tcBorders>
          </w:tcPr>
          <w:p w14:paraId="08D97928" w14:textId="77777777" w:rsidR="00794AFD" w:rsidRPr="00FC3D06" w:rsidRDefault="00794AFD" w:rsidP="00794AFD">
            <w:pPr>
              <w:jc w:val="right"/>
              <w:rPr>
                <w:rFonts w:asciiTheme="minorHAnsi" w:hAnsiTheme="minorHAnsi" w:cs="Times New Roman"/>
                <w:sz w:val="16"/>
                <w:szCs w:val="16"/>
              </w:rPr>
            </w:pPr>
          </w:p>
          <w:p w14:paraId="1A099C85"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(0.5)</w:t>
            </w:r>
          </w:p>
        </w:tc>
        <w:tc>
          <w:tcPr>
            <w:tcW w:w="330" w:type="pct"/>
            <w:tcBorders>
              <w:left w:val="nil"/>
              <w:right w:val="nil"/>
            </w:tcBorders>
          </w:tcPr>
          <w:p w14:paraId="7DC65B80" w14:textId="77777777" w:rsidR="00794AFD" w:rsidRPr="00FC3D06" w:rsidRDefault="00794AFD" w:rsidP="00794AFD">
            <w:pPr>
              <w:jc w:val="right"/>
              <w:rPr>
                <w:rFonts w:asciiTheme="minorHAnsi" w:hAnsiTheme="minorHAnsi" w:cs="Times New Roman"/>
                <w:sz w:val="16"/>
                <w:szCs w:val="16"/>
              </w:rPr>
            </w:pPr>
          </w:p>
          <w:p w14:paraId="3DB13EC0"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291" w:type="pct"/>
            <w:gridSpan w:val="2"/>
            <w:tcBorders>
              <w:left w:val="nil"/>
              <w:right w:val="nil"/>
            </w:tcBorders>
          </w:tcPr>
          <w:p w14:paraId="53C13253" w14:textId="77777777" w:rsidR="00794AFD" w:rsidRPr="00FC3D06" w:rsidRDefault="00794AFD" w:rsidP="00794AFD">
            <w:pPr>
              <w:jc w:val="right"/>
              <w:rPr>
                <w:rFonts w:asciiTheme="minorHAnsi" w:hAnsiTheme="minorHAnsi" w:cs="Times New Roman"/>
                <w:sz w:val="16"/>
                <w:szCs w:val="16"/>
              </w:rPr>
            </w:pPr>
          </w:p>
          <w:p w14:paraId="35B48D8B"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0.5</w:t>
            </w:r>
          </w:p>
        </w:tc>
        <w:tc>
          <w:tcPr>
            <w:tcW w:w="342" w:type="pct"/>
            <w:tcBorders>
              <w:left w:val="nil"/>
              <w:right w:val="nil"/>
            </w:tcBorders>
          </w:tcPr>
          <w:p w14:paraId="6AA6DCD8" w14:textId="77777777" w:rsidR="00794AFD" w:rsidRPr="00FC3D06" w:rsidRDefault="00794AFD" w:rsidP="00794AFD">
            <w:pPr>
              <w:jc w:val="right"/>
              <w:rPr>
                <w:rFonts w:asciiTheme="minorHAnsi" w:hAnsiTheme="minorHAnsi" w:cs="Times New Roman"/>
                <w:sz w:val="16"/>
                <w:szCs w:val="16"/>
              </w:rPr>
            </w:pPr>
          </w:p>
          <w:p w14:paraId="1E733206"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76" w:type="pct"/>
            <w:tcBorders>
              <w:left w:val="nil"/>
              <w:right w:val="nil"/>
            </w:tcBorders>
          </w:tcPr>
          <w:p w14:paraId="4452C4B4" w14:textId="77777777" w:rsidR="00794AFD" w:rsidRPr="00FC3D06" w:rsidRDefault="00794AFD" w:rsidP="00794AFD">
            <w:pPr>
              <w:jc w:val="right"/>
              <w:rPr>
                <w:rFonts w:asciiTheme="minorHAnsi" w:hAnsiTheme="minorHAnsi" w:cs="Times New Roman"/>
                <w:sz w:val="16"/>
                <w:szCs w:val="16"/>
              </w:rPr>
            </w:pPr>
          </w:p>
          <w:p w14:paraId="365113E5"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8" w:type="pct"/>
            <w:tcBorders>
              <w:left w:val="nil"/>
              <w:right w:val="nil"/>
            </w:tcBorders>
          </w:tcPr>
          <w:p w14:paraId="5F74FE3F" w14:textId="77777777" w:rsidR="00794AFD" w:rsidRPr="00FC3D06" w:rsidRDefault="00794AFD" w:rsidP="00794AFD">
            <w:pPr>
              <w:jc w:val="right"/>
              <w:rPr>
                <w:rFonts w:asciiTheme="minorHAnsi" w:hAnsiTheme="minorHAnsi" w:cs="Times New Roman"/>
                <w:sz w:val="16"/>
                <w:szCs w:val="16"/>
              </w:rPr>
            </w:pPr>
          </w:p>
          <w:p w14:paraId="264AB0B9"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412" w:type="pct"/>
            <w:tcBorders>
              <w:left w:val="nil"/>
              <w:right w:val="nil"/>
            </w:tcBorders>
          </w:tcPr>
          <w:p w14:paraId="1A6A6A06" w14:textId="77777777" w:rsidR="00794AFD" w:rsidRPr="00FC3D06" w:rsidRDefault="00794AFD" w:rsidP="00794AFD">
            <w:pPr>
              <w:jc w:val="right"/>
              <w:rPr>
                <w:rFonts w:asciiTheme="minorHAnsi" w:hAnsiTheme="minorHAnsi" w:cs="Times New Roman"/>
                <w:sz w:val="16"/>
                <w:szCs w:val="16"/>
              </w:rPr>
            </w:pPr>
          </w:p>
          <w:p w14:paraId="7F722039"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(501.8)</w:t>
            </w:r>
          </w:p>
        </w:tc>
        <w:tc>
          <w:tcPr>
            <w:tcW w:w="319" w:type="pct"/>
            <w:tcBorders>
              <w:left w:val="nil"/>
              <w:right w:val="nil"/>
            </w:tcBorders>
          </w:tcPr>
          <w:p w14:paraId="584B25D0" w14:textId="77777777" w:rsidR="00794AFD" w:rsidRPr="00FC3D06" w:rsidRDefault="00794AFD" w:rsidP="00794AFD">
            <w:pPr>
              <w:jc w:val="right"/>
              <w:rPr>
                <w:rFonts w:asciiTheme="minorHAnsi" w:hAnsiTheme="minorHAnsi" w:cs="Times New Roman"/>
                <w:sz w:val="16"/>
                <w:szCs w:val="16"/>
              </w:rPr>
            </w:pPr>
          </w:p>
          <w:p w14:paraId="55F6872F"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(501.8)</w:t>
            </w:r>
          </w:p>
        </w:tc>
        <w:tc>
          <w:tcPr>
            <w:tcW w:w="319" w:type="pct"/>
            <w:gridSpan w:val="2"/>
            <w:tcBorders>
              <w:left w:val="nil"/>
              <w:right w:val="nil"/>
            </w:tcBorders>
          </w:tcPr>
          <w:p w14:paraId="6DAD021E" w14:textId="77777777" w:rsidR="00794AFD" w:rsidRPr="00FC3D06" w:rsidRDefault="00794AFD" w:rsidP="00794AFD">
            <w:pPr>
              <w:jc w:val="right"/>
              <w:rPr>
                <w:rFonts w:asciiTheme="minorHAnsi" w:hAnsiTheme="minorHAnsi" w:cs="Times New Roman"/>
                <w:sz w:val="16"/>
                <w:szCs w:val="16"/>
              </w:rPr>
            </w:pPr>
          </w:p>
          <w:p w14:paraId="21373641"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16" w:type="pct"/>
            <w:tcBorders>
              <w:left w:val="nil"/>
              <w:right w:val="nil"/>
            </w:tcBorders>
          </w:tcPr>
          <w:p w14:paraId="5E29311B" w14:textId="77777777" w:rsidR="00794AFD" w:rsidRPr="00FC3D06" w:rsidRDefault="00794AFD" w:rsidP="00794AFD">
            <w:pPr>
              <w:jc w:val="right"/>
              <w:rPr>
                <w:rFonts w:asciiTheme="minorHAnsi" w:hAnsiTheme="minorHAnsi" w:cs="Times New Roman"/>
                <w:sz w:val="16"/>
                <w:szCs w:val="16"/>
              </w:rPr>
            </w:pPr>
          </w:p>
          <w:p w14:paraId="6D4DBC50"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(501.8)</w:t>
            </w:r>
          </w:p>
        </w:tc>
      </w:tr>
      <w:tr w:rsidR="00794AFD" w:rsidRPr="001C5950" w14:paraId="735EF1DC" w14:textId="77777777" w:rsidTr="00794AFD">
        <w:trPr>
          <w:gridAfter w:val="1"/>
          <w:wAfter w:w="319" w:type="pct"/>
          <w:trHeight w:val="333"/>
        </w:trPr>
        <w:tc>
          <w:tcPr>
            <w:tcW w:w="943" w:type="pct"/>
            <w:tcBorders>
              <w:left w:val="nil"/>
              <w:right w:val="nil"/>
            </w:tcBorders>
          </w:tcPr>
          <w:p w14:paraId="1E0FBB2F"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 xml:space="preserve">Equity-settled transactions – expense </w:t>
            </w:r>
          </w:p>
          <w:p w14:paraId="5C8CB2DE"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 xml:space="preserve">recorded in income statement </w:t>
            </w:r>
          </w:p>
        </w:tc>
        <w:tc>
          <w:tcPr>
            <w:tcW w:w="388" w:type="pct"/>
            <w:tcBorders>
              <w:left w:val="nil"/>
              <w:right w:val="nil"/>
            </w:tcBorders>
          </w:tcPr>
          <w:p w14:paraId="1CB6E2B7" w14:textId="77777777" w:rsidR="00794AFD" w:rsidRPr="00FC3D06" w:rsidRDefault="00794AFD" w:rsidP="00794AFD">
            <w:pPr>
              <w:jc w:val="right"/>
              <w:rPr>
                <w:rFonts w:asciiTheme="minorHAnsi" w:hAnsiTheme="minorHAnsi" w:cs="Times New Roman"/>
                <w:i/>
                <w:sz w:val="16"/>
                <w:szCs w:val="16"/>
              </w:rPr>
            </w:pPr>
          </w:p>
          <w:p w14:paraId="2F2447D2" w14:textId="77777777" w:rsidR="00794AFD" w:rsidRPr="00FC3D06" w:rsidRDefault="00794AFD" w:rsidP="00794AFD">
            <w:pPr>
              <w:jc w:val="right"/>
              <w:rPr>
                <w:rFonts w:asciiTheme="minorHAnsi" w:hAnsiTheme="minorHAnsi" w:cs="Times New Roman"/>
                <w:i/>
                <w:sz w:val="16"/>
                <w:szCs w:val="16"/>
              </w:rPr>
            </w:pPr>
            <w:r w:rsidRPr="00FC3D06">
              <w:rPr>
                <w:rFonts w:asciiTheme="minorHAnsi" w:hAnsiTheme="minorHAnsi" w:cs="Times New Roman"/>
                <w:i/>
                <w:sz w:val="16"/>
                <w:szCs w:val="16"/>
              </w:rPr>
              <w:t>-</w:t>
            </w:r>
          </w:p>
        </w:tc>
        <w:tc>
          <w:tcPr>
            <w:tcW w:w="297" w:type="pct"/>
            <w:tcBorders>
              <w:left w:val="nil"/>
              <w:right w:val="nil"/>
            </w:tcBorders>
          </w:tcPr>
          <w:p w14:paraId="1DE405C1" w14:textId="77777777" w:rsidR="00794AFD" w:rsidRPr="00FC3D06" w:rsidRDefault="00794AFD" w:rsidP="00794AFD">
            <w:pPr>
              <w:jc w:val="right"/>
              <w:rPr>
                <w:rFonts w:asciiTheme="minorHAnsi" w:hAnsiTheme="minorHAnsi" w:cs="Times New Roman"/>
                <w:sz w:val="16"/>
                <w:szCs w:val="16"/>
              </w:rPr>
            </w:pPr>
          </w:p>
          <w:p w14:paraId="4FBD7502"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30" w:type="pct"/>
            <w:tcBorders>
              <w:left w:val="nil"/>
              <w:right w:val="nil"/>
            </w:tcBorders>
          </w:tcPr>
          <w:p w14:paraId="323EBAE6" w14:textId="77777777" w:rsidR="00794AFD" w:rsidRPr="00FC3D06" w:rsidRDefault="00794AFD" w:rsidP="00794AFD">
            <w:pPr>
              <w:jc w:val="right"/>
              <w:rPr>
                <w:rFonts w:asciiTheme="minorHAnsi" w:hAnsiTheme="minorHAnsi" w:cs="Times New Roman"/>
                <w:sz w:val="16"/>
                <w:szCs w:val="16"/>
              </w:rPr>
            </w:pPr>
          </w:p>
          <w:p w14:paraId="2B94D5FC"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291" w:type="pct"/>
            <w:gridSpan w:val="2"/>
            <w:tcBorders>
              <w:left w:val="nil"/>
              <w:right w:val="nil"/>
            </w:tcBorders>
          </w:tcPr>
          <w:p w14:paraId="07E1E284" w14:textId="77777777" w:rsidR="00794AFD" w:rsidRPr="00FC3D06" w:rsidRDefault="00794AFD" w:rsidP="00794AFD">
            <w:pPr>
              <w:jc w:val="right"/>
              <w:rPr>
                <w:rFonts w:asciiTheme="minorHAnsi" w:hAnsiTheme="minorHAnsi" w:cs="Times New Roman"/>
                <w:sz w:val="16"/>
                <w:szCs w:val="16"/>
              </w:rPr>
            </w:pPr>
          </w:p>
          <w:p w14:paraId="7FBB9DBE"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2" w:type="pct"/>
            <w:tcBorders>
              <w:left w:val="nil"/>
              <w:right w:val="nil"/>
            </w:tcBorders>
          </w:tcPr>
          <w:p w14:paraId="5B9F8047" w14:textId="77777777" w:rsidR="00794AFD" w:rsidRPr="00FC3D06" w:rsidRDefault="00794AFD" w:rsidP="00794AFD">
            <w:pPr>
              <w:jc w:val="right"/>
              <w:rPr>
                <w:rFonts w:asciiTheme="minorHAnsi" w:hAnsiTheme="minorHAnsi" w:cs="Times New Roman"/>
                <w:sz w:val="16"/>
                <w:szCs w:val="16"/>
              </w:rPr>
            </w:pPr>
          </w:p>
          <w:p w14:paraId="1109002F"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76" w:type="pct"/>
            <w:tcBorders>
              <w:left w:val="nil"/>
              <w:right w:val="nil"/>
            </w:tcBorders>
          </w:tcPr>
          <w:p w14:paraId="2158BD21" w14:textId="77777777" w:rsidR="00794AFD" w:rsidRPr="00FC3D06" w:rsidRDefault="00794AFD" w:rsidP="00794AFD">
            <w:pPr>
              <w:jc w:val="right"/>
              <w:rPr>
                <w:rFonts w:asciiTheme="minorHAnsi" w:hAnsiTheme="minorHAnsi" w:cs="Times New Roman"/>
                <w:sz w:val="16"/>
                <w:szCs w:val="16"/>
              </w:rPr>
            </w:pPr>
          </w:p>
          <w:p w14:paraId="645C5B5A"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8" w:type="pct"/>
            <w:tcBorders>
              <w:left w:val="nil"/>
              <w:right w:val="nil"/>
            </w:tcBorders>
          </w:tcPr>
          <w:p w14:paraId="462966A9" w14:textId="77777777" w:rsidR="00794AFD" w:rsidRPr="00FC3D06" w:rsidRDefault="00794AFD" w:rsidP="00794AFD">
            <w:pPr>
              <w:jc w:val="right"/>
              <w:rPr>
                <w:rFonts w:asciiTheme="minorHAnsi" w:hAnsiTheme="minorHAnsi" w:cs="Times New Roman"/>
                <w:sz w:val="16"/>
                <w:szCs w:val="16"/>
              </w:rPr>
            </w:pPr>
          </w:p>
          <w:p w14:paraId="3D542881"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20.4</w:t>
            </w:r>
          </w:p>
        </w:tc>
        <w:tc>
          <w:tcPr>
            <w:tcW w:w="412" w:type="pct"/>
            <w:tcBorders>
              <w:left w:val="nil"/>
              <w:right w:val="nil"/>
            </w:tcBorders>
          </w:tcPr>
          <w:p w14:paraId="60A29ECC" w14:textId="77777777" w:rsidR="00794AFD" w:rsidRPr="00FC3D06" w:rsidRDefault="00794AFD" w:rsidP="00794AFD">
            <w:pPr>
              <w:jc w:val="right"/>
              <w:rPr>
                <w:rFonts w:asciiTheme="minorHAnsi" w:hAnsiTheme="minorHAnsi" w:cs="Times New Roman"/>
                <w:sz w:val="16"/>
                <w:szCs w:val="16"/>
              </w:rPr>
            </w:pPr>
          </w:p>
          <w:p w14:paraId="59B2F251"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19" w:type="pct"/>
            <w:tcBorders>
              <w:left w:val="nil"/>
              <w:right w:val="nil"/>
            </w:tcBorders>
          </w:tcPr>
          <w:p w14:paraId="4106F115" w14:textId="77777777" w:rsidR="00794AFD" w:rsidRPr="00FC3D06" w:rsidRDefault="00794AFD" w:rsidP="00794AFD">
            <w:pPr>
              <w:jc w:val="right"/>
              <w:rPr>
                <w:rFonts w:asciiTheme="minorHAnsi" w:hAnsiTheme="minorHAnsi" w:cs="Times New Roman"/>
                <w:sz w:val="16"/>
                <w:szCs w:val="16"/>
              </w:rPr>
            </w:pPr>
          </w:p>
          <w:p w14:paraId="425B7C6F"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20.4</w:t>
            </w:r>
          </w:p>
        </w:tc>
        <w:tc>
          <w:tcPr>
            <w:tcW w:w="319" w:type="pct"/>
            <w:gridSpan w:val="2"/>
            <w:tcBorders>
              <w:left w:val="nil"/>
              <w:right w:val="nil"/>
            </w:tcBorders>
          </w:tcPr>
          <w:p w14:paraId="4AC184F1" w14:textId="77777777" w:rsidR="00794AFD" w:rsidRPr="00FC3D06" w:rsidRDefault="00794AFD" w:rsidP="00794AFD">
            <w:pPr>
              <w:jc w:val="right"/>
              <w:rPr>
                <w:rFonts w:asciiTheme="minorHAnsi" w:hAnsiTheme="minorHAnsi" w:cs="Times New Roman"/>
                <w:sz w:val="16"/>
                <w:szCs w:val="16"/>
              </w:rPr>
            </w:pPr>
          </w:p>
          <w:p w14:paraId="7D15EA7D"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16" w:type="pct"/>
            <w:tcBorders>
              <w:left w:val="nil"/>
              <w:right w:val="nil"/>
            </w:tcBorders>
          </w:tcPr>
          <w:p w14:paraId="4CD1AE8D" w14:textId="77777777" w:rsidR="00794AFD" w:rsidRPr="00FC3D06" w:rsidRDefault="00794AFD" w:rsidP="00794AFD">
            <w:pPr>
              <w:jc w:val="right"/>
              <w:rPr>
                <w:rFonts w:asciiTheme="minorHAnsi" w:hAnsiTheme="minorHAnsi" w:cs="Times New Roman"/>
                <w:sz w:val="16"/>
                <w:szCs w:val="16"/>
              </w:rPr>
            </w:pPr>
          </w:p>
          <w:p w14:paraId="23223BDA"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20.4</w:t>
            </w:r>
          </w:p>
        </w:tc>
      </w:tr>
      <w:tr w:rsidR="00794AFD" w:rsidRPr="001C5950" w14:paraId="3EA5037C" w14:textId="77777777" w:rsidTr="00794AFD">
        <w:trPr>
          <w:gridAfter w:val="1"/>
          <w:wAfter w:w="319" w:type="pct"/>
          <w:trHeight w:val="120"/>
        </w:trPr>
        <w:tc>
          <w:tcPr>
            <w:tcW w:w="943" w:type="pct"/>
            <w:tcBorders>
              <w:left w:val="nil"/>
              <w:right w:val="nil"/>
            </w:tcBorders>
          </w:tcPr>
          <w:p w14:paraId="1C7172B2"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 xml:space="preserve">Equity-settled transactions – </w:t>
            </w:r>
            <w:proofErr w:type="spellStart"/>
            <w:r w:rsidRPr="001C5950">
              <w:rPr>
                <w:rFonts w:asciiTheme="minorHAnsi" w:hAnsiTheme="minorHAnsi" w:cs="Times New Roman"/>
                <w:sz w:val="16"/>
                <w:szCs w:val="16"/>
              </w:rPr>
              <w:t>vestings</w:t>
            </w:r>
            <w:proofErr w:type="spellEnd"/>
            <w:r w:rsidRPr="001C5950">
              <w:rPr>
                <w:rFonts w:asciiTheme="minorHAnsi" w:hAnsiTheme="minorHAnsi" w:cs="Times New Roman"/>
                <w:sz w:val="16"/>
                <w:szCs w:val="16"/>
              </w:rPr>
              <w:t xml:space="preserve"> </w:t>
            </w:r>
          </w:p>
        </w:tc>
        <w:tc>
          <w:tcPr>
            <w:tcW w:w="388" w:type="pct"/>
            <w:tcBorders>
              <w:left w:val="nil"/>
              <w:right w:val="nil"/>
            </w:tcBorders>
          </w:tcPr>
          <w:p w14:paraId="4749CE30" w14:textId="77777777" w:rsidR="00794AFD" w:rsidRPr="00FC3D06" w:rsidRDefault="00794AFD" w:rsidP="00794AFD">
            <w:pPr>
              <w:jc w:val="right"/>
              <w:rPr>
                <w:rFonts w:asciiTheme="minorHAnsi" w:hAnsiTheme="minorHAnsi" w:cs="Times New Roman"/>
                <w:i/>
                <w:sz w:val="16"/>
                <w:szCs w:val="16"/>
              </w:rPr>
            </w:pPr>
            <w:r w:rsidRPr="00FC3D06">
              <w:rPr>
                <w:rFonts w:asciiTheme="minorHAnsi" w:hAnsiTheme="minorHAnsi" w:cs="Times New Roman"/>
                <w:i/>
                <w:sz w:val="16"/>
                <w:szCs w:val="16"/>
              </w:rPr>
              <w:t>-</w:t>
            </w:r>
          </w:p>
        </w:tc>
        <w:tc>
          <w:tcPr>
            <w:tcW w:w="297" w:type="pct"/>
            <w:tcBorders>
              <w:left w:val="nil"/>
              <w:right w:val="nil"/>
            </w:tcBorders>
          </w:tcPr>
          <w:p w14:paraId="7577D1C3"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30" w:type="pct"/>
            <w:tcBorders>
              <w:left w:val="nil"/>
              <w:right w:val="nil"/>
            </w:tcBorders>
          </w:tcPr>
          <w:p w14:paraId="10B72D3D"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291" w:type="pct"/>
            <w:gridSpan w:val="2"/>
            <w:tcBorders>
              <w:left w:val="nil"/>
              <w:right w:val="nil"/>
            </w:tcBorders>
          </w:tcPr>
          <w:p w14:paraId="5E4F3953"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2" w:type="pct"/>
            <w:tcBorders>
              <w:left w:val="nil"/>
              <w:right w:val="nil"/>
            </w:tcBorders>
          </w:tcPr>
          <w:p w14:paraId="20571FE3"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76" w:type="pct"/>
            <w:tcBorders>
              <w:left w:val="nil"/>
              <w:right w:val="nil"/>
            </w:tcBorders>
          </w:tcPr>
          <w:p w14:paraId="496F0F2C"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7.0</w:t>
            </w:r>
          </w:p>
        </w:tc>
        <w:tc>
          <w:tcPr>
            <w:tcW w:w="348" w:type="pct"/>
            <w:tcBorders>
              <w:left w:val="nil"/>
              <w:right w:val="nil"/>
            </w:tcBorders>
          </w:tcPr>
          <w:p w14:paraId="44A5DE4E"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(6.7)</w:t>
            </w:r>
          </w:p>
        </w:tc>
        <w:tc>
          <w:tcPr>
            <w:tcW w:w="412" w:type="pct"/>
            <w:tcBorders>
              <w:left w:val="nil"/>
              <w:right w:val="nil"/>
            </w:tcBorders>
          </w:tcPr>
          <w:p w14:paraId="2A4E2F94"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0.3</w:t>
            </w:r>
          </w:p>
        </w:tc>
        <w:tc>
          <w:tcPr>
            <w:tcW w:w="319" w:type="pct"/>
            <w:tcBorders>
              <w:left w:val="nil"/>
              <w:right w:val="nil"/>
            </w:tcBorders>
          </w:tcPr>
          <w:p w14:paraId="1484010F"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0.6</w:t>
            </w:r>
          </w:p>
        </w:tc>
        <w:tc>
          <w:tcPr>
            <w:tcW w:w="319" w:type="pct"/>
            <w:gridSpan w:val="2"/>
            <w:tcBorders>
              <w:left w:val="nil"/>
              <w:right w:val="nil"/>
            </w:tcBorders>
          </w:tcPr>
          <w:p w14:paraId="27294A15"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16" w:type="pct"/>
            <w:tcBorders>
              <w:left w:val="nil"/>
              <w:right w:val="nil"/>
            </w:tcBorders>
          </w:tcPr>
          <w:p w14:paraId="760BD2DB"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0.6</w:t>
            </w:r>
          </w:p>
        </w:tc>
      </w:tr>
      <w:tr w:rsidR="00794AFD" w:rsidRPr="001C5950" w14:paraId="1653AE4B" w14:textId="77777777" w:rsidTr="00794AFD">
        <w:trPr>
          <w:gridAfter w:val="1"/>
          <w:wAfter w:w="319" w:type="pct"/>
          <w:trHeight w:val="195"/>
        </w:trPr>
        <w:tc>
          <w:tcPr>
            <w:tcW w:w="943" w:type="pct"/>
            <w:tcBorders>
              <w:left w:val="nil"/>
              <w:right w:val="nil"/>
            </w:tcBorders>
          </w:tcPr>
          <w:p w14:paraId="5B83837D" w14:textId="77777777" w:rsidR="00794AFD" w:rsidRPr="001C5950" w:rsidRDefault="00794AFD" w:rsidP="00794AFD">
            <w:pPr>
              <w:ind w:left="-108"/>
              <w:rPr>
                <w:rFonts w:asciiTheme="minorHAnsi" w:hAnsiTheme="minorHAnsi" w:cs="Times New Roman"/>
                <w:sz w:val="16"/>
                <w:szCs w:val="16"/>
              </w:rPr>
            </w:pPr>
            <w:r w:rsidRPr="001C5950">
              <w:rPr>
                <w:rFonts w:asciiTheme="minorHAnsi" w:hAnsiTheme="minorHAnsi" w:cs="Times New Roman"/>
                <w:sz w:val="16"/>
                <w:szCs w:val="16"/>
              </w:rPr>
              <w:t>Tax on share-based payments</w:t>
            </w:r>
          </w:p>
        </w:tc>
        <w:tc>
          <w:tcPr>
            <w:tcW w:w="388" w:type="pct"/>
            <w:tcBorders>
              <w:left w:val="nil"/>
              <w:right w:val="nil"/>
            </w:tcBorders>
          </w:tcPr>
          <w:p w14:paraId="5F582B46" w14:textId="77777777" w:rsidR="00794AFD" w:rsidRPr="00FC3D06" w:rsidRDefault="00794AFD" w:rsidP="00794AFD">
            <w:pPr>
              <w:jc w:val="right"/>
              <w:rPr>
                <w:rFonts w:asciiTheme="minorHAnsi" w:hAnsiTheme="minorHAnsi" w:cs="Times New Roman"/>
                <w:i/>
                <w:sz w:val="16"/>
                <w:szCs w:val="16"/>
              </w:rPr>
            </w:pPr>
            <w:r w:rsidRPr="00FC3D06">
              <w:rPr>
                <w:rFonts w:asciiTheme="minorHAnsi" w:hAnsiTheme="minorHAnsi" w:cs="Times New Roman"/>
                <w:i/>
                <w:sz w:val="16"/>
                <w:szCs w:val="16"/>
              </w:rPr>
              <w:t>-</w:t>
            </w:r>
          </w:p>
        </w:tc>
        <w:tc>
          <w:tcPr>
            <w:tcW w:w="297" w:type="pct"/>
            <w:tcBorders>
              <w:left w:val="nil"/>
              <w:right w:val="nil"/>
            </w:tcBorders>
          </w:tcPr>
          <w:p w14:paraId="5481069A"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30" w:type="pct"/>
            <w:tcBorders>
              <w:left w:val="nil"/>
              <w:right w:val="nil"/>
            </w:tcBorders>
          </w:tcPr>
          <w:p w14:paraId="74E72A8B"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291" w:type="pct"/>
            <w:gridSpan w:val="2"/>
            <w:tcBorders>
              <w:left w:val="nil"/>
              <w:right w:val="nil"/>
            </w:tcBorders>
          </w:tcPr>
          <w:p w14:paraId="63580636"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2" w:type="pct"/>
            <w:tcBorders>
              <w:left w:val="nil"/>
              <w:right w:val="nil"/>
            </w:tcBorders>
          </w:tcPr>
          <w:p w14:paraId="42F33F3A"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76" w:type="pct"/>
            <w:tcBorders>
              <w:left w:val="nil"/>
              <w:right w:val="nil"/>
            </w:tcBorders>
          </w:tcPr>
          <w:p w14:paraId="08CD6658"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8" w:type="pct"/>
            <w:tcBorders>
              <w:left w:val="nil"/>
              <w:right w:val="nil"/>
            </w:tcBorders>
          </w:tcPr>
          <w:p w14:paraId="4ADC0261"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412" w:type="pct"/>
            <w:tcBorders>
              <w:left w:val="nil"/>
              <w:right w:val="nil"/>
            </w:tcBorders>
          </w:tcPr>
          <w:p w14:paraId="755416DB"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(0.7)</w:t>
            </w:r>
          </w:p>
        </w:tc>
        <w:tc>
          <w:tcPr>
            <w:tcW w:w="319" w:type="pct"/>
            <w:tcBorders>
              <w:left w:val="nil"/>
              <w:right w:val="nil"/>
            </w:tcBorders>
          </w:tcPr>
          <w:p w14:paraId="35FDC4AC"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(0.7)</w:t>
            </w:r>
          </w:p>
        </w:tc>
        <w:tc>
          <w:tcPr>
            <w:tcW w:w="319" w:type="pct"/>
            <w:gridSpan w:val="2"/>
            <w:tcBorders>
              <w:left w:val="nil"/>
              <w:right w:val="nil"/>
            </w:tcBorders>
          </w:tcPr>
          <w:p w14:paraId="636ED0BA"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16" w:type="pct"/>
            <w:tcBorders>
              <w:left w:val="nil"/>
              <w:right w:val="nil"/>
            </w:tcBorders>
          </w:tcPr>
          <w:p w14:paraId="2D4A4C09"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(0.7)</w:t>
            </w:r>
          </w:p>
        </w:tc>
      </w:tr>
      <w:tr w:rsidR="00794AFD" w:rsidRPr="001C5950" w14:paraId="378C93DF" w14:textId="77777777" w:rsidTr="00794AFD">
        <w:trPr>
          <w:gridAfter w:val="1"/>
          <w:wAfter w:w="319" w:type="pct"/>
          <w:trHeight w:val="360"/>
        </w:trPr>
        <w:tc>
          <w:tcPr>
            <w:tcW w:w="943" w:type="pct"/>
            <w:tcBorders>
              <w:left w:val="nil"/>
              <w:right w:val="nil"/>
            </w:tcBorders>
          </w:tcPr>
          <w:p w14:paraId="23522F7E"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 xml:space="preserve">Transfer to retained earnings on exercise of share options </w:t>
            </w:r>
            <w:r w:rsidRPr="00FC3D06">
              <w:rPr>
                <w:rFonts w:asciiTheme="minorHAnsi" w:hAnsiTheme="minorHAnsi" w:cs="Times New Roman"/>
                <w:sz w:val="16"/>
                <w:szCs w:val="16"/>
              </w:rPr>
              <w:t>(Note 1</w:t>
            </w:r>
            <w:r>
              <w:rPr>
                <w:rFonts w:asciiTheme="minorHAnsi" w:hAnsiTheme="minorHAnsi" w:cs="Times New Roman"/>
                <w:sz w:val="16"/>
                <w:szCs w:val="16"/>
              </w:rPr>
              <w:t>1</w:t>
            </w:r>
            <w:r w:rsidRPr="00FC3D06">
              <w:rPr>
                <w:rFonts w:asciiTheme="minorHAnsi" w:hAnsiTheme="minorHAnsi" w:cs="Times New Roman"/>
                <w:sz w:val="16"/>
                <w:szCs w:val="16"/>
              </w:rPr>
              <w:t>)</w:t>
            </w:r>
          </w:p>
        </w:tc>
        <w:tc>
          <w:tcPr>
            <w:tcW w:w="388" w:type="pct"/>
            <w:tcBorders>
              <w:left w:val="nil"/>
              <w:right w:val="nil"/>
            </w:tcBorders>
          </w:tcPr>
          <w:p w14:paraId="22F4A9C0" w14:textId="77777777" w:rsidR="00794AFD" w:rsidRPr="00FC3D06" w:rsidRDefault="00794AFD" w:rsidP="00794AFD">
            <w:pPr>
              <w:jc w:val="right"/>
              <w:rPr>
                <w:rFonts w:asciiTheme="minorHAnsi" w:hAnsiTheme="minorHAnsi" w:cs="Times New Roman"/>
                <w:i/>
                <w:sz w:val="16"/>
                <w:szCs w:val="16"/>
              </w:rPr>
            </w:pPr>
          </w:p>
          <w:p w14:paraId="1F20EE56" w14:textId="77777777" w:rsidR="00794AFD" w:rsidRPr="00FC3D06" w:rsidRDefault="00794AFD" w:rsidP="00794AFD">
            <w:pPr>
              <w:jc w:val="right"/>
              <w:rPr>
                <w:rFonts w:asciiTheme="minorHAnsi" w:hAnsiTheme="minorHAnsi" w:cs="Times New Roman"/>
                <w:i/>
                <w:sz w:val="16"/>
                <w:szCs w:val="16"/>
              </w:rPr>
            </w:pPr>
            <w:r w:rsidRPr="00FC3D06">
              <w:rPr>
                <w:rFonts w:asciiTheme="minorHAnsi" w:hAnsiTheme="minorHAnsi" w:cs="Times New Roman"/>
                <w:i/>
                <w:sz w:val="16"/>
                <w:szCs w:val="16"/>
              </w:rPr>
              <w:t>-</w:t>
            </w:r>
          </w:p>
        </w:tc>
        <w:tc>
          <w:tcPr>
            <w:tcW w:w="297" w:type="pct"/>
            <w:tcBorders>
              <w:left w:val="nil"/>
              <w:right w:val="nil"/>
            </w:tcBorders>
          </w:tcPr>
          <w:p w14:paraId="4D642CF0" w14:textId="77777777" w:rsidR="00794AFD" w:rsidRPr="00FC3D06" w:rsidRDefault="00794AFD" w:rsidP="00794AFD">
            <w:pPr>
              <w:jc w:val="right"/>
              <w:rPr>
                <w:rFonts w:asciiTheme="minorHAnsi" w:hAnsiTheme="minorHAnsi" w:cs="Times New Roman"/>
                <w:sz w:val="16"/>
                <w:szCs w:val="16"/>
              </w:rPr>
            </w:pPr>
          </w:p>
          <w:p w14:paraId="171CC8E9"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30" w:type="pct"/>
            <w:tcBorders>
              <w:left w:val="nil"/>
              <w:right w:val="nil"/>
            </w:tcBorders>
          </w:tcPr>
          <w:p w14:paraId="46543E54" w14:textId="77777777" w:rsidR="00794AFD" w:rsidRPr="00FC3D06" w:rsidRDefault="00794AFD" w:rsidP="00794AFD">
            <w:pPr>
              <w:jc w:val="right"/>
              <w:rPr>
                <w:rFonts w:asciiTheme="minorHAnsi" w:hAnsiTheme="minorHAnsi" w:cs="Times New Roman"/>
                <w:sz w:val="16"/>
                <w:szCs w:val="16"/>
              </w:rPr>
            </w:pPr>
          </w:p>
          <w:p w14:paraId="28E7F263"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291" w:type="pct"/>
            <w:gridSpan w:val="2"/>
            <w:tcBorders>
              <w:left w:val="nil"/>
              <w:right w:val="nil"/>
            </w:tcBorders>
          </w:tcPr>
          <w:p w14:paraId="654A7995" w14:textId="77777777" w:rsidR="00794AFD" w:rsidRPr="00FC3D06" w:rsidRDefault="00794AFD" w:rsidP="00794AFD">
            <w:pPr>
              <w:jc w:val="right"/>
              <w:rPr>
                <w:rFonts w:asciiTheme="minorHAnsi" w:hAnsiTheme="minorHAnsi" w:cs="Times New Roman"/>
                <w:sz w:val="16"/>
                <w:szCs w:val="16"/>
              </w:rPr>
            </w:pPr>
          </w:p>
          <w:p w14:paraId="75273D1D"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2" w:type="pct"/>
            <w:tcBorders>
              <w:left w:val="nil"/>
              <w:right w:val="nil"/>
            </w:tcBorders>
          </w:tcPr>
          <w:p w14:paraId="7D6088A1" w14:textId="77777777" w:rsidR="00794AFD" w:rsidRPr="00FC3D06" w:rsidRDefault="00794AFD" w:rsidP="00794AFD">
            <w:pPr>
              <w:jc w:val="right"/>
              <w:rPr>
                <w:rFonts w:asciiTheme="minorHAnsi" w:hAnsiTheme="minorHAnsi" w:cs="Times New Roman"/>
                <w:sz w:val="16"/>
                <w:szCs w:val="16"/>
              </w:rPr>
            </w:pPr>
          </w:p>
          <w:p w14:paraId="7B667581"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76" w:type="pct"/>
            <w:tcBorders>
              <w:left w:val="nil"/>
              <w:right w:val="nil"/>
            </w:tcBorders>
          </w:tcPr>
          <w:p w14:paraId="24B6E128" w14:textId="77777777" w:rsidR="00794AFD" w:rsidRPr="00FC3D06" w:rsidRDefault="00794AFD" w:rsidP="00794AFD">
            <w:pPr>
              <w:jc w:val="right"/>
              <w:rPr>
                <w:rFonts w:asciiTheme="minorHAnsi" w:hAnsiTheme="minorHAnsi" w:cs="Times New Roman"/>
                <w:sz w:val="16"/>
                <w:szCs w:val="16"/>
              </w:rPr>
            </w:pPr>
          </w:p>
          <w:p w14:paraId="16E888C9"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8" w:type="pct"/>
            <w:tcBorders>
              <w:left w:val="nil"/>
              <w:right w:val="nil"/>
            </w:tcBorders>
          </w:tcPr>
          <w:p w14:paraId="71D444E8" w14:textId="77777777" w:rsidR="00794AFD" w:rsidRPr="00FC3D06" w:rsidRDefault="00794AFD" w:rsidP="00794AFD">
            <w:pPr>
              <w:jc w:val="right"/>
              <w:rPr>
                <w:rFonts w:asciiTheme="minorHAnsi" w:hAnsiTheme="minorHAnsi" w:cs="Times New Roman"/>
                <w:sz w:val="16"/>
                <w:szCs w:val="16"/>
              </w:rPr>
            </w:pPr>
          </w:p>
          <w:p w14:paraId="776479D4"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(40.5)</w:t>
            </w:r>
          </w:p>
        </w:tc>
        <w:tc>
          <w:tcPr>
            <w:tcW w:w="412" w:type="pct"/>
            <w:tcBorders>
              <w:left w:val="nil"/>
              <w:right w:val="nil"/>
            </w:tcBorders>
          </w:tcPr>
          <w:p w14:paraId="64A2BC77" w14:textId="77777777" w:rsidR="00794AFD" w:rsidRPr="00FC3D06" w:rsidRDefault="00794AFD" w:rsidP="00794AFD">
            <w:pPr>
              <w:jc w:val="right"/>
              <w:rPr>
                <w:rFonts w:asciiTheme="minorHAnsi" w:hAnsiTheme="minorHAnsi" w:cs="Times New Roman"/>
                <w:sz w:val="16"/>
                <w:szCs w:val="16"/>
              </w:rPr>
            </w:pPr>
          </w:p>
          <w:p w14:paraId="52250436"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40.5</w:t>
            </w:r>
          </w:p>
        </w:tc>
        <w:tc>
          <w:tcPr>
            <w:tcW w:w="319" w:type="pct"/>
            <w:tcBorders>
              <w:left w:val="nil"/>
              <w:right w:val="nil"/>
            </w:tcBorders>
          </w:tcPr>
          <w:p w14:paraId="711F636E" w14:textId="77777777" w:rsidR="00794AFD" w:rsidRPr="00FC3D06" w:rsidRDefault="00794AFD" w:rsidP="00794AFD">
            <w:pPr>
              <w:jc w:val="right"/>
              <w:rPr>
                <w:rFonts w:asciiTheme="minorHAnsi" w:hAnsiTheme="minorHAnsi" w:cs="Times New Roman"/>
                <w:sz w:val="16"/>
                <w:szCs w:val="16"/>
              </w:rPr>
            </w:pPr>
          </w:p>
          <w:p w14:paraId="5C366EAB"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19" w:type="pct"/>
            <w:gridSpan w:val="2"/>
            <w:tcBorders>
              <w:left w:val="nil"/>
              <w:right w:val="nil"/>
            </w:tcBorders>
          </w:tcPr>
          <w:p w14:paraId="2F406BC4" w14:textId="77777777" w:rsidR="00794AFD" w:rsidRPr="00FC3D06" w:rsidRDefault="00794AFD" w:rsidP="00794AFD">
            <w:pPr>
              <w:jc w:val="right"/>
              <w:rPr>
                <w:rFonts w:asciiTheme="minorHAnsi" w:hAnsiTheme="minorHAnsi" w:cs="Times New Roman"/>
                <w:sz w:val="16"/>
                <w:szCs w:val="16"/>
              </w:rPr>
            </w:pPr>
          </w:p>
          <w:p w14:paraId="55730948"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16" w:type="pct"/>
            <w:tcBorders>
              <w:left w:val="nil"/>
              <w:right w:val="nil"/>
            </w:tcBorders>
          </w:tcPr>
          <w:p w14:paraId="3937E925" w14:textId="77777777" w:rsidR="00794AFD" w:rsidRPr="00FC3D06" w:rsidRDefault="00794AFD" w:rsidP="00794AFD">
            <w:pPr>
              <w:jc w:val="right"/>
              <w:rPr>
                <w:rFonts w:asciiTheme="minorHAnsi" w:hAnsiTheme="minorHAnsi" w:cs="Times New Roman"/>
                <w:sz w:val="16"/>
                <w:szCs w:val="16"/>
              </w:rPr>
            </w:pPr>
          </w:p>
          <w:p w14:paraId="30F8100D"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r>
      <w:tr w:rsidR="00794AFD" w:rsidRPr="001C5950" w14:paraId="7B91EAA1" w14:textId="77777777" w:rsidTr="00794AFD">
        <w:trPr>
          <w:gridAfter w:val="1"/>
          <w:wAfter w:w="319" w:type="pct"/>
          <w:trHeight w:val="70"/>
        </w:trPr>
        <w:tc>
          <w:tcPr>
            <w:tcW w:w="943" w:type="pct"/>
            <w:tcBorders>
              <w:left w:val="nil"/>
              <w:right w:val="nil"/>
            </w:tcBorders>
          </w:tcPr>
          <w:p w14:paraId="2711A0FD"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 xml:space="preserve">Dividends to shareholders </w:t>
            </w:r>
            <w:r w:rsidRPr="00FC3D06">
              <w:rPr>
                <w:rFonts w:asciiTheme="minorHAnsi" w:hAnsiTheme="minorHAnsi" w:cs="Times New Roman"/>
                <w:sz w:val="16"/>
                <w:szCs w:val="16"/>
              </w:rPr>
              <w:t>(Note 1</w:t>
            </w:r>
            <w:r>
              <w:rPr>
                <w:rFonts w:asciiTheme="minorHAnsi" w:hAnsiTheme="minorHAnsi" w:cs="Times New Roman"/>
                <w:sz w:val="16"/>
                <w:szCs w:val="16"/>
              </w:rPr>
              <w:t>2</w:t>
            </w:r>
            <w:r w:rsidRPr="00FC3D06">
              <w:rPr>
                <w:rFonts w:asciiTheme="minorHAnsi" w:hAnsiTheme="minorHAnsi" w:cs="Times New Roman"/>
                <w:sz w:val="16"/>
                <w:szCs w:val="16"/>
              </w:rPr>
              <w:t>)</w:t>
            </w:r>
          </w:p>
        </w:tc>
        <w:tc>
          <w:tcPr>
            <w:tcW w:w="388" w:type="pct"/>
            <w:tcBorders>
              <w:left w:val="nil"/>
              <w:right w:val="nil"/>
            </w:tcBorders>
          </w:tcPr>
          <w:p w14:paraId="6A59CE9E" w14:textId="77777777" w:rsidR="00794AFD" w:rsidRPr="00FC3D06" w:rsidRDefault="00794AFD" w:rsidP="00794AFD">
            <w:pPr>
              <w:jc w:val="right"/>
              <w:rPr>
                <w:rFonts w:asciiTheme="minorHAnsi" w:hAnsiTheme="minorHAnsi" w:cs="Times New Roman"/>
                <w:i/>
                <w:sz w:val="16"/>
                <w:szCs w:val="16"/>
              </w:rPr>
            </w:pPr>
            <w:r w:rsidRPr="00FC3D06">
              <w:rPr>
                <w:rFonts w:asciiTheme="minorHAnsi" w:hAnsiTheme="minorHAnsi" w:cs="Times New Roman"/>
                <w:i/>
                <w:sz w:val="16"/>
                <w:szCs w:val="16"/>
              </w:rPr>
              <w:t>-</w:t>
            </w:r>
          </w:p>
        </w:tc>
        <w:tc>
          <w:tcPr>
            <w:tcW w:w="297" w:type="pct"/>
            <w:tcBorders>
              <w:left w:val="nil"/>
              <w:right w:val="nil"/>
            </w:tcBorders>
          </w:tcPr>
          <w:p w14:paraId="125872E5"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30" w:type="pct"/>
            <w:tcBorders>
              <w:left w:val="nil"/>
              <w:right w:val="nil"/>
            </w:tcBorders>
          </w:tcPr>
          <w:p w14:paraId="663C7974"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291" w:type="pct"/>
            <w:gridSpan w:val="2"/>
            <w:tcBorders>
              <w:left w:val="nil"/>
              <w:right w:val="nil"/>
            </w:tcBorders>
          </w:tcPr>
          <w:p w14:paraId="390C552C"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2" w:type="pct"/>
            <w:tcBorders>
              <w:left w:val="nil"/>
              <w:right w:val="nil"/>
            </w:tcBorders>
          </w:tcPr>
          <w:p w14:paraId="292C4065"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76" w:type="pct"/>
            <w:tcBorders>
              <w:left w:val="nil"/>
              <w:right w:val="nil"/>
            </w:tcBorders>
          </w:tcPr>
          <w:p w14:paraId="21AF1A24"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48" w:type="pct"/>
            <w:tcBorders>
              <w:left w:val="nil"/>
              <w:right w:val="nil"/>
            </w:tcBorders>
          </w:tcPr>
          <w:p w14:paraId="558A9A70"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412" w:type="pct"/>
            <w:tcBorders>
              <w:left w:val="nil"/>
              <w:right w:val="nil"/>
            </w:tcBorders>
          </w:tcPr>
          <w:p w14:paraId="41539FD7"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(169.0)</w:t>
            </w:r>
          </w:p>
        </w:tc>
        <w:tc>
          <w:tcPr>
            <w:tcW w:w="319" w:type="pct"/>
            <w:tcBorders>
              <w:left w:val="nil"/>
              <w:right w:val="nil"/>
            </w:tcBorders>
          </w:tcPr>
          <w:p w14:paraId="4027DD30"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(169.0)</w:t>
            </w:r>
          </w:p>
        </w:tc>
        <w:tc>
          <w:tcPr>
            <w:tcW w:w="319" w:type="pct"/>
            <w:gridSpan w:val="2"/>
            <w:tcBorders>
              <w:left w:val="nil"/>
              <w:right w:val="nil"/>
            </w:tcBorders>
          </w:tcPr>
          <w:p w14:paraId="545D4B5C"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16" w:type="pct"/>
            <w:tcBorders>
              <w:left w:val="nil"/>
              <w:right w:val="nil"/>
            </w:tcBorders>
          </w:tcPr>
          <w:p w14:paraId="1A20E8DB"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(169.0)</w:t>
            </w:r>
          </w:p>
        </w:tc>
      </w:tr>
      <w:tr w:rsidR="00794AFD" w:rsidRPr="001C5950" w14:paraId="1AA08863" w14:textId="77777777" w:rsidTr="00794AFD">
        <w:trPr>
          <w:gridAfter w:val="1"/>
          <w:wAfter w:w="319" w:type="pct"/>
          <w:trHeight w:val="406"/>
        </w:trPr>
        <w:tc>
          <w:tcPr>
            <w:tcW w:w="943" w:type="pct"/>
            <w:tcBorders>
              <w:top w:val="single" w:sz="4" w:space="0" w:color="auto"/>
              <w:left w:val="nil"/>
              <w:bottom w:val="single" w:sz="4" w:space="0" w:color="auto"/>
              <w:right w:val="nil"/>
            </w:tcBorders>
          </w:tcPr>
          <w:p w14:paraId="27E310DC"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 xml:space="preserve">Total contributions by and distributions to </w:t>
            </w:r>
          </w:p>
          <w:p w14:paraId="4D0A90D4" w14:textId="77777777" w:rsidR="00794AFD" w:rsidRPr="001C5950" w:rsidRDefault="00794AFD" w:rsidP="00794AFD">
            <w:pPr>
              <w:spacing w:after="20"/>
              <w:ind w:left="-108"/>
              <w:rPr>
                <w:rFonts w:asciiTheme="minorHAnsi" w:hAnsiTheme="minorHAnsi" w:cs="Times New Roman"/>
                <w:sz w:val="16"/>
                <w:szCs w:val="16"/>
              </w:rPr>
            </w:pPr>
            <w:r w:rsidRPr="001C5950">
              <w:rPr>
                <w:rFonts w:asciiTheme="minorHAnsi" w:hAnsiTheme="minorHAnsi" w:cs="Times New Roman"/>
                <w:sz w:val="16"/>
                <w:szCs w:val="16"/>
              </w:rPr>
              <w:t>owners of the Company</w:t>
            </w:r>
          </w:p>
        </w:tc>
        <w:tc>
          <w:tcPr>
            <w:tcW w:w="388" w:type="pct"/>
            <w:tcBorders>
              <w:top w:val="single" w:sz="4" w:space="0" w:color="auto"/>
              <w:left w:val="nil"/>
              <w:bottom w:val="single" w:sz="4" w:space="0" w:color="auto"/>
              <w:right w:val="nil"/>
            </w:tcBorders>
          </w:tcPr>
          <w:p w14:paraId="2962E4BE" w14:textId="77777777" w:rsidR="00794AFD" w:rsidRPr="00FC3D06" w:rsidRDefault="00794AFD" w:rsidP="00794AFD">
            <w:pPr>
              <w:jc w:val="right"/>
              <w:rPr>
                <w:rFonts w:asciiTheme="minorHAnsi" w:hAnsiTheme="minorHAnsi" w:cs="Times New Roman"/>
                <w:i/>
                <w:sz w:val="16"/>
                <w:szCs w:val="16"/>
              </w:rPr>
            </w:pPr>
          </w:p>
          <w:p w14:paraId="51EE0AB0" w14:textId="77777777" w:rsidR="00794AFD" w:rsidRPr="00FC3D06" w:rsidRDefault="00794AFD" w:rsidP="00794AFD">
            <w:pPr>
              <w:jc w:val="right"/>
              <w:rPr>
                <w:rFonts w:asciiTheme="minorHAnsi" w:hAnsiTheme="minorHAnsi" w:cs="Times New Roman"/>
                <w:i/>
                <w:sz w:val="16"/>
                <w:szCs w:val="16"/>
              </w:rPr>
            </w:pPr>
            <w:r w:rsidRPr="00FC3D06">
              <w:rPr>
                <w:rFonts w:asciiTheme="minorHAnsi" w:hAnsiTheme="minorHAnsi" w:cs="Times New Roman"/>
                <w:i/>
                <w:sz w:val="16"/>
                <w:szCs w:val="16"/>
              </w:rPr>
              <w:t>(5.1)</w:t>
            </w:r>
          </w:p>
        </w:tc>
        <w:tc>
          <w:tcPr>
            <w:tcW w:w="297" w:type="pct"/>
            <w:tcBorders>
              <w:top w:val="single" w:sz="4" w:space="0" w:color="auto"/>
              <w:left w:val="nil"/>
              <w:bottom w:val="single" w:sz="4" w:space="0" w:color="auto"/>
              <w:right w:val="nil"/>
            </w:tcBorders>
          </w:tcPr>
          <w:p w14:paraId="341CEE96" w14:textId="77777777" w:rsidR="00794AFD" w:rsidRPr="00FC3D06" w:rsidRDefault="00794AFD" w:rsidP="00794AFD">
            <w:pPr>
              <w:jc w:val="right"/>
              <w:rPr>
                <w:rFonts w:asciiTheme="minorHAnsi" w:hAnsiTheme="minorHAnsi" w:cs="Times New Roman"/>
                <w:sz w:val="16"/>
                <w:szCs w:val="16"/>
              </w:rPr>
            </w:pPr>
          </w:p>
          <w:p w14:paraId="54F9B281"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1.8</w:t>
            </w:r>
          </w:p>
        </w:tc>
        <w:tc>
          <w:tcPr>
            <w:tcW w:w="330" w:type="pct"/>
            <w:tcBorders>
              <w:top w:val="single" w:sz="4" w:space="0" w:color="auto"/>
              <w:left w:val="nil"/>
              <w:bottom w:val="single" w:sz="4" w:space="0" w:color="auto"/>
              <w:right w:val="nil"/>
            </w:tcBorders>
          </w:tcPr>
          <w:p w14:paraId="0A41D9AE" w14:textId="77777777" w:rsidR="00794AFD" w:rsidRPr="00FC3D06" w:rsidRDefault="00794AFD" w:rsidP="00794AFD">
            <w:pPr>
              <w:jc w:val="right"/>
              <w:rPr>
                <w:rFonts w:asciiTheme="minorHAnsi" w:hAnsiTheme="minorHAnsi" w:cs="Times New Roman"/>
                <w:sz w:val="16"/>
                <w:szCs w:val="16"/>
              </w:rPr>
            </w:pPr>
          </w:p>
          <w:p w14:paraId="1B48A162"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291" w:type="pct"/>
            <w:gridSpan w:val="2"/>
            <w:tcBorders>
              <w:top w:val="single" w:sz="4" w:space="0" w:color="auto"/>
              <w:left w:val="nil"/>
              <w:bottom w:val="single" w:sz="4" w:space="0" w:color="auto"/>
              <w:right w:val="nil"/>
            </w:tcBorders>
          </w:tcPr>
          <w:p w14:paraId="4C63F6C8" w14:textId="77777777" w:rsidR="00794AFD" w:rsidRPr="00FC3D06" w:rsidRDefault="00794AFD" w:rsidP="00794AFD">
            <w:pPr>
              <w:jc w:val="right"/>
              <w:rPr>
                <w:rFonts w:asciiTheme="minorHAnsi" w:hAnsiTheme="minorHAnsi" w:cs="Times New Roman"/>
                <w:sz w:val="16"/>
                <w:szCs w:val="16"/>
              </w:rPr>
            </w:pPr>
          </w:p>
          <w:p w14:paraId="31FF29C1"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0.5</w:t>
            </w:r>
          </w:p>
        </w:tc>
        <w:tc>
          <w:tcPr>
            <w:tcW w:w="342" w:type="pct"/>
            <w:tcBorders>
              <w:top w:val="single" w:sz="4" w:space="0" w:color="auto"/>
              <w:left w:val="nil"/>
              <w:bottom w:val="single" w:sz="4" w:space="0" w:color="auto"/>
              <w:right w:val="nil"/>
            </w:tcBorders>
          </w:tcPr>
          <w:p w14:paraId="24F19573" w14:textId="77777777" w:rsidR="00794AFD" w:rsidRPr="00FC3D06" w:rsidRDefault="00794AFD" w:rsidP="00794AFD">
            <w:pPr>
              <w:jc w:val="right"/>
              <w:rPr>
                <w:rFonts w:asciiTheme="minorHAnsi" w:hAnsiTheme="minorHAnsi" w:cs="Times New Roman"/>
                <w:sz w:val="16"/>
                <w:szCs w:val="16"/>
              </w:rPr>
            </w:pPr>
          </w:p>
          <w:p w14:paraId="62FF296D"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w:t>
            </w:r>
          </w:p>
        </w:tc>
        <w:tc>
          <w:tcPr>
            <w:tcW w:w="376" w:type="pct"/>
            <w:tcBorders>
              <w:top w:val="single" w:sz="4" w:space="0" w:color="auto"/>
              <w:left w:val="nil"/>
              <w:bottom w:val="single" w:sz="4" w:space="0" w:color="auto"/>
              <w:right w:val="nil"/>
            </w:tcBorders>
          </w:tcPr>
          <w:p w14:paraId="71E533D4" w14:textId="77777777" w:rsidR="00794AFD" w:rsidRPr="00FC3D06" w:rsidRDefault="00794AFD" w:rsidP="00794AFD">
            <w:pPr>
              <w:jc w:val="right"/>
              <w:rPr>
                <w:rFonts w:asciiTheme="minorHAnsi" w:hAnsiTheme="minorHAnsi" w:cs="Times New Roman"/>
                <w:sz w:val="16"/>
                <w:szCs w:val="16"/>
              </w:rPr>
            </w:pPr>
          </w:p>
          <w:p w14:paraId="0102482D"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7.0</w:t>
            </w:r>
          </w:p>
        </w:tc>
        <w:tc>
          <w:tcPr>
            <w:tcW w:w="348" w:type="pct"/>
            <w:tcBorders>
              <w:top w:val="single" w:sz="4" w:space="0" w:color="auto"/>
              <w:left w:val="nil"/>
              <w:bottom w:val="single" w:sz="4" w:space="0" w:color="auto"/>
              <w:right w:val="nil"/>
            </w:tcBorders>
          </w:tcPr>
          <w:p w14:paraId="4F979913" w14:textId="77777777" w:rsidR="00794AFD" w:rsidRPr="00FC3D06" w:rsidRDefault="00794AFD" w:rsidP="00794AFD">
            <w:pPr>
              <w:jc w:val="right"/>
              <w:rPr>
                <w:rFonts w:asciiTheme="minorHAnsi" w:hAnsiTheme="minorHAnsi" w:cs="Times New Roman"/>
                <w:sz w:val="16"/>
                <w:szCs w:val="16"/>
              </w:rPr>
            </w:pPr>
          </w:p>
          <w:p w14:paraId="05D8469F"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(26.8)</w:t>
            </w:r>
          </w:p>
        </w:tc>
        <w:tc>
          <w:tcPr>
            <w:tcW w:w="412" w:type="pct"/>
            <w:tcBorders>
              <w:top w:val="single" w:sz="4" w:space="0" w:color="auto"/>
              <w:left w:val="nil"/>
              <w:bottom w:val="single" w:sz="4" w:space="0" w:color="auto"/>
              <w:right w:val="nil"/>
            </w:tcBorders>
          </w:tcPr>
          <w:p w14:paraId="551A0319" w14:textId="77777777" w:rsidR="00794AFD" w:rsidRPr="00FC3D06" w:rsidRDefault="00794AFD" w:rsidP="00794AFD">
            <w:pPr>
              <w:jc w:val="right"/>
              <w:rPr>
                <w:rFonts w:asciiTheme="minorHAnsi" w:hAnsiTheme="minorHAnsi" w:cs="Times New Roman"/>
                <w:sz w:val="16"/>
                <w:szCs w:val="16"/>
              </w:rPr>
            </w:pPr>
          </w:p>
          <w:p w14:paraId="61F5BEE8"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(599.2)</w:t>
            </w:r>
          </w:p>
        </w:tc>
        <w:tc>
          <w:tcPr>
            <w:tcW w:w="319" w:type="pct"/>
            <w:tcBorders>
              <w:top w:val="single" w:sz="4" w:space="0" w:color="auto"/>
              <w:left w:val="nil"/>
              <w:bottom w:val="single" w:sz="4" w:space="0" w:color="auto"/>
              <w:right w:val="nil"/>
            </w:tcBorders>
          </w:tcPr>
          <w:p w14:paraId="2BA9A88B" w14:textId="77777777" w:rsidR="00794AFD" w:rsidRPr="00FC3D06" w:rsidRDefault="00794AFD" w:rsidP="00794AFD">
            <w:pPr>
              <w:jc w:val="right"/>
              <w:rPr>
                <w:rFonts w:asciiTheme="minorHAnsi" w:hAnsiTheme="minorHAnsi" w:cs="Times New Roman"/>
                <w:sz w:val="16"/>
                <w:szCs w:val="16"/>
              </w:rPr>
            </w:pPr>
          </w:p>
          <w:p w14:paraId="26B3A34E"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(616.7)</w:t>
            </w:r>
          </w:p>
        </w:tc>
        <w:tc>
          <w:tcPr>
            <w:tcW w:w="319" w:type="pct"/>
            <w:gridSpan w:val="2"/>
            <w:tcBorders>
              <w:top w:val="single" w:sz="4" w:space="0" w:color="auto"/>
              <w:left w:val="nil"/>
              <w:bottom w:val="single" w:sz="4" w:space="0" w:color="auto"/>
              <w:right w:val="nil"/>
            </w:tcBorders>
          </w:tcPr>
          <w:p w14:paraId="548CB3C3" w14:textId="77777777" w:rsidR="00794AFD" w:rsidRPr="00FC3D06" w:rsidRDefault="00794AFD" w:rsidP="00794AFD">
            <w:pPr>
              <w:jc w:val="right"/>
              <w:rPr>
                <w:rFonts w:asciiTheme="minorHAnsi" w:hAnsiTheme="minorHAnsi" w:cs="Times New Roman"/>
                <w:sz w:val="16"/>
                <w:szCs w:val="16"/>
              </w:rPr>
            </w:pPr>
          </w:p>
          <w:p w14:paraId="34D9242B"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225.8</w:t>
            </w:r>
          </w:p>
        </w:tc>
        <w:tc>
          <w:tcPr>
            <w:tcW w:w="316" w:type="pct"/>
            <w:tcBorders>
              <w:top w:val="single" w:sz="4" w:space="0" w:color="auto"/>
              <w:left w:val="nil"/>
              <w:bottom w:val="single" w:sz="4" w:space="0" w:color="auto"/>
              <w:right w:val="nil"/>
            </w:tcBorders>
          </w:tcPr>
          <w:p w14:paraId="094D67C8" w14:textId="77777777" w:rsidR="00794AFD" w:rsidRPr="00FC3D06" w:rsidRDefault="00794AFD" w:rsidP="00794AFD">
            <w:pPr>
              <w:jc w:val="right"/>
              <w:rPr>
                <w:rFonts w:asciiTheme="minorHAnsi" w:hAnsiTheme="minorHAnsi" w:cs="Times New Roman"/>
                <w:sz w:val="16"/>
                <w:szCs w:val="16"/>
              </w:rPr>
            </w:pPr>
          </w:p>
          <w:p w14:paraId="7993152E"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(390.9)</w:t>
            </w:r>
          </w:p>
        </w:tc>
      </w:tr>
      <w:tr w:rsidR="00794AFD" w:rsidRPr="001C5950" w14:paraId="2E1AC52A" w14:textId="77777777" w:rsidTr="00794AFD">
        <w:trPr>
          <w:gridAfter w:val="1"/>
          <w:wAfter w:w="319" w:type="pct"/>
          <w:trHeight w:val="305"/>
        </w:trPr>
        <w:tc>
          <w:tcPr>
            <w:tcW w:w="943" w:type="pct"/>
            <w:tcBorders>
              <w:top w:val="single" w:sz="4" w:space="0" w:color="auto"/>
              <w:left w:val="nil"/>
              <w:bottom w:val="single" w:sz="4" w:space="0" w:color="auto"/>
              <w:right w:val="nil"/>
            </w:tcBorders>
          </w:tcPr>
          <w:p w14:paraId="1B9D0F6A" w14:textId="77777777" w:rsidR="00794AFD" w:rsidRPr="00134B4F" w:rsidRDefault="00794AFD" w:rsidP="00794AFD">
            <w:pPr>
              <w:spacing w:after="20"/>
              <w:ind w:left="-108"/>
              <w:rPr>
                <w:rFonts w:asciiTheme="minorHAnsi" w:hAnsiTheme="minorHAnsi" w:cs="Times New Roman"/>
                <w:sz w:val="16"/>
                <w:szCs w:val="16"/>
              </w:rPr>
            </w:pPr>
          </w:p>
          <w:p w14:paraId="736519FD" w14:textId="77777777" w:rsidR="00794AFD" w:rsidRPr="00FC3D06" w:rsidRDefault="00794AFD" w:rsidP="00794AFD">
            <w:pPr>
              <w:spacing w:after="20"/>
              <w:ind w:left="-108"/>
              <w:rPr>
                <w:rFonts w:asciiTheme="minorHAnsi" w:hAnsiTheme="minorHAnsi" w:cs="Times New Roman"/>
                <w:b/>
                <w:sz w:val="16"/>
                <w:szCs w:val="16"/>
              </w:rPr>
            </w:pPr>
            <w:r w:rsidRPr="00134B4F">
              <w:rPr>
                <w:rFonts w:asciiTheme="minorHAnsi" w:hAnsiTheme="minorHAnsi" w:cs="Times New Roman"/>
                <w:sz w:val="16"/>
                <w:szCs w:val="16"/>
              </w:rPr>
              <w:t>Balance at 31 December 2018</w:t>
            </w:r>
          </w:p>
        </w:tc>
        <w:tc>
          <w:tcPr>
            <w:tcW w:w="388" w:type="pct"/>
            <w:tcBorders>
              <w:top w:val="single" w:sz="4" w:space="0" w:color="auto"/>
              <w:left w:val="nil"/>
              <w:bottom w:val="single" w:sz="4" w:space="0" w:color="auto"/>
              <w:right w:val="nil"/>
            </w:tcBorders>
          </w:tcPr>
          <w:p w14:paraId="08A2FFDE" w14:textId="77777777" w:rsidR="00794AFD" w:rsidRPr="00FC3D06" w:rsidRDefault="00794AFD" w:rsidP="00794AFD">
            <w:pPr>
              <w:jc w:val="right"/>
              <w:rPr>
                <w:rFonts w:asciiTheme="minorHAnsi" w:hAnsiTheme="minorHAnsi" w:cs="Times New Roman"/>
                <w:sz w:val="16"/>
                <w:szCs w:val="16"/>
              </w:rPr>
            </w:pPr>
          </w:p>
          <w:p w14:paraId="703E8BFC" w14:textId="77777777" w:rsidR="00794AFD" w:rsidRPr="00FC3D06" w:rsidRDefault="00794AFD" w:rsidP="00794AFD">
            <w:pPr>
              <w:jc w:val="right"/>
              <w:rPr>
                <w:rFonts w:asciiTheme="minorHAnsi" w:hAnsiTheme="minorHAnsi" w:cs="Times New Roman"/>
                <w:i/>
                <w:sz w:val="16"/>
                <w:szCs w:val="16"/>
              </w:rPr>
            </w:pPr>
            <w:r w:rsidRPr="00FC3D06">
              <w:rPr>
                <w:rFonts w:asciiTheme="minorHAnsi" w:hAnsiTheme="minorHAnsi" w:cs="Times New Roman"/>
                <w:i/>
                <w:sz w:val="16"/>
                <w:szCs w:val="16"/>
              </w:rPr>
              <w:t>81.4</w:t>
            </w:r>
          </w:p>
        </w:tc>
        <w:tc>
          <w:tcPr>
            <w:tcW w:w="297" w:type="pct"/>
            <w:tcBorders>
              <w:top w:val="single" w:sz="4" w:space="0" w:color="auto"/>
              <w:left w:val="nil"/>
              <w:bottom w:val="single" w:sz="4" w:space="0" w:color="auto"/>
              <w:right w:val="nil"/>
            </w:tcBorders>
          </w:tcPr>
          <w:p w14:paraId="2A8D466C" w14:textId="77777777" w:rsidR="00794AFD" w:rsidRPr="00FC3D06" w:rsidRDefault="00794AFD" w:rsidP="00794AFD">
            <w:pPr>
              <w:jc w:val="right"/>
              <w:rPr>
                <w:rFonts w:asciiTheme="minorHAnsi" w:hAnsiTheme="minorHAnsi" w:cs="Times New Roman"/>
                <w:sz w:val="16"/>
                <w:szCs w:val="16"/>
              </w:rPr>
            </w:pPr>
          </w:p>
          <w:p w14:paraId="08D36B17"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424.8</w:t>
            </w:r>
          </w:p>
        </w:tc>
        <w:tc>
          <w:tcPr>
            <w:tcW w:w="330" w:type="pct"/>
            <w:tcBorders>
              <w:top w:val="single" w:sz="4" w:space="0" w:color="auto"/>
              <w:left w:val="nil"/>
              <w:bottom w:val="single" w:sz="4" w:space="0" w:color="auto"/>
              <w:right w:val="nil"/>
            </w:tcBorders>
          </w:tcPr>
          <w:p w14:paraId="31BFFA44" w14:textId="77777777" w:rsidR="00794AFD" w:rsidRPr="00FC3D06" w:rsidRDefault="00794AFD" w:rsidP="00794AFD">
            <w:pPr>
              <w:jc w:val="right"/>
              <w:rPr>
                <w:rFonts w:asciiTheme="minorHAnsi" w:hAnsiTheme="minorHAnsi" w:cs="Times New Roman"/>
                <w:sz w:val="16"/>
                <w:szCs w:val="16"/>
              </w:rPr>
            </w:pPr>
          </w:p>
          <w:p w14:paraId="2CF0E34A"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4.1</w:t>
            </w:r>
          </w:p>
        </w:tc>
        <w:tc>
          <w:tcPr>
            <w:tcW w:w="291" w:type="pct"/>
            <w:gridSpan w:val="2"/>
            <w:tcBorders>
              <w:top w:val="single" w:sz="4" w:space="0" w:color="auto"/>
              <w:left w:val="nil"/>
              <w:bottom w:val="single" w:sz="4" w:space="0" w:color="auto"/>
              <w:right w:val="nil"/>
            </w:tcBorders>
          </w:tcPr>
          <w:p w14:paraId="304C4688" w14:textId="77777777" w:rsidR="00794AFD" w:rsidRPr="00FC3D06" w:rsidRDefault="00794AFD" w:rsidP="00794AFD">
            <w:pPr>
              <w:jc w:val="right"/>
              <w:rPr>
                <w:rFonts w:asciiTheme="minorHAnsi" w:hAnsiTheme="minorHAnsi" w:cs="Times New Roman"/>
                <w:sz w:val="16"/>
                <w:szCs w:val="16"/>
              </w:rPr>
            </w:pPr>
          </w:p>
          <w:p w14:paraId="793A8F2B"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2.2</w:t>
            </w:r>
          </w:p>
        </w:tc>
        <w:tc>
          <w:tcPr>
            <w:tcW w:w="342" w:type="pct"/>
            <w:tcBorders>
              <w:top w:val="single" w:sz="4" w:space="0" w:color="auto"/>
              <w:left w:val="nil"/>
              <w:bottom w:val="single" w:sz="4" w:space="0" w:color="auto"/>
              <w:right w:val="nil"/>
            </w:tcBorders>
          </w:tcPr>
          <w:p w14:paraId="56935490" w14:textId="77777777" w:rsidR="00794AFD" w:rsidRPr="00FC3D06" w:rsidRDefault="00794AFD" w:rsidP="00794AFD">
            <w:pPr>
              <w:jc w:val="right"/>
              <w:rPr>
                <w:rFonts w:asciiTheme="minorHAnsi" w:hAnsiTheme="minorHAnsi" w:cs="Times New Roman"/>
                <w:sz w:val="16"/>
                <w:szCs w:val="16"/>
              </w:rPr>
            </w:pPr>
          </w:p>
          <w:p w14:paraId="6D200089"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(40.7)</w:t>
            </w:r>
          </w:p>
        </w:tc>
        <w:tc>
          <w:tcPr>
            <w:tcW w:w="376" w:type="pct"/>
            <w:tcBorders>
              <w:top w:val="single" w:sz="4" w:space="0" w:color="auto"/>
              <w:left w:val="nil"/>
              <w:bottom w:val="single" w:sz="4" w:space="0" w:color="auto"/>
              <w:right w:val="nil"/>
            </w:tcBorders>
          </w:tcPr>
          <w:p w14:paraId="7FC17B01" w14:textId="77777777" w:rsidR="00794AFD" w:rsidRPr="00FC3D06" w:rsidRDefault="00794AFD" w:rsidP="00794AFD">
            <w:pPr>
              <w:jc w:val="right"/>
              <w:rPr>
                <w:rFonts w:asciiTheme="minorHAnsi" w:hAnsiTheme="minorHAnsi" w:cs="Times New Roman"/>
                <w:sz w:val="16"/>
                <w:szCs w:val="16"/>
              </w:rPr>
            </w:pPr>
          </w:p>
          <w:p w14:paraId="3C98E3A7"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(8.6)</w:t>
            </w:r>
          </w:p>
        </w:tc>
        <w:tc>
          <w:tcPr>
            <w:tcW w:w="348" w:type="pct"/>
            <w:tcBorders>
              <w:top w:val="single" w:sz="4" w:space="0" w:color="auto"/>
              <w:left w:val="nil"/>
              <w:bottom w:val="single" w:sz="4" w:space="0" w:color="auto"/>
              <w:right w:val="nil"/>
            </w:tcBorders>
          </w:tcPr>
          <w:p w14:paraId="5062551C" w14:textId="77777777" w:rsidR="00794AFD" w:rsidRPr="00FC3D06" w:rsidRDefault="00794AFD" w:rsidP="00794AFD">
            <w:pPr>
              <w:jc w:val="right"/>
              <w:rPr>
                <w:rFonts w:asciiTheme="minorHAnsi" w:hAnsiTheme="minorHAnsi" w:cs="Times New Roman"/>
                <w:sz w:val="16"/>
                <w:szCs w:val="16"/>
              </w:rPr>
            </w:pPr>
          </w:p>
          <w:p w14:paraId="6767EC09"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86.1</w:t>
            </w:r>
          </w:p>
        </w:tc>
        <w:tc>
          <w:tcPr>
            <w:tcW w:w="412" w:type="pct"/>
            <w:tcBorders>
              <w:top w:val="single" w:sz="4" w:space="0" w:color="auto"/>
              <w:left w:val="nil"/>
              <w:bottom w:val="single" w:sz="4" w:space="0" w:color="auto"/>
              <w:right w:val="nil"/>
            </w:tcBorders>
          </w:tcPr>
          <w:p w14:paraId="18D6FF72" w14:textId="77777777" w:rsidR="00794AFD" w:rsidRPr="00FC3D06" w:rsidRDefault="00794AFD" w:rsidP="00794AFD">
            <w:pPr>
              <w:jc w:val="right"/>
              <w:rPr>
                <w:rFonts w:asciiTheme="minorHAnsi" w:hAnsiTheme="minorHAnsi" w:cs="Times New Roman"/>
                <w:sz w:val="16"/>
                <w:szCs w:val="16"/>
              </w:rPr>
            </w:pPr>
          </w:p>
          <w:p w14:paraId="0B127AA7"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3,530.1</w:t>
            </w:r>
          </w:p>
        </w:tc>
        <w:tc>
          <w:tcPr>
            <w:tcW w:w="319" w:type="pct"/>
            <w:tcBorders>
              <w:top w:val="single" w:sz="4" w:space="0" w:color="auto"/>
              <w:left w:val="nil"/>
              <w:bottom w:val="single" w:sz="4" w:space="0" w:color="auto"/>
              <w:right w:val="nil"/>
            </w:tcBorders>
          </w:tcPr>
          <w:p w14:paraId="5EF82205" w14:textId="77777777" w:rsidR="00794AFD" w:rsidRPr="00FC3D06" w:rsidRDefault="00794AFD" w:rsidP="00794AFD">
            <w:pPr>
              <w:jc w:val="right"/>
              <w:rPr>
                <w:rFonts w:asciiTheme="minorHAnsi" w:hAnsiTheme="minorHAnsi" w:cs="Times New Roman"/>
                <w:sz w:val="16"/>
                <w:szCs w:val="16"/>
              </w:rPr>
            </w:pPr>
          </w:p>
          <w:p w14:paraId="703E1359"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3,998.0</w:t>
            </w:r>
          </w:p>
        </w:tc>
        <w:tc>
          <w:tcPr>
            <w:tcW w:w="319" w:type="pct"/>
            <w:gridSpan w:val="2"/>
            <w:tcBorders>
              <w:top w:val="single" w:sz="4" w:space="0" w:color="auto"/>
              <w:left w:val="nil"/>
              <w:bottom w:val="single" w:sz="4" w:space="0" w:color="auto"/>
              <w:right w:val="nil"/>
            </w:tcBorders>
          </w:tcPr>
          <w:p w14:paraId="18792F00" w14:textId="77777777" w:rsidR="00794AFD" w:rsidRPr="00FC3D06" w:rsidRDefault="00794AFD" w:rsidP="00794AFD">
            <w:pPr>
              <w:jc w:val="right"/>
              <w:rPr>
                <w:rFonts w:asciiTheme="minorHAnsi" w:hAnsiTheme="minorHAnsi" w:cs="Times New Roman"/>
                <w:sz w:val="16"/>
                <w:szCs w:val="16"/>
              </w:rPr>
            </w:pPr>
          </w:p>
          <w:p w14:paraId="7C0CDB9A"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213.3</w:t>
            </w:r>
          </w:p>
        </w:tc>
        <w:tc>
          <w:tcPr>
            <w:tcW w:w="316" w:type="pct"/>
            <w:tcBorders>
              <w:top w:val="single" w:sz="4" w:space="0" w:color="auto"/>
              <w:left w:val="nil"/>
              <w:bottom w:val="single" w:sz="4" w:space="0" w:color="auto"/>
              <w:right w:val="nil"/>
            </w:tcBorders>
          </w:tcPr>
          <w:p w14:paraId="1451A386" w14:textId="77777777" w:rsidR="00794AFD" w:rsidRPr="00FC3D06" w:rsidRDefault="00794AFD" w:rsidP="00794AFD">
            <w:pPr>
              <w:jc w:val="right"/>
              <w:rPr>
                <w:rFonts w:asciiTheme="minorHAnsi" w:hAnsiTheme="minorHAnsi" w:cs="Times New Roman"/>
                <w:sz w:val="16"/>
                <w:szCs w:val="16"/>
              </w:rPr>
            </w:pPr>
          </w:p>
          <w:p w14:paraId="1AFB19D5" w14:textId="77777777" w:rsidR="00794AFD" w:rsidRPr="00FC3D06" w:rsidRDefault="00794AFD" w:rsidP="00794AFD">
            <w:pPr>
              <w:jc w:val="right"/>
              <w:rPr>
                <w:rFonts w:asciiTheme="minorHAnsi" w:hAnsiTheme="minorHAnsi" w:cs="Times New Roman"/>
                <w:sz w:val="16"/>
                <w:szCs w:val="16"/>
              </w:rPr>
            </w:pPr>
            <w:r w:rsidRPr="00FC3D06">
              <w:rPr>
                <w:rFonts w:asciiTheme="minorHAnsi" w:hAnsiTheme="minorHAnsi" w:cs="Times New Roman"/>
                <w:sz w:val="16"/>
                <w:szCs w:val="16"/>
              </w:rPr>
              <w:t>4,211.3</w:t>
            </w:r>
          </w:p>
        </w:tc>
      </w:tr>
    </w:tbl>
    <w:p w14:paraId="540AAC5B" w14:textId="77777777" w:rsidR="00794AFD" w:rsidRDefault="00794AFD" w:rsidP="00794AFD">
      <w:pPr>
        <w:rPr>
          <w:rFonts w:asciiTheme="minorHAnsi" w:hAnsiTheme="minorHAnsi" w:cs="Times New Roman"/>
          <w:sz w:val="20"/>
          <w:szCs w:val="18"/>
        </w:rPr>
      </w:pPr>
    </w:p>
    <w:p w14:paraId="3882FF91" w14:textId="77777777" w:rsidR="00794AFD" w:rsidRPr="00FC3D06" w:rsidRDefault="00794AFD" w:rsidP="00794AFD">
      <w:pPr>
        <w:rPr>
          <w:rFonts w:asciiTheme="minorHAnsi" w:hAnsiTheme="minorHAnsi" w:cs="Times New Roman"/>
          <w:sz w:val="20"/>
          <w:szCs w:val="18"/>
        </w:rPr>
      </w:pPr>
    </w:p>
    <w:p w14:paraId="149335B8" w14:textId="77777777" w:rsidR="00794AFD" w:rsidRPr="001C5950" w:rsidRDefault="00794AFD" w:rsidP="00794AFD">
      <w:pPr>
        <w:rPr>
          <w:rFonts w:asciiTheme="minorHAnsi" w:hAnsiTheme="minorHAnsi" w:cs="Times New Roman"/>
          <w:sz w:val="18"/>
          <w:szCs w:val="18"/>
        </w:rPr>
      </w:pPr>
      <w:r w:rsidRPr="000944E4">
        <w:rPr>
          <w:rFonts w:asciiTheme="minorHAnsi" w:hAnsiTheme="minorHAnsi" w:cs="Times New Roman"/>
          <w:sz w:val="20"/>
          <w:szCs w:val="18"/>
        </w:rPr>
        <w:t xml:space="preserve">Notes 1 to </w:t>
      </w:r>
      <w:r>
        <w:rPr>
          <w:rFonts w:asciiTheme="minorHAnsi" w:hAnsiTheme="minorHAnsi" w:cs="Times New Roman"/>
          <w:sz w:val="20"/>
          <w:szCs w:val="18"/>
        </w:rPr>
        <w:t>17</w:t>
      </w:r>
      <w:r w:rsidRPr="000944E4">
        <w:rPr>
          <w:rFonts w:asciiTheme="minorHAnsi" w:hAnsiTheme="minorHAnsi" w:cs="Times New Roman"/>
          <w:sz w:val="20"/>
          <w:szCs w:val="18"/>
        </w:rPr>
        <w:t xml:space="preserve"> on pages </w:t>
      </w:r>
      <w:r>
        <w:rPr>
          <w:rFonts w:asciiTheme="minorHAnsi" w:hAnsiTheme="minorHAnsi" w:cs="Times New Roman"/>
          <w:sz w:val="20"/>
          <w:szCs w:val="18"/>
        </w:rPr>
        <w:t>29</w:t>
      </w:r>
      <w:r w:rsidRPr="000944E4">
        <w:rPr>
          <w:rFonts w:asciiTheme="minorHAnsi" w:hAnsiTheme="minorHAnsi" w:cs="Times New Roman"/>
          <w:sz w:val="20"/>
          <w:szCs w:val="18"/>
        </w:rPr>
        <w:t xml:space="preserve"> to </w:t>
      </w:r>
      <w:r>
        <w:rPr>
          <w:rFonts w:asciiTheme="minorHAnsi" w:hAnsiTheme="minorHAnsi" w:cs="Times New Roman"/>
          <w:sz w:val="20"/>
          <w:szCs w:val="18"/>
        </w:rPr>
        <w:t>54</w:t>
      </w:r>
      <w:r w:rsidRPr="000944E4">
        <w:rPr>
          <w:rFonts w:asciiTheme="minorHAnsi" w:hAnsiTheme="minorHAnsi" w:cs="Times New Roman"/>
          <w:sz w:val="20"/>
          <w:szCs w:val="18"/>
        </w:rPr>
        <w:t xml:space="preserve"> form an integral part of these</w:t>
      </w:r>
      <w:r>
        <w:rPr>
          <w:rFonts w:asciiTheme="minorHAnsi" w:hAnsiTheme="minorHAnsi" w:cs="Times New Roman"/>
          <w:sz w:val="20"/>
          <w:szCs w:val="18"/>
        </w:rPr>
        <w:t xml:space="preserve"> condensed</w:t>
      </w:r>
      <w:r w:rsidRPr="000944E4">
        <w:rPr>
          <w:rFonts w:asciiTheme="minorHAnsi" w:hAnsiTheme="minorHAnsi" w:cs="Times New Roman"/>
          <w:sz w:val="20"/>
          <w:szCs w:val="18"/>
        </w:rPr>
        <w:t xml:space="preserve"> consolidated financial statements</w:t>
      </w:r>
      <w:r w:rsidRPr="000944E4">
        <w:rPr>
          <w:rFonts w:asciiTheme="minorHAnsi" w:hAnsiTheme="minorHAnsi" w:cs="Times New Roman"/>
          <w:sz w:val="18"/>
          <w:szCs w:val="18"/>
        </w:rPr>
        <w:t>.</w:t>
      </w:r>
    </w:p>
    <w:p w14:paraId="6E8097BA" w14:textId="77777777" w:rsidR="00794AFD" w:rsidRPr="00FC3D06" w:rsidRDefault="00794AFD" w:rsidP="00794AFD">
      <w:pPr>
        <w:rPr>
          <w:rFonts w:ascii="Times New Roman" w:hAnsi="Times New Roman" w:cs="Times New Roman"/>
          <w:sz w:val="18"/>
          <w:szCs w:val="18"/>
        </w:rPr>
        <w:sectPr w:rsidR="00794AFD" w:rsidRPr="00FC3D06" w:rsidSect="00505BE0">
          <w:pgSz w:w="16834" w:h="11909" w:orient="landscape" w:code="9"/>
          <w:pgMar w:top="680" w:right="624" w:bottom="680" w:left="635" w:header="720" w:footer="720" w:gutter="0"/>
          <w:cols w:space="720"/>
          <w:noEndnote/>
          <w:docGrid w:linePitch="326"/>
        </w:sectPr>
      </w:pPr>
    </w:p>
    <w:p w14:paraId="5649AA23" w14:textId="77777777" w:rsidR="00794AFD" w:rsidRPr="001C5950" w:rsidRDefault="00794AFD" w:rsidP="00794AFD">
      <w:pPr>
        <w:rPr>
          <w:rFonts w:asciiTheme="minorHAnsi" w:hAnsiTheme="minorHAnsi" w:cs="Times New Roman"/>
          <w:b/>
          <w:sz w:val="20"/>
          <w:szCs w:val="20"/>
        </w:rPr>
      </w:pPr>
      <w:r w:rsidRPr="001C5950">
        <w:rPr>
          <w:rFonts w:asciiTheme="minorHAnsi" w:hAnsiTheme="minorHAnsi" w:cs="Times New Roman"/>
          <w:b/>
          <w:sz w:val="20"/>
          <w:szCs w:val="20"/>
        </w:rPr>
        <w:lastRenderedPageBreak/>
        <w:t>NOTES TO THE CONSOLIDATED FINANCIAL STATEMENTS</w:t>
      </w:r>
    </w:p>
    <w:p w14:paraId="6310EC63" w14:textId="77777777" w:rsidR="00794AFD" w:rsidRPr="001C5950" w:rsidRDefault="00794AFD" w:rsidP="00794AFD">
      <w:pPr>
        <w:pStyle w:val="BodyText"/>
        <w:jc w:val="left"/>
        <w:rPr>
          <w:rFonts w:asciiTheme="minorHAnsi" w:hAnsiTheme="minorHAnsi" w:cs="Times New Roman"/>
          <w:b/>
          <w:bCs/>
          <w:sz w:val="20"/>
          <w:szCs w:val="20"/>
        </w:rPr>
      </w:pPr>
    </w:p>
    <w:p w14:paraId="1B496C7B" w14:textId="77777777" w:rsidR="00794AFD" w:rsidRPr="001C5950" w:rsidRDefault="00794AFD" w:rsidP="00794AFD">
      <w:pPr>
        <w:pStyle w:val="BodyText"/>
        <w:jc w:val="left"/>
        <w:rPr>
          <w:rFonts w:asciiTheme="minorHAnsi" w:hAnsiTheme="minorHAnsi" w:cs="Times New Roman"/>
          <w:b/>
          <w:bCs/>
          <w:sz w:val="20"/>
          <w:szCs w:val="20"/>
        </w:rPr>
      </w:pPr>
      <w:r w:rsidRPr="001C5950">
        <w:rPr>
          <w:rFonts w:asciiTheme="minorHAnsi" w:hAnsiTheme="minorHAnsi" w:cs="Times New Roman"/>
          <w:b/>
          <w:bCs/>
          <w:sz w:val="20"/>
          <w:szCs w:val="20"/>
        </w:rPr>
        <w:t>1.  General information</w:t>
      </w:r>
    </w:p>
    <w:p w14:paraId="6AD36E57" w14:textId="77777777" w:rsidR="00794AFD" w:rsidRPr="004E5975" w:rsidRDefault="00794AFD" w:rsidP="00794AFD">
      <w:pPr>
        <w:rPr>
          <w:rFonts w:asciiTheme="minorHAnsi" w:hAnsiTheme="minorHAnsi" w:cs="Times New Roman"/>
          <w:sz w:val="12"/>
          <w:szCs w:val="12"/>
        </w:rPr>
      </w:pPr>
    </w:p>
    <w:p w14:paraId="4C3D00A2" w14:textId="77777777" w:rsidR="00794AFD" w:rsidRDefault="00794AFD" w:rsidP="00794AFD">
      <w:pPr>
        <w:rPr>
          <w:rFonts w:asciiTheme="minorHAnsi" w:hAnsiTheme="minorHAnsi" w:cs="Times New Roman"/>
          <w:sz w:val="20"/>
          <w:szCs w:val="20"/>
        </w:rPr>
      </w:pPr>
      <w:r>
        <w:rPr>
          <w:rFonts w:asciiTheme="minorHAnsi" w:hAnsiTheme="minorHAnsi" w:cs="Times New Roman"/>
          <w:sz w:val="20"/>
          <w:szCs w:val="20"/>
        </w:rPr>
        <w:t xml:space="preserve">Flutter Entertainment </w:t>
      </w:r>
      <w:r w:rsidRPr="001C5950">
        <w:rPr>
          <w:rFonts w:asciiTheme="minorHAnsi" w:hAnsiTheme="minorHAnsi" w:cs="Times New Roman"/>
          <w:sz w:val="20"/>
          <w:szCs w:val="20"/>
        </w:rPr>
        <w:t>plc (the “Company”) and its subsidiaries (together referred to as the “Group”) is a global sports betting and gaming group, whose headquarters are in Dublin, Ireland. The Group currently operates across four divisions; (</w:t>
      </w:r>
      <w:proofErr w:type="spellStart"/>
      <w:r w:rsidRPr="001C5950">
        <w:rPr>
          <w:rFonts w:asciiTheme="minorHAnsi" w:hAnsiTheme="minorHAnsi" w:cs="Times New Roman"/>
          <w:sz w:val="20"/>
          <w:szCs w:val="20"/>
        </w:rPr>
        <w:t>i</w:t>
      </w:r>
      <w:proofErr w:type="spellEnd"/>
      <w:r w:rsidRPr="001C5950">
        <w:rPr>
          <w:rFonts w:asciiTheme="minorHAnsi" w:hAnsiTheme="minorHAnsi" w:cs="Times New Roman"/>
          <w:sz w:val="20"/>
          <w:szCs w:val="20"/>
        </w:rPr>
        <w:t xml:space="preserve">) </w:t>
      </w:r>
      <w:r>
        <w:rPr>
          <w:rFonts w:asciiTheme="minorHAnsi" w:hAnsiTheme="minorHAnsi" w:cs="Times New Roman"/>
          <w:sz w:val="20"/>
          <w:szCs w:val="20"/>
        </w:rPr>
        <w:t xml:space="preserve">PPB Online which </w:t>
      </w:r>
      <w:r w:rsidRPr="001C5950">
        <w:rPr>
          <w:rFonts w:asciiTheme="minorHAnsi" w:hAnsiTheme="minorHAnsi" w:cs="Times New Roman"/>
          <w:sz w:val="20"/>
          <w:szCs w:val="20"/>
        </w:rPr>
        <w:t>include</w:t>
      </w:r>
      <w:r>
        <w:rPr>
          <w:rFonts w:asciiTheme="minorHAnsi" w:hAnsiTheme="minorHAnsi" w:cs="Times New Roman"/>
          <w:sz w:val="20"/>
          <w:szCs w:val="20"/>
        </w:rPr>
        <w:t>s</w:t>
      </w:r>
      <w:r w:rsidRPr="001C5950">
        <w:rPr>
          <w:rFonts w:asciiTheme="minorHAnsi" w:hAnsiTheme="minorHAnsi" w:cs="Times New Roman"/>
          <w:sz w:val="20"/>
          <w:szCs w:val="20"/>
        </w:rPr>
        <w:t xml:space="preserve"> the online brands of Paddy Power</w:t>
      </w:r>
      <w:r>
        <w:rPr>
          <w:rFonts w:asciiTheme="minorHAnsi" w:hAnsiTheme="minorHAnsi" w:cs="Times New Roman"/>
          <w:sz w:val="20"/>
          <w:szCs w:val="20"/>
        </w:rPr>
        <w:t>,</w:t>
      </w:r>
      <w:r w:rsidRPr="001C5950">
        <w:rPr>
          <w:rFonts w:asciiTheme="minorHAnsi" w:hAnsiTheme="minorHAnsi" w:cs="Times New Roman"/>
          <w:sz w:val="20"/>
          <w:szCs w:val="20"/>
        </w:rPr>
        <w:t xml:space="preserve"> Betfair</w:t>
      </w:r>
      <w:r>
        <w:rPr>
          <w:rFonts w:asciiTheme="minorHAnsi" w:hAnsiTheme="minorHAnsi" w:cs="Times New Roman"/>
          <w:sz w:val="20"/>
          <w:szCs w:val="20"/>
        </w:rPr>
        <w:t xml:space="preserve"> and Adjarabet,</w:t>
      </w:r>
      <w:r w:rsidRPr="001C5950">
        <w:rPr>
          <w:rFonts w:asciiTheme="minorHAnsi" w:hAnsiTheme="minorHAnsi" w:cs="Times New Roman"/>
          <w:sz w:val="20"/>
          <w:szCs w:val="20"/>
        </w:rPr>
        <w:t xml:space="preserve"> the Paddy Power telephone sportsbook, as well as a number of business-to-business partnerships; (ii) Australia, consisting of Sportsbet, the market leader in the fast-growing Australian online betting market; (iii) </w:t>
      </w:r>
      <w:r>
        <w:rPr>
          <w:rFonts w:asciiTheme="minorHAnsi" w:hAnsiTheme="minorHAnsi" w:cs="Times New Roman"/>
          <w:sz w:val="20"/>
          <w:szCs w:val="20"/>
        </w:rPr>
        <w:t>PPB Retail</w:t>
      </w:r>
      <w:r w:rsidRPr="001C5950">
        <w:rPr>
          <w:rFonts w:asciiTheme="minorHAnsi" w:hAnsiTheme="minorHAnsi" w:cs="Times New Roman"/>
          <w:sz w:val="20"/>
          <w:szCs w:val="20"/>
        </w:rPr>
        <w:t xml:space="preserve">, which </w:t>
      </w:r>
      <w:r w:rsidRPr="003A5032">
        <w:rPr>
          <w:rFonts w:asciiTheme="minorHAnsi" w:hAnsiTheme="minorHAnsi" w:cs="Times New Roman"/>
          <w:sz w:val="20"/>
          <w:szCs w:val="20"/>
        </w:rPr>
        <w:t xml:space="preserve">operates over </w:t>
      </w:r>
      <w:r w:rsidRPr="000944E4">
        <w:rPr>
          <w:rFonts w:asciiTheme="minorHAnsi" w:hAnsiTheme="minorHAnsi" w:cs="Times New Roman"/>
          <w:sz w:val="20"/>
          <w:szCs w:val="20"/>
        </w:rPr>
        <w:t>620</w:t>
      </w:r>
      <w:r w:rsidRPr="001C5950">
        <w:rPr>
          <w:rFonts w:asciiTheme="minorHAnsi" w:hAnsiTheme="minorHAnsi" w:cs="Times New Roman"/>
          <w:sz w:val="20"/>
          <w:szCs w:val="20"/>
        </w:rPr>
        <w:t xml:space="preserve"> Paddy Power betting shops across the UK and Ireland; and (iv) US, which comprises FanDuel, a market leading operator in daily fantasy sports and online and retail </w:t>
      </w:r>
      <w:proofErr w:type="spellStart"/>
      <w:r w:rsidRPr="001C5950">
        <w:rPr>
          <w:rFonts w:asciiTheme="minorHAnsi" w:hAnsiTheme="minorHAnsi" w:cs="Times New Roman"/>
          <w:sz w:val="20"/>
          <w:szCs w:val="20"/>
        </w:rPr>
        <w:t>sportsbetting</w:t>
      </w:r>
      <w:proofErr w:type="spellEnd"/>
      <w:r w:rsidRPr="001C5950">
        <w:rPr>
          <w:rFonts w:asciiTheme="minorHAnsi" w:hAnsiTheme="minorHAnsi" w:cs="Times New Roman"/>
          <w:sz w:val="20"/>
          <w:szCs w:val="20"/>
        </w:rPr>
        <w:t>, TVG, America’s leading horseracing TV and betting network, the Betfair New Jersey online casino and the Betfair New Jersey horseracing betting exchange.</w:t>
      </w:r>
    </w:p>
    <w:p w14:paraId="5B4E1899" w14:textId="77777777" w:rsidR="00794AFD" w:rsidRPr="004E5975" w:rsidRDefault="00794AFD" w:rsidP="00794AFD">
      <w:pPr>
        <w:rPr>
          <w:rFonts w:asciiTheme="minorHAnsi" w:hAnsiTheme="minorHAnsi" w:cs="Times New Roman"/>
          <w:sz w:val="12"/>
          <w:szCs w:val="12"/>
        </w:rPr>
      </w:pPr>
    </w:p>
    <w:p w14:paraId="5E1285F0" w14:textId="77777777" w:rsidR="00794AFD" w:rsidRPr="00203744" w:rsidRDefault="00794AFD" w:rsidP="00794AFD">
      <w:pPr>
        <w:pStyle w:val="BodyText"/>
        <w:jc w:val="left"/>
        <w:rPr>
          <w:rFonts w:asciiTheme="minorHAnsi" w:hAnsiTheme="minorHAnsi" w:cs="Times New Roman"/>
          <w:sz w:val="20"/>
          <w:szCs w:val="20"/>
        </w:rPr>
      </w:pPr>
      <w:r w:rsidRPr="00203744">
        <w:rPr>
          <w:rFonts w:asciiTheme="minorHAnsi" w:hAnsiTheme="minorHAnsi" w:cs="Times New Roman"/>
          <w:sz w:val="20"/>
          <w:szCs w:val="20"/>
        </w:rPr>
        <w:t xml:space="preserve">The Company is a public limited company incorporated and domiciled in the Republic of Ireland and has its primary listing on the London Stock Exchange and a secondary listing on the Irish Stock Exchange.  </w:t>
      </w:r>
    </w:p>
    <w:p w14:paraId="07A938A9" w14:textId="77777777" w:rsidR="00794AFD" w:rsidRPr="00FC3D06" w:rsidRDefault="00794AFD" w:rsidP="00794AFD">
      <w:pPr>
        <w:pStyle w:val="BodyText"/>
        <w:jc w:val="left"/>
        <w:rPr>
          <w:rFonts w:asciiTheme="minorHAnsi" w:hAnsiTheme="minorHAnsi" w:cs="Times New Roman"/>
          <w:sz w:val="20"/>
          <w:szCs w:val="20"/>
        </w:rPr>
      </w:pPr>
    </w:p>
    <w:p w14:paraId="01EF512A" w14:textId="77777777" w:rsidR="00794AFD" w:rsidRDefault="00794AFD" w:rsidP="00794AFD">
      <w:pPr>
        <w:pStyle w:val="BodyText"/>
        <w:jc w:val="left"/>
        <w:rPr>
          <w:rFonts w:asciiTheme="minorHAnsi" w:hAnsiTheme="minorHAnsi" w:cs="Times New Roman"/>
          <w:sz w:val="20"/>
          <w:szCs w:val="20"/>
        </w:rPr>
      </w:pPr>
      <w:r>
        <w:rPr>
          <w:rFonts w:asciiTheme="minorHAnsi" w:hAnsiTheme="minorHAnsi" w:cs="Times New Roman"/>
          <w:sz w:val="20"/>
          <w:szCs w:val="20"/>
        </w:rPr>
        <w:t>The financial information presented herein does not comprise full statutory financial statements and therefore does not include all of the information required for full annual financial statements. Full statutory financial statements for the year ended 31 December 2019, prepared in accordance with International Financial Reporting Standards (“IFRSs”) as adopted by the European Union (“EU”) together with an unqualified audit report thereon under Section 391 of the Companies Act 2014, will be annexed to the annual return and filed with the Registrar of Companies.</w:t>
      </w:r>
    </w:p>
    <w:p w14:paraId="55095A59" w14:textId="77777777" w:rsidR="00794AFD" w:rsidRDefault="00794AFD" w:rsidP="00794AFD">
      <w:pPr>
        <w:pStyle w:val="BodyText"/>
        <w:jc w:val="left"/>
        <w:rPr>
          <w:rFonts w:asciiTheme="minorHAnsi" w:hAnsiTheme="minorHAnsi" w:cs="Times New Roman"/>
          <w:sz w:val="20"/>
          <w:szCs w:val="20"/>
        </w:rPr>
      </w:pPr>
    </w:p>
    <w:p w14:paraId="62DBFAF9" w14:textId="77777777" w:rsidR="00794AFD" w:rsidRPr="00BD1DD7" w:rsidRDefault="00794AFD" w:rsidP="00794AFD">
      <w:pPr>
        <w:pStyle w:val="BodyText"/>
        <w:jc w:val="left"/>
        <w:rPr>
          <w:rFonts w:asciiTheme="minorHAnsi" w:hAnsiTheme="minorHAnsi" w:cs="Times New Roman"/>
          <w:sz w:val="20"/>
          <w:szCs w:val="20"/>
          <w:highlight w:val="yellow"/>
        </w:rPr>
      </w:pPr>
      <w:r w:rsidRPr="00F71101">
        <w:rPr>
          <w:rFonts w:asciiTheme="minorHAnsi" w:hAnsiTheme="minorHAnsi" w:cs="Times New Roman"/>
          <w:sz w:val="20"/>
          <w:szCs w:val="20"/>
        </w:rPr>
        <w:t xml:space="preserve">The consolidated financial statements of the Group for the year ended 31 December </w:t>
      </w:r>
      <w:r>
        <w:rPr>
          <w:rFonts w:asciiTheme="minorHAnsi" w:hAnsiTheme="minorHAnsi" w:cs="Times New Roman"/>
          <w:sz w:val="20"/>
          <w:szCs w:val="20"/>
        </w:rPr>
        <w:t>2019</w:t>
      </w:r>
      <w:r w:rsidRPr="00F71101">
        <w:rPr>
          <w:rFonts w:asciiTheme="minorHAnsi" w:hAnsiTheme="minorHAnsi" w:cs="Times New Roman"/>
          <w:sz w:val="20"/>
          <w:szCs w:val="20"/>
        </w:rPr>
        <w:t xml:space="preserve"> comprise the financial statements of the Company and its subsidiary undertakings and were approved for issue by the Board of Directors on </w:t>
      </w:r>
      <w:r>
        <w:rPr>
          <w:rFonts w:asciiTheme="minorHAnsi" w:hAnsiTheme="minorHAnsi" w:cs="Times New Roman"/>
          <w:sz w:val="20"/>
          <w:szCs w:val="20"/>
        </w:rPr>
        <w:t>26</w:t>
      </w:r>
      <w:r w:rsidRPr="00F71101">
        <w:rPr>
          <w:rFonts w:asciiTheme="minorHAnsi" w:hAnsiTheme="minorHAnsi" w:cs="Times New Roman"/>
          <w:sz w:val="20"/>
          <w:szCs w:val="20"/>
        </w:rPr>
        <w:t xml:space="preserve"> </w:t>
      </w:r>
      <w:r>
        <w:rPr>
          <w:rFonts w:asciiTheme="minorHAnsi" w:hAnsiTheme="minorHAnsi" w:cs="Times New Roman"/>
          <w:sz w:val="20"/>
          <w:szCs w:val="20"/>
        </w:rPr>
        <w:t>February</w:t>
      </w:r>
      <w:r w:rsidRPr="00F71101">
        <w:rPr>
          <w:rFonts w:asciiTheme="minorHAnsi" w:hAnsiTheme="minorHAnsi" w:cs="Times New Roman"/>
          <w:sz w:val="20"/>
          <w:szCs w:val="20"/>
        </w:rPr>
        <w:t xml:space="preserve"> 20</w:t>
      </w:r>
      <w:r>
        <w:rPr>
          <w:rFonts w:asciiTheme="minorHAnsi" w:hAnsiTheme="minorHAnsi" w:cs="Times New Roman"/>
          <w:sz w:val="20"/>
          <w:szCs w:val="20"/>
        </w:rPr>
        <w:t>20</w:t>
      </w:r>
      <w:r w:rsidRPr="00F71101">
        <w:rPr>
          <w:rFonts w:asciiTheme="minorHAnsi" w:hAnsiTheme="minorHAnsi" w:cs="Times New Roman"/>
          <w:sz w:val="20"/>
          <w:szCs w:val="20"/>
        </w:rPr>
        <w:t>.</w:t>
      </w:r>
    </w:p>
    <w:p w14:paraId="2C380FDB" w14:textId="77777777" w:rsidR="00794AFD" w:rsidRPr="004E5975" w:rsidRDefault="00794AFD" w:rsidP="00794AFD">
      <w:pPr>
        <w:pStyle w:val="BodyText"/>
        <w:jc w:val="left"/>
        <w:rPr>
          <w:rFonts w:asciiTheme="minorHAnsi" w:hAnsiTheme="minorHAnsi" w:cs="Times New Roman"/>
          <w:b/>
          <w:bCs/>
          <w:sz w:val="12"/>
          <w:szCs w:val="12"/>
        </w:rPr>
      </w:pPr>
    </w:p>
    <w:p w14:paraId="7DC4FF86" w14:textId="77777777" w:rsidR="00794AFD" w:rsidRPr="001C5950" w:rsidRDefault="00794AFD" w:rsidP="00794AFD">
      <w:pPr>
        <w:pStyle w:val="BodyText"/>
        <w:jc w:val="left"/>
        <w:rPr>
          <w:rFonts w:asciiTheme="minorHAnsi" w:hAnsiTheme="minorHAnsi" w:cs="Times New Roman"/>
          <w:b/>
          <w:bCs/>
          <w:sz w:val="20"/>
          <w:szCs w:val="20"/>
        </w:rPr>
      </w:pPr>
      <w:r w:rsidRPr="001C5950">
        <w:rPr>
          <w:rFonts w:asciiTheme="minorHAnsi" w:hAnsiTheme="minorHAnsi" w:cs="Times New Roman"/>
          <w:b/>
          <w:bCs/>
          <w:sz w:val="20"/>
          <w:szCs w:val="20"/>
        </w:rPr>
        <w:t>2</w:t>
      </w:r>
      <w:bookmarkStart w:id="24" w:name="OLE_LINK74"/>
      <w:bookmarkStart w:id="25" w:name="OLE_LINK75"/>
      <w:r w:rsidRPr="001C5950">
        <w:rPr>
          <w:rFonts w:asciiTheme="minorHAnsi" w:hAnsiTheme="minorHAnsi" w:cs="Times New Roman"/>
          <w:b/>
          <w:bCs/>
          <w:sz w:val="20"/>
          <w:szCs w:val="20"/>
        </w:rPr>
        <w:t>.  Basis of preparation and summary of significant accounting policies</w:t>
      </w:r>
    </w:p>
    <w:p w14:paraId="098BB603" w14:textId="77777777" w:rsidR="00794AFD" w:rsidRPr="004E5975" w:rsidRDefault="00794AFD" w:rsidP="00794AFD">
      <w:pPr>
        <w:rPr>
          <w:rFonts w:asciiTheme="minorHAnsi" w:hAnsiTheme="minorHAnsi" w:cs="Times New Roman"/>
          <w:sz w:val="12"/>
          <w:szCs w:val="12"/>
        </w:rPr>
      </w:pPr>
    </w:p>
    <w:p w14:paraId="4FD24E28" w14:textId="77777777" w:rsidR="00794AFD" w:rsidRPr="00BD1DD7" w:rsidRDefault="00794AFD" w:rsidP="00794AFD">
      <w:pPr>
        <w:rPr>
          <w:rFonts w:asciiTheme="minorHAnsi" w:hAnsiTheme="minorHAnsi" w:cs="Times New Roman"/>
          <w:sz w:val="20"/>
          <w:szCs w:val="20"/>
          <w:highlight w:val="yellow"/>
        </w:rPr>
      </w:pPr>
      <w:r w:rsidRPr="00B260AC">
        <w:rPr>
          <w:rFonts w:asciiTheme="minorHAnsi" w:hAnsiTheme="minorHAnsi" w:cs="Times New Roman"/>
          <w:sz w:val="20"/>
          <w:szCs w:val="20"/>
        </w:rPr>
        <w:t xml:space="preserve">The </w:t>
      </w:r>
      <w:r>
        <w:rPr>
          <w:rFonts w:asciiTheme="minorHAnsi" w:hAnsiTheme="minorHAnsi" w:cs="Times New Roman"/>
          <w:sz w:val="20"/>
          <w:szCs w:val="20"/>
        </w:rPr>
        <w:t xml:space="preserve">condensed </w:t>
      </w:r>
      <w:r w:rsidRPr="00B260AC">
        <w:rPr>
          <w:rFonts w:asciiTheme="minorHAnsi" w:hAnsiTheme="minorHAnsi" w:cs="Times New Roman"/>
          <w:sz w:val="20"/>
          <w:szCs w:val="20"/>
        </w:rPr>
        <w:t xml:space="preserve">consolidated financial statements are prepared </w:t>
      </w:r>
      <w:r>
        <w:rPr>
          <w:rFonts w:asciiTheme="minorHAnsi" w:hAnsiTheme="minorHAnsi" w:cs="Times New Roman"/>
          <w:sz w:val="20"/>
          <w:szCs w:val="20"/>
        </w:rPr>
        <w:t xml:space="preserve">in accordance with the Transparency (Directive 2004/109/EC) Regulations 2007 and the Transparency Rules of the Republic of Ireland’s Financial Regulator. The condensed consolidated financial statements are prepared </w:t>
      </w:r>
      <w:r w:rsidRPr="00B260AC">
        <w:rPr>
          <w:rFonts w:asciiTheme="minorHAnsi" w:hAnsiTheme="minorHAnsi" w:cs="Times New Roman"/>
          <w:sz w:val="20"/>
          <w:szCs w:val="20"/>
        </w:rPr>
        <w:t xml:space="preserve">on the historical cost basis except for betting transactions (which are recorded as derivative financial instruments), </w:t>
      </w:r>
      <w:r>
        <w:rPr>
          <w:rFonts w:asciiTheme="minorHAnsi" w:hAnsiTheme="minorHAnsi" w:cs="Times New Roman"/>
          <w:sz w:val="20"/>
          <w:szCs w:val="20"/>
        </w:rPr>
        <w:t xml:space="preserve">investments, </w:t>
      </w:r>
      <w:r w:rsidRPr="00B260AC">
        <w:rPr>
          <w:rFonts w:asciiTheme="minorHAnsi" w:hAnsiTheme="minorHAnsi" w:cs="Times New Roman"/>
          <w:sz w:val="20"/>
          <w:szCs w:val="20"/>
        </w:rPr>
        <w:t xml:space="preserve">contingent deferred consideration and certain share-based payments, all of which are stated at fair value (grant date fair value in the </w:t>
      </w:r>
      <w:r>
        <w:rPr>
          <w:rFonts w:asciiTheme="minorHAnsi" w:hAnsiTheme="minorHAnsi" w:cs="Times New Roman"/>
          <w:sz w:val="20"/>
          <w:szCs w:val="20"/>
        </w:rPr>
        <w:t xml:space="preserve">case of share-based payments). </w:t>
      </w:r>
      <w:r w:rsidRPr="00B260AC">
        <w:rPr>
          <w:rFonts w:asciiTheme="minorHAnsi" w:hAnsiTheme="minorHAnsi" w:cs="Times New Roman"/>
          <w:sz w:val="20"/>
          <w:szCs w:val="20"/>
        </w:rPr>
        <w:t>The consolidated financial statements are presented in pounds sterling</w:t>
      </w:r>
      <w:r w:rsidRPr="00B260AC">
        <w:rPr>
          <w:rFonts w:asciiTheme="minorHAnsi" w:hAnsiTheme="minorHAnsi"/>
          <w:sz w:val="20"/>
        </w:rPr>
        <w:t xml:space="preserve"> </w:t>
      </w:r>
      <w:r w:rsidRPr="00B260AC">
        <w:rPr>
          <w:rFonts w:asciiTheme="minorHAnsi" w:hAnsiTheme="minorHAnsi" w:cs="Times New Roman"/>
          <w:sz w:val="20"/>
          <w:szCs w:val="20"/>
        </w:rPr>
        <w:t>and are rounded to the nearest million.</w:t>
      </w:r>
    </w:p>
    <w:p w14:paraId="520D2FCB" w14:textId="77777777" w:rsidR="00794AFD" w:rsidRPr="00203744" w:rsidRDefault="00794AFD" w:rsidP="00794AFD">
      <w:pPr>
        <w:rPr>
          <w:rFonts w:asciiTheme="minorHAnsi" w:hAnsiTheme="minorHAnsi" w:cs="Times New Roman"/>
          <w:sz w:val="20"/>
          <w:szCs w:val="20"/>
        </w:rPr>
      </w:pPr>
    </w:p>
    <w:p w14:paraId="5EEF61BA" w14:textId="77777777" w:rsidR="00794AFD" w:rsidRPr="00203744" w:rsidRDefault="00794AFD" w:rsidP="00794AFD">
      <w:pPr>
        <w:rPr>
          <w:rFonts w:asciiTheme="minorHAnsi" w:hAnsiTheme="minorHAnsi" w:cs="Times New Roman"/>
          <w:sz w:val="20"/>
          <w:szCs w:val="20"/>
        </w:rPr>
      </w:pPr>
      <w:r w:rsidRPr="00203744">
        <w:rPr>
          <w:rFonts w:asciiTheme="minorHAnsi" w:hAnsiTheme="minorHAnsi" w:cs="Times New Roman"/>
          <w:sz w:val="20"/>
          <w:szCs w:val="20"/>
        </w:rPr>
        <w:t>Further to IAS Regulation (EC1606/2002, ‘Accounting standards adopted for use in the EU’), EU law requires that the annual consolidated financial statements of the Group be prepared in accordance with International Financial Reporting Standards (“IFRS”) adopted by the European Union (“EU”).  The consolidated financial statements have been prepared on the basis of IFRS adopted by the EU and effective for accounting periods ending on or after 1 January 201</w:t>
      </w:r>
      <w:r>
        <w:rPr>
          <w:rFonts w:asciiTheme="minorHAnsi" w:hAnsiTheme="minorHAnsi" w:cs="Times New Roman"/>
          <w:sz w:val="20"/>
          <w:szCs w:val="20"/>
        </w:rPr>
        <w:t>9</w:t>
      </w:r>
      <w:r w:rsidRPr="00203744">
        <w:rPr>
          <w:rFonts w:asciiTheme="minorHAnsi" w:hAnsiTheme="minorHAnsi" w:cs="Times New Roman"/>
          <w:sz w:val="20"/>
          <w:szCs w:val="20"/>
        </w:rPr>
        <w:t xml:space="preserve">.  </w:t>
      </w:r>
    </w:p>
    <w:p w14:paraId="2084F463" w14:textId="77777777" w:rsidR="00794AFD" w:rsidRPr="00203744" w:rsidRDefault="00794AFD" w:rsidP="00794AFD">
      <w:pPr>
        <w:rPr>
          <w:rFonts w:asciiTheme="minorHAnsi" w:hAnsiTheme="minorHAnsi" w:cs="Times New Roman"/>
          <w:sz w:val="20"/>
          <w:szCs w:val="20"/>
        </w:rPr>
      </w:pPr>
    </w:p>
    <w:p w14:paraId="27A04F4F" w14:textId="77777777" w:rsidR="00794AFD" w:rsidRPr="00203744" w:rsidRDefault="00794AFD" w:rsidP="00794AFD">
      <w:pPr>
        <w:rPr>
          <w:rFonts w:asciiTheme="minorHAnsi" w:hAnsiTheme="minorHAnsi"/>
          <w:b/>
          <w:sz w:val="20"/>
          <w:szCs w:val="20"/>
        </w:rPr>
      </w:pPr>
      <w:r w:rsidRPr="00203744">
        <w:rPr>
          <w:rFonts w:asciiTheme="minorHAnsi" w:hAnsiTheme="minorHAnsi" w:cs="Times New Roman"/>
          <w:sz w:val="20"/>
          <w:szCs w:val="20"/>
        </w:rPr>
        <w:t>The accounting policies applied in the preparation of these consolidated financial statements have been applied consistently during the year and prior year, except as highlighted below in ‘Recent accounting pronouncements’.</w:t>
      </w:r>
    </w:p>
    <w:p w14:paraId="4C0F5F44" w14:textId="77777777" w:rsidR="00794AFD" w:rsidRPr="00203744" w:rsidRDefault="00794AFD" w:rsidP="00794AFD">
      <w:pPr>
        <w:rPr>
          <w:rFonts w:asciiTheme="minorHAnsi" w:hAnsiTheme="minorHAnsi"/>
          <w:sz w:val="20"/>
          <w:u w:val="single"/>
          <w:lang w:val="en-IE"/>
        </w:rPr>
      </w:pPr>
    </w:p>
    <w:p w14:paraId="04C69E2E" w14:textId="77777777" w:rsidR="00794AFD" w:rsidRPr="001C5950" w:rsidRDefault="00794AFD" w:rsidP="00794AFD">
      <w:pPr>
        <w:rPr>
          <w:rFonts w:asciiTheme="minorHAnsi" w:hAnsiTheme="minorHAnsi" w:cs="Times New Roman"/>
          <w:b/>
          <w:sz w:val="20"/>
          <w:szCs w:val="20"/>
        </w:rPr>
      </w:pPr>
      <w:r w:rsidRPr="001C5950">
        <w:rPr>
          <w:rFonts w:asciiTheme="minorHAnsi" w:hAnsiTheme="minorHAnsi" w:cs="Times New Roman"/>
          <w:b/>
          <w:sz w:val="20"/>
          <w:szCs w:val="20"/>
        </w:rPr>
        <w:t>Recent accounting pronouncements</w:t>
      </w:r>
    </w:p>
    <w:p w14:paraId="52AF0275" w14:textId="77777777" w:rsidR="00794AFD" w:rsidRDefault="00794AFD" w:rsidP="00794AFD">
      <w:pPr>
        <w:spacing w:after="120"/>
        <w:rPr>
          <w:rFonts w:asciiTheme="minorHAnsi" w:hAnsiTheme="minorHAnsi" w:cs="Times New Roman"/>
          <w:sz w:val="20"/>
          <w:szCs w:val="20"/>
        </w:rPr>
      </w:pPr>
      <w:bookmarkStart w:id="26" w:name="_Hlk30778808"/>
      <w:r w:rsidRPr="001C5950">
        <w:rPr>
          <w:rFonts w:asciiTheme="minorHAnsi" w:hAnsiTheme="minorHAnsi" w:cs="Times New Roman"/>
          <w:sz w:val="20"/>
          <w:szCs w:val="20"/>
        </w:rPr>
        <w:t xml:space="preserve">The IASB have issued the following standards, policies, interpretations and amendments which were effective for the Group for the first time in the year ended 31 December </w:t>
      </w:r>
      <w:r>
        <w:rPr>
          <w:rFonts w:asciiTheme="minorHAnsi" w:hAnsiTheme="minorHAnsi" w:cs="Times New Roman"/>
          <w:sz w:val="20"/>
          <w:szCs w:val="20"/>
        </w:rPr>
        <w:t>2019</w:t>
      </w:r>
      <w:r w:rsidRPr="001C5950">
        <w:rPr>
          <w:rFonts w:asciiTheme="minorHAnsi" w:hAnsiTheme="minorHAnsi" w:cs="Times New Roman"/>
          <w:sz w:val="20"/>
          <w:szCs w:val="20"/>
        </w:rPr>
        <w:t>:</w:t>
      </w:r>
    </w:p>
    <w:p w14:paraId="1EFE21BD" w14:textId="77777777" w:rsidR="00794AFD" w:rsidRPr="00163780" w:rsidRDefault="00794AFD" w:rsidP="00794AFD">
      <w:pPr>
        <w:pStyle w:val="ListParagraph"/>
        <w:numPr>
          <w:ilvl w:val="0"/>
          <w:numId w:val="4"/>
        </w:numPr>
        <w:spacing w:after="120" w:line="240" w:lineRule="auto"/>
        <w:ind w:left="714" w:hanging="357"/>
        <w:rPr>
          <w:rFonts w:asciiTheme="minorHAnsi" w:hAnsiTheme="minorHAnsi" w:cs="Times New Roman"/>
          <w:i/>
          <w:color w:val="000000"/>
          <w:sz w:val="20"/>
          <w:szCs w:val="20"/>
          <w:lang w:val="en-IE" w:eastAsia="en-IE"/>
        </w:rPr>
      </w:pPr>
      <w:r w:rsidRPr="0053178B">
        <w:rPr>
          <w:rFonts w:asciiTheme="minorHAnsi" w:hAnsiTheme="minorHAnsi" w:cs="Times New Roman"/>
          <w:sz w:val="20"/>
          <w:szCs w:val="20"/>
        </w:rPr>
        <w:t xml:space="preserve">IFRS 16 </w:t>
      </w:r>
      <w:r w:rsidRPr="00163780">
        <w:rPr>
          <w:rFonts w:asciiTheme="minorHAnsi" w:hAnsiTheme="minorHAnsi" w:cs="Times New Roman"/>
          <w:i/>
          <w:sz w:val="20"/>
          <w:szCs w:val="20"/>
        </w:rPr>
        <w:t xml:space="preserve">Leases </w:t>
      </w:r>
    </w:p>
    <w:p w14:paraId="16612455" w14:textId="77777777" w:rsidR="00794AFD" w:rsidRDefault="00794AFD" w:rsidP="00794AFD">
      <w:pPr>
        <w:pStyle w:val="ListParagraph"/>
        <w:numPr>
          <w:ilvl w:val="0"/>
          <w:numId w:val="4"/>
        </w:numPr>
        <w:spacing w:after="120" w:line="240" w:lineRule="auto"/>
        <w:ind w:left="714" w:hanging="357"/>
        <w:rPr>
          <w:rFonts w:asciiTheme="minorHAnsi" w:hAnsiTheme="minorHAnsi" w:cs="Times New Roman"/>
          <w:color w:val="000000"/>
          <w:sz w:val="20"/>
          <w:szCs w:val="20"/>
          <w:lang w:val="en-IE" w:eastAsia="en-IE"/>
        </w:rPr>
      </w:pPr>
      <w:r w:rsidRPr="0053178B">
        <w:rPr>
          <w:rFonts w:asciiTheme="minorHAnsi" w:hAnsiTheme="minorHAnsi" w:cs="Times New Roman"/>
          <w:color w:val="000000"/>
          <w:sz w:val="20"/>
          <w:szCs w:val="20"/>
          <w:lang w:val="en-IE" w:eastAsia="en-IE"/>
        </w:rPr>
        <w:t xml:space="preserve">IFRIC 23 </w:t>
      </w:r>
      <w:r w:rsidRPr="0053178B">
        <w:rPr>
          <w:rFonts w:asciiTheme="minorHAnsi" w:hAnsiTheme="minorHAnsi" w:cs="Times New Roman"/>
          <w:i/>
          <w:color w:val="000000"/>
          <w:sz w:val="20"/>
          <w:szCs w:val="20"/>
          <w:lang w:val="en-IE" w:eastAsia="en-IE"/>
        </w:rPr>
        <w:t xml:space="preserve">Uncertainty over Income Tax Treatments </w:t>
      </w:r>
    </w:p>
    <w:p w14:paraId="27BB8E19" w14:textId="77777777" w:rsidR="00794AFD" w:rsidRDefault="00794AFD" w:rsidP="00794AFD">
      <w:pPr>
        <w:pStyle w:val="ListParagraph"/>
        <w:numPr>
          <w:ilvl w:val="0"/>
          <w:numId w:val="4"/>
        </w:numPr>
        <w:spacing w:after="120" w:line="180" w:lineRule="atLeast"/>
        <w:ind w:left="714" w:hanging="357"/>
        <w:rPr>
          <w:rFonts w:asciiTheme="minorHAnsi" w:hAnsiTheme="minorHAnsi" w:cs="Times New Roman"/>
          <w:color w:val="000000"/>
          <w:sz w:val="20"/>
          <w:szCs w:val="20"/>
          <w:lang w:val="en-IE" w:eastAsia="en-IE"/>
        </w:rPr>
      </w:pPr>
      <w:r w:rsidRPr="00B43424">
        <w:rPr>
          <w:rFonts w:asciiTheme="minorHAnsi" w:hAnsiTheme="minorHAnsi" w:cs="Times New Roman"/>
          <w:color w:val="000000"/>
          <w:sz w:val="20"/>
          <w:szCs w:val="20"/>
          <w:lang w:val="en-IE" w:eastAsia="en-IE"/>
        </w:rPr>
        <w:t xml:space="preserve">Amendments to IFRS 9 Prepayment Features with Negative Compensation </w:t>
      </w:r>
    </w:p>
    <w:p w14:paraId="614717EB" w14:textId="77777777" w:rsidR="00794AFD" w:rsidRDefault="00794AFD" w:rsidP="00794AFD">
      <w:pPr>
        <w:pStyle w:val="ListParagraph"/>
        <w:numPr>
          <w:ilvl w:val="0"/>
          <w:numId w:val="4"/>
        </w:numPr>
        <w:spacing w:after="120" w:line="180" w:lineRule="atLeast"/>
        <w:ind w:left="714" w:hanging="357"/>
        <w:rPr>
          <w:rFonts w:asciiTheme="minorHAnsi" w:hAnsiTheme="minorHAnsi" w:cs="Times New Roman"/>
          <w:color w:val="000000"/>
          <w:sz w:val="20"/>
          <w:szCs w:val="20"/>
          <w:lang w:val="en-IE" w:eastAsia="en-IE"/>
        </w:rPr>
      </w:pPr>
      <w:r w:rsidRPr="00B43424">
        <w:rPr>
          <w:rFonts w:asciiTheme="minorHAnsi" w:hAnsiTheme="minorHAnsi" w:cs="Times New Roman"/>
          <w:color w:val="000000"/>
          <w:sz w:val="20"/>
          <w:szCs w:val="20"/>
          <w:lang w:val="en-IE" w:eastAsia="en-IE"/>
        </w:rPr>
        <w:t xml:space="preserve">Amendments to IAS 28: Long-term interests in Associates and Joint Ventures </w:t>
      </w:r>
    </w:p>
    <w:p w14:paraId="7F6D6D1B" w14:textId="77777777" w:rsidR="00794AFD" w:rsidRPr="00F16276" w:rsidRDefault="00794AFD" w:rsidP="00794AFD">
      <w:pPr>
        <w:pStyle w:val="ListParagraph"/>
        <w:numPr>
          <w:ilvl w:val="0"/>
          <w:numId w:val="4"/>
        </w:numPr>
        <w:spacing w:after="120" w:line="180" w:lineRule="atLeast"/>
        <w:ind w:left="714" w:hanging="357"/>
        <w:rPr>
          <w:rFonts w:asciiTheme="minorHAnsi" w:hAnsiTheme="minorHAnsi"/>
          <w:sz w:val="20"/>
          <w:szCs w:val="20"/>
          <w:lang w:val="en-IE"/>
        </w:rPr>
      </w:pPr>
      <w:r w:rsidRPr="00B43424">
        <w:rPr>
          <w:rFonts w:asciiTheme="minorHAnsi" w:hAnsiTheme="minorHAnsi" w:cs="Times New Roman"/>
          <w:color w:val="000000"/>
          <w:sz w:val="20"/>
          <w:szCs w:val="20"/>
          <w:lang w:val="en-IE" w:eastAsia="en-IE"/>
        </w:rPr>
        <w:t xml:space="preserve">Annual improvements to IFRS Standards 2015-2018 Cycle </w:t>
      </w:r>
    </w:p>
    <w:p w14:paraId="23FFA3BD" w14:textId="77777777" w:rsidR="00794AFD" w:rsidRPr="00F16276" w:rsidRDefault="00794AFD" w:rsidP="00794AFD">
      <w:pPr>
        <w:pStyle w:val="ListParagraph"/>
        <w:numPr>
          <w:ilvl w:val="0"/>
          <w:numId w:val="4"/>
        </w:numPr>
        <w:spacing w:after="120" w:line="180" w:lineRule="atLeast"/>
        <w:ind w:left="714" w:hanging="357"/>
        <w:rPr>
          <w:rFonts w:asciiTheme="minorHAnsi" w:hAnsiTheme="minorHAnsi"/>
          <w:sz w:val="20"/>
          <w:szCs w:val="20"/>
          <w:lang w:val="en-IE"/>
        </w:rPr>
      </w:pPr>
      <w:r w:rsidRPr="00B43424">
        <w:rPr>
          <w:rFonts w:asciiTheme="minorHAnsi" w:hAnsiTheme="minorHAnsi" w:cs="Times New Roman"/>
          <w:color w:val="000000"/>
          <w:sz w:val="20"/>
          <w:szCs w:val="20"/>
          <w:lang w:val="en-IE" w:eastAsia="en-IE"/>
        </w:rPr>
        <w:t>Amendments to IAS 19: Plan amendment, Curtailment or Settlement</w:t>
      </w:r>
      <w:r w:rsidRPr="001C5950">
        <w:t xml:space="preserve"> </w:t>
      </w:r>
    </w:p>
    <w:p w14:paraId="2139581D" w14:textId="77777777" w:rsidR="00794AFD" w:rsidRPr="001C5950" w:rsidRDefault="00794AFD" w:rsidP="00794AFD">
      <w:pPr>
        <w:rPr>
          <w:rFonts w:asciiTheme="minorHAnsi" w:hAnsiTheme="minorHAnsi"/>
          <w:sz w:val="20"/>
          <w:szCs w:val="20"/>
          <w:lang w:val="en-IE"/>
        </w:rPr>
      </w:pPr>
      <w:r w:rsidRPr="001C5950">
        <w:rPr>
          <w:rFonts w:asciiTheme="minorHAnsi" w:hAnsiTheme="minorHAnsi"/>
          <w:sz w:val="20"/>
          <w:szCs w:val="20"/>
          <w:lang w:val="en-IE"/>
        </w:rPr>
        <w:t>The adoption of the above new standards and interpretations</w:t>
      </w:r>
      <w:r>
        <w:rPr>
          <w:rFonts w:asciiTheme="minorHAnsi" w:hAnsiTheme="minorHAnsi"/>
          <w:sz w:val="20"/>
          <w:szCs w:val="20"/>
          <w:lang w:val="en-IE"/>
        </w:rPr>
        <w:t xml:space="preserve"> with the exception of IFRS 16</w:t>
      </w:r>
      <w:r w:rsidRPr="001C5950">
        <w:rPr>
          <w:rFonts w:asciiTheme="minorHAnsi" w:hAnsiTheme="minorHAnsi"/>
          <w:sz w:val="20"/>
          <w:szCs w:val="20"/>
          <w:lang w:val="en-IE"/>
        </w:rPr>
        <w:t xml:space="preserve"> did not have a significant impact on the Group’s consolidated financial statements.</w:t>
      </w:r>
    </w:p>
    <w:p w14:paraId="2FF60AD5" w14:textId="77777777" w:rsidR="00794AFD" w:rsidRPr="004E5975" w:rsidRDefault="00794AFD" w:rsidP="00794AFD">
      <w:pPr>
        <w:rPr>
          <w:rFonts w:asciiTheme="minorHAnsi" w:hAnsiTheme="minorHAnsi"/>
          <w:sz w:val="12"/>
          <w:szCs w:val="12"/>
          <w:lang w:val="en-IE"/>
        </w:rPr>
      </w:pPr>
    </w:p>
    <w:p w14:paraId="0D0A4CFF" w14:textId="77777777" w:rsidR="00794AFD" w:rsidRPr="00C50048" w:rsidRDefault="00794AFD" w:rsidP="00794AFD">
      <w:pPr>
        <w:rPr>
          <w:rFonts w:asciiTheme="minorHAnsi" w:hAnsiTheme="minorHAnsi" w:cs="Times New Roman"/>
          <w:i/>
          <w:color w:val="000000"/>
          <w:sz w:val="20"/>
          <w:szCs w:val="20"/>
          <w:lang w:val="en-IE" w:eastAsia="en-IE"/>
        </w:rPr>
      </w:pPr>
      <w:r w:rsidRPr="001C5950">
        <w:rPr>
          <w:rFonts w:asciiTheme="minorHAnsi" w:hAnsiTheme="minorHAnsi"/>
          <w:sz w:val="20"/>
          <w:lang w:val="en-IE"/>
        </w:rPr>
        <w:t xml:space="preserve">The Group has adopted </w:t>
      </w:r>
      <w:r w:rsidRPr="00022905">
        <w:rPr>
          <w:rFonts w:asciiTheme="minorHAnsi" w:hAnsiTheme="minorHAnsi"/>
          <w:sz w:val="20"/>
          <w:lang w:val="en-IE"/>
        </w:rPr>
        <w:t>IFRS</w:t>
      </w:r>
      <w:r>
        <w:rPr>
          <w:rFonts w:asciiTheme="minorHAnsi" w:hAnsiTheme="minorHAnsi"/>
          <w:sz w:val="20"/>
          <w:lang w:val="en-IE"/>
        </w:rPr>
        <w:t xml:space="preserve"> </w:t>
      </w:r>
      <w:r w:rsidRPr="00022905">
        <w:rPr>
          <w:rFonts w:asciiTheme="minorHAnsi" w:hAnsiTheme="minorHAnsi"/>
          <w:sz w:val="20"/>
          <w:lang w:val="en-IE"/>
        </w:rPr>
        <w:t xml:space="preserve">16 </w:t>
      </w:r>
      <w:r w:rsidRPr="00022905">
        <w:rPr>
          <w:rFonts w:asciiTheme="minorHAnsi" w:hAnsiTheme="minorHAnsi"/>
          <w:i/>
          <w:sz w:val="20"/>
          <w:lang w:val="en-IE"/>
        </w:rPr>
        <w:t>Leases</w:t>
      </w:r>
      <w:r w:rsidRPr="00022905">
        <w:rPr>
          <w:rFonts w:asciiTheme="minorHAnsi" w:hAnsiTheme="minorHAnsi"/>
          <w:sz w:val="20"/>
          <w:lang w:val="en-IE"/>
        </w:rPr>
        <w:t xml:space="preserve"> from 1 January 2019</w:t>
      </w:r>
      <w:r>
        <w:rPr>
          <w:rFonts w:asciiTheme="minorHAnsi" w:hAnsiTheme="minorHAnsi"/>
          <w:sz w:val="20"/>
          <w:lang w:val="en-IE"/>
        </w:rPr>
        <w:t>.</w:t>
      </w:r>
      <w:r w:rsidRPr="001C5950">
        <w:rPr>
          <w:rFonts w:asciiTheme="minorHAnsi" w:hAnsiTheme="minorHAnsi"/>
          <w:sz w:val="20"/>
          <w:lang w:val="en-IE"/>
        </w:rPr>
        <w:t xml:space="preserve"> </w:t>
      </w:r>
      <w:r w:rsidRPr="00022905">
        <w:rPr>
          <w:rFonts w:asciiTheme="minorHAnsi" w:hAnsiTheme="minorHAnsi"/>
          <w:sz w:val="20"/>
          <w:lang w:val="en-IE"/>
        </w:rPr>
        <w:t>IFR</w:t>
      </w:r>
      <w:r>
        <w:rPr>
          <w:rFonts w:asciiTheme="minorHAnsi" w:hAnsiTheme="minorHAnsi"/>
          <w:sz w:val="20"/>
          <w:lang w:val="en-IE"/>
        </w:rPr>
        <w:t xml:space="preserve">S 16 introduced a </w:t>
      </w:r>
      <w:r w:rsidRPr="008F675C">
        <w:rPr>
          <w:rFonts w:asciiTheme="minorHAnsi" w:hAnsiTheme="minorHAnsi"/>
          <w:sz w:val="20"/>
          <w:lang w:val="en-IE"/>
        </w:rPr>
        <w:t>single on-balance sheet</w:t>
      </w:r>
      <w:r>
        <w:rPr>
          <w:rFonts w:asciiTheme="minorHAnsi" w:hAnsiTheme="minorHAnsi"/>
          <w:sz w:val="20"/>
          <w:lang w:val="en-IE"/>
        </w:rPr>
        <w:t xml:space="preserve"> accounting model for les</w:t>
      </w:r>
      <w:r w:rsidRPr="00022905">
        <w:rPr>
          <w:rFonts w:asciiTheme="minorHAnsi" w:hAnsiTheme="minorHAnsi"/>
          <w:sz w:val="20"/>
          <w:lang w:val="en-IE"/>
        </w:rPr>
        <w:t>sees.</w:t>
      </w:r>
      <w:r>
        <w:rPr>
          <w:rFonts w:asciiTheme="minorHAnsi" w:hAnsiTheme="minorHAnsi"/>
          <w:sz w:val="20"/>
          <w:lang w:val="en-IE"/>
        </w:rPr>
        <w:t xml:space="preserve"> As a result, the Group as a les</w:t>
      </w:r>
      <w:r w:rsidRPr="00022905">
        <w:rPr>
          <w:rFonts w:asciiTheme="minorHAnsi" w:hAnsiTheme="minorHAnsi"/>
          <w:sz w:val="20"/>
          <w:lang w:val="en-IE"/>
        </w:rPr>
        <w:t>s</w:t>
      </w:r>
      <w:r>
        <w:rPr>
          <w:rFonts w:asciiTheme="minorHAnsi" w:hAnsiTheme="minorHAnsi"/>
          <w:sz w:val="20"/>
          <w:lang w:val="en-IE"/>
        </w:rPr>
        <w:t>e</w:t>
      </w:r>
      <w:r w:rsidRPr="00022905">
        <w:rPr>
          <w:rFonts w:asciiTheme="minorHAnsi" w:hAnsiTheme="minorHAnsi"/>
          <w:sz w:val="20"/>
          <w:lang w:val="en-IE"/>
        </w:rPr>
        <w:t xml:space="preserve">e has recognised right-of-use assets representing its rights to use the underlying assets and lease liabilities representing its obligations to make lease payments. </w:t>
      </w:r>
    </w:p>
    <w:p w14:paraId="5F388E47" w14:textId="77777777" w:rsidR="00794AFD" w:rsidRPr="00022905" w:rsidRDefault="00794AFD" w:rsidP="00794AFD">
      <w:pPr>
        <w:rPr>
          <w:rFonts w:asciiTheme="minorHAnsi" w:hAnsiTheme="minorHAnsi"/>
          <w:sz w:val="20"/>
          <w:lang w:val="en-IE"/>
        </w:rPr>
      </w:pPr>
    </w:p>
    <w:bookmarkEnd w:id="26"/>
    <w:p w14:paraId="17B72A1D" w14:textId="77777777" w:rsidR="00794AFD" w:rsidRPr="001C5950" w:rsidRDefault="00794AFD" w:rsidP="00794AFD">
      <w:pPr>
        <w:rPr>
          <w:rFonts w:asciiTheme="minorHAnsi" w:hAnsiTheme="minorHAnsi" w:cs="Times New Roman"/>
          <w:b/>
          <w:bCs/>
          <w:sz w:val="20"/>
          <w:szCs w:val="20"/>
        </w:rPr>
      </w:pPr>
      <w:r w:rsidRPr="001C5950">
        <w:rPr>
          <w:rFonts w:asciiTheme="minorHAnsi" w:hAnsiTheme="minorHAnsi" w:cs="Times New Roman"/>
          <w:b/>
          <w:sz w:val="20"/>
          <w:szCs w:val="20"/>
        </w:rPr>
        <w:t>2.</w:t>
      </w:r>
      <w:r w:rsidRPr="001C5950">
        <w:rPr>
          <w:rFonts w:asciiTheme="minorHAnsi" w:hAnsiTheme="minorHAnsi" w:cs="Times New Roman"/>
          <w:b/>
          <w:i/>
          <w:sz w:val="20"/>
          <w:szCs w:val="20"/>
        </w:rPr>
        <w:t xml:space="preserve">  </w:t>
      </w:r>
      <w:r w:rsidRPr="001C5950">
        <w:rPr>
          <w:rFonts w:asciiTheme="minorHAnsi" w:hAnsiTheme="minorHAnsi" w:cs="Times New Roman"/>
          <w:b/>
          <w:bCs/>
          <w:sz w:val="20"/>
          <w:szCs w:val="20"/>
        </w:rPr>
        <w:t>Basis of preparation and summary of significant accounting policies (continued)</w:t>
      </w:r>
    </w:p>
    <w:p w14:paraId="68D758B9" w14:textId="77777777" w:rsidR="00794AFD" w:rsidRDefault="00794AFD" w:rsidP="00794AFD">
      <w:pPr>
        <w:rPr>
          <w:rFonts w:asciiTheme="minorHAnsi" w:hAnsiTheme="minorHAnsi"/>
          <w:sz w:val="20"/>
          <w:lang w:val="en-IE"/>
        </w:rPr>
      </w:pPr>
    </w:p>
    <w:p w14:paraId="2873A845" w14:textId="77777777" w:rsidR="00794AFD" w:rsidRDefault="00794AFD" w:rsidP="00794AFD">
      <w:pPr>
        <w:rPr>
          <w:rFonts w:asciiTheme="minorHAnsi" w:hAnsiTheme="minorHAnsi"/>
          <w:sz w:val="14"/>
          <w:szCs w:val="14"/>
          <w:lang w:val="en-IE"/>
        </w:rPr>
      </w:pPr>
      <w:r w:rsidRPr="00022905">
        <w:rPr>
          <w:rFonts w:asciiTheme="minorHAnsi" w:hAnsiTheme="minorHAnsi"/>
          <w:sz w:val="20"/>
          <w:lang w:val="en-IE"/>
        </w:rPr>
        <w:t>The Group has applied IFRS 16 using the modified retrospective approach, under which the cumulative effect of initial recognition is recognised in retained earnings at 1 January 2019. Accordingly, the comparative information presented for 2018 has not been restated – i.e. it is presented as reported under IAS 17 and related interpretations.  The details of the changes in accounting policies are discussed below.</w:t>
      </w:r>
    </w:p>
    <w:p w14:paraId="780B2A97" w14:textId="77777777" w:rsidR="00794AFD" w:rsidRPr="001C5950" w:rsidRDefault="00794AFD" w:rsidP="00794AFD">
      <w:pPr>
        <w:rPr>
          <w:rFonts w:asciiTheme="minorHAnsi" w:hAnsiTheme="minorHAnsi"/>
          <w:sz w:val="20"/>
          <w:lang w:val="en-IE"/>
        </w:rPr>
      </w:pPr>
    </w:p>
    <w:p w14:paraId="5F6DE6A7" w14:textId="77777777" w:rsidR="00794AFD" w:rsidRPr="00A107E5" w:rsidRDefault="00794AFD" w:rsidP="00794AFD">
      <w:pPr>
        <w:rPr>
          <w:rFonts w:asciiTheme="minorHAnsi" w:hAnsiTheme="minorHAnsi"/>
          <w:b/>
          <w:sz w:val="20"/>
          <w:lang w:val="en-IE"/>
        </w:rPr>
      </w:pPr>
      <w:bookmarkStart w:id="27" w:name="_Hlk30778842"/>
      <w:r w:rsidRPr="00A107E5">
        <w:rPr>
          <w:rFonts w:asciiTheme="minorHAnsi" w:hAnsiTheme="minorHAnsi"/>
          <w:b/>
          <w:sz w:val="20"/>
          <w:lang w:val="en-IE"/>
        </w:rPr>
        <w:t>As a lessee</w:t>
      </w:r>
    </w:p>
    <w:p w14:paraId="163681FE" w14:textId="77777777" w:rsidR="00794AFD" w:rsidRPr="00A107E5" w:rsidRDefault="00794AFD" w:rsidP="00794AFD">
      <w:pPr>
        <w:rPr>
          <w:rFonts w:asciiTheme="minorHAnsi" w:hAnsiTheme="minorHAnsi"/>
          <w:sz w:val="20"/>
          <w:lang w:val="en-IE"/>
        </w:rPr>
      </w:pPr>
      <w:r>
        <w:rPr>
          <w:rFonts w:asciiTheme="minorHAnsi" w:hAnsiTheme="minorHAnsi"/>
          <w:sz w:val="20"/>
          <w:lang w:val="en-IE"/>
        </w:rPr>
        <w:t>As a le</w:t>
      </w:r>
      <w:r w:rsidRPr="00A107E5">
        <w:rPr>
          <w:rFonts w:asciiTheme="minorHAnsi" w:hAnsiTheme="minorHAnsi"/>
          <w:sz w:val="20"/>
          <w:lang w:val="en-IE"/>
        </w:rPr>
        <w:t>s</w:t>
      </w:r>
      <w:r>
        <w:rPr>
          <w:rFonts w:asciiTheme="minorHAnsi" w:hAnsiTheme="minorHAnsi"/>
          <w:sz w:val="20"/>
          <w:lang w:val="en-IE"/>
        </w:rPr>
        <w:t>se</w:t>
      </w:r>
      <w:r w:rsidRPr="00A107E5">
        <w:rPr>
          <w:rFonts w:asciiTheme="minorHAnsi" w:hAnsiTheme="minorHAnsi"/>
          <w:sz w:val="20"/>
          <w:lang w:val="en-IE"/>
        </w:rPr>
        <w:t>e, the Group previously classified leases as operating or finance leases based on its assessment of whether the lease transferred substantially all of the risks and rewards of ownership</w:t>
      </w:r>
      <w:r>
        <w:rPr>
          <w:rFonts w:asciiTheme="minorHAnsi" w:hAnsiTheme="minorHAnsi"/>
          <w:sz w:val="20"/>
          <w:lang w:val="en-IE"/>
        </w:rPr>
        <w:t xml:space="preserve"> of the underlying asset</w:t>
      </w:r>
      <w:r w:rsidRPr="00A107E5">
        <w:rPr>
          <w:rFonts w:asciiTheme="minorHAnsi" w:hAnsiTheme="minorHAnsi"/>
          <w:sz w:val="20"/>
          <w:lang w:val="en-IE"/>
        </w:rPr>
        <w:t>. Under IFRS 1</w:t>
      </w:r>
      <w:r>
        <w:rPr>
          <w:rFonts w:asciiTheme="minorHAnsi" w:hAnsiTheme="minorHAnsi"/>
          <w:sz w:val="20"/>
          <w:lang w:val="en-IE"/>
        </w:rPr>
        <w:t>6</w:t>
      </w:r>
      <w:r w:rsidRPr="00A107E5">
        <w:rPr>
          <w:rFonts w:asciiTheme="minorHAnsi" w:hAnsiTheme="minorHAnsi"/>
          <w:sz w:val="20"/>
          <w:lang w:val="en-IE"/>
        </w:rPr>
        <w:t>, the Group recognises right of use assets and lease liabilities for most leases – i.e. t</w:t>
      </w:r>
      <w:r>
        <w:rPr>
          <w:rFonts w:asciiTheme="minorHAnsi" w:hAnsiTheme="minorHAnsi"/>
          <w:sz w:val="20"/>
          <w:lang w:val="en-IE"/>
        </w:rPr>
        <w:t>hese leases are recorded on the statement of financial position</w:t>
      </w:r>
      <w:r w:rsidRPr="00A107E5">
        <w:rPr>
          <w:rFonts w:asciiTheme="minorHAnsi" w:hAnsiTheme="minorHAnsi"/>
          <w:sz w:val="20"/>
          <w:lang w:val="en-IE"/>
        </w:rPr>
        <w:t>.</w:t>
      </w:r>
    </w:p>
    <w:p w14:paraId="4425A146" w14:textId="77777777" w:rsidR="00794AFD" w:rsidRPr="00A107E5" w:rsidRDefault="00794AFD" w:rsidP="00794AFD">
      <w:pPr>
        <w:rPr>
          <w:rFonts w:asciiTheme="minorHAnsi" w:hAnsiTheme="minorHAnsi"/>
          <w:sz w:val="20"/>
          <w:lang w:val="en-IE"/>
        </w:rPr>
      </w:pPr>
    </w:p>
    <w:p w14:paraId="72A8D684" w14:textId="77777777" w:rsidR="00794AFD" w:rsidRPr="00A107E5" w:rsidRDefault="00794AFD" w:rsidP="00794AFD">
      <w:pPr>
        <w:rPr>
          <w:rFonts w:asciiTheme="minorHAnsi" w:hAnsiTheme="minorHAnsi"/>
          <w:sz w:val="20"/>
          <w:lang w:val="en-IE"/>
        </w:rPr>
      </w:pPr>
      <w:r w:rsidRPr="00A107E5">
        <w:rPr>
          <w:rFonts w:asciiTheme="minorHAnsi" w:hAnsiTheme="minorHAnsi"/>
          <w:sz w:val="20"/>
          <w:lang w:val="en-IE"/>
        </w:rPr>
        <w:t xml:space="preserve">However the Group has elected not to recognise the right-of-use assets and lease liabilities for </w:t>
      </w:r>
      <w:r>
        <w:rPr>
          <w:rFonts w:asciiTheme="minorHAnsi" w:hAnsiTheme="minorHAnsi"/>
          <w:sz w:val="20"/>
          <w:lang w:val="en-IE"/>
        </w:rPr>
        <w:t xml:space="preserve">a small amount of </w:t>
      </w:r>
      <w:r w:rsidRPr="00A107E5">
        <w:rPr>
          <w:rFonts w:asciiTheme="minorHAnsi" w:hAnsiTheme="minorHAnsi"/>
          <w:sz w:val="20"/>
          <w:lang w:val="en-IE"/>
        </w:rPr>
        <w:t>leases of low value assets (</w:t>
      </w:r>
      <w:proofErr w:type="spellStart"/>
      <w:r w:rsidRPr="00A107E5">
        <w:rPr>
          <w:rFonts w:asciiTheme="minorHAnsi" w:hAnsiTheme="minorHAnsi"/>
          <w:sz w:val="20"/>
          <w:lang w:val="en-IE"/>
        </w:rPr>
        <w:t>e</w:t>
      </w:r>
      <w:r>
        <w:rPr>
          <w:rFonts w:asciiTheme="minorHAnsi" w:hAnsiTheme="minorHAnsi"/>
          <w:sz w:val="20"/>
          <w:lang w:val="en-IE"/>
        </w:rPr>
        <w:t>.</w:t>
      </w:r>
      <w:r w:rsidRPr="00A107E5">
        <w:rPr>
          <w:rFonts w:asciiTheme="minorHAnsi" w:hAnsiTheme="minorHAnsi"/>
          <w:sz w:val="20"/>
          <w:lang w:val="en-IE"/>
        </w:rPr>
        <w:t>g</w:t>
      </w:r>
      <w:proofErr w:type="spellEnd"/>
      <w:r w:rsidRPr="00A107E5">
        <w:rPr>
          <w:rFonts w:asciiTheme="minorHAnsi" w:hAnsiTheme="minorHAnsi"/>
          <w:sz w:val="20"/>
          <w:lang w:val="en-IE"/>
        </w:rPr>
        <w:t xml:space="preserve"> office equipment). The Group recognises the lease payments associated with these leases as an expense on a straight-line basis over the lease term.</w:t>
      </w:r>
    </w:p>
    <w:p w14:paraId="523A68DC" w14:textId="77777777" w:rsidR="00794AFD" w:rsidRDefault="00794AFD" w:rsidP="00794AFD">
      <w:pPr>
        <w:rPr>
          <w:rFonts w:asciiTheme="minorHAnsi" w:hAnsiTheme="minorHAnsi" w:cs="Times New Roman"/>
          <w:b/>
          <w:color w:val="000000"/>
          <w:sz w:val="20"/>
          <w:szCs w:val="20"/>
          <w:lang w:val="en-IE" w:eastAsia="en-IE"/>
        </w:rPr>
      </w:pPr>
    </w:p>
    <w:p w14:paraId="25D590C5" w14:textId="77777777" w:rsidR="00794AFD" w:rsidRPr="00BA334E" w:rsidRDefault="00794AFD" w:rsidP="00794AFD">
      <w:pPr>
        <w:rPr>
          <w:rFonts w:asciiTheme="minorHAnsi" w:hAnsiTheme="minorHAnsi"/>
          <w:sz w:val="20"/>
          <w:lang w:val="en-IE"/>
        </w:rPr>
      </w:pPr>
      <w:r w:rsidRPr="00BA334E">
        <w:rPr>
          <w:rFonts w:asciiTheme="minorHAnsi" w:hAnsiTheme="minorHAnsi"/>
          <w:sz w:val="20"/>
          <w:lang w:val="en-IE"/>
        </w:rPr>
        <w:t>The Group recognises a right of use asset and a lease liability at the lease commencement date. The right of use asset is initially measured at</w:t>
      </w:r>
      <w:r>
        <w:rPr>
          <w:rFonts w:asciiTheme="minorHAnsi" w:hAnsiTheme="minorHAnsi"/>
          <w:sz w:val="20"/>
          <w:lang w:val="en-IE"/>
        </w:rPr>
        <w:t xml:space="preserve"> deemed</w:t>
      </w:r>
      <w:r w:rsidRPr="00BA334E">
        <w:rPr>
          <w:rFonts w:asciiTheme="minorHAnsi" w:hAnsiTheme="minorHAnsi"/>
          <w:sz w:val="20"/>
          <w:lang w:val="en-IE"/>
        </w:rPr>
        <w:t xml:space="preserve"> cost </w:t>
      </w:r>
      <w:r>
        <w:rPr>
          <w:rFonts w:asciiTheme="minorHAnsi" w:hAnsiTheme="minorHAnsi"/>
          <w:sz w:val="20"/>
          <w:lang w:val="en-IE"/>
        </w:rPr>
        <w:t xml:space="preserve">comprising </w:t>
      </w:r>
      <w:r w:rsidRPr="00A36E18">
        <w:rPr>
          <w:rFonts w:asciiTheme="minorHAnsi" w:hAnsiTheme="minorHAnsi"/>
          <w:sz w:val="20"/>
          <w:lang w:val="en-IE"/>
        </w:rPr>
        <w:t>the amount of the initial measurement of lease liability</w:t>
      </w:r>
      <w:r>
        <w:rPr>
          <w:rFonts w:asciiTheme="minorHAnsi" w:hAnsiTheme="minorHAnsi"/>
          <w:sz w:val="20"/>
          <w:lang w:val="en-IE"/>
        </w:rPr>
        <w:t>,</w:t>
      </w:r>
      <w:r w:rsidRPr="00A36E18">
        <w:rPr>
          <w:rFonts w:asciiTheme="minorHAnsi" w:hAnsiTheme="minorHAnsi"/>
          <w:sz w:val="20"/>
          <w:lang w:val="en-IE"/>
        </w:rPr>
        <w:t xml:space="preserve"> any lease payments made at or before the commencement date less any lease incentives received</w:t>
      </w:r>
      <w:r>
        <w:rPr>
          <w:rFonts w:asciiTheme="minorHAnsi" w:hAnsiTheme="minorHAnsi"/>
          <w:sz w:val="20"/>
          <w:lang w:val="en-IE"/>
        </w:rPr>
        <w:t>,</w:t>
      </w:r>
      <w:r w:rsidRPr="00A36E18">
        <w:rPr>
          <w:rFonts w:asciiTheme="minorHAnsi" w:hAnsiTheme="minorHAnsi"/>
          <w:sz w:val="20"/>
          <w:lang w:val="en-IE"/>
        </w:rPr>
        <w:t xml:space="preserve"> any initial direct costs, and restoration costs. </w:t>
      </w:r>
      <w:r>
        <w:rPr>
          <w:rFonts w:asciiTheme="minorHAnsi" w:hAnsiTheme="minorHAnsi"/>
          <w:sz w:val="20"/>
          <w:lang w:val="en-IE"/>
        </w:rPr>
        <w:t>It is</w:t>
      </w:r>
      <w:r w:rsidRPr="00BA334E">
        <w:rPr>
          <w:rFonts w:asciiTheme="minorHAnsi" w:hAnsiTheme="minorHAnsi"/>
          <w:sz w:val="20"/>
          <w:lang w:val="en-IE"/>
        </w:rPr>
        <w:t xml:space="preserve"> subsequently measured at </w:t>
      </w:r>
      <w:r>
        <w:rPr>
          <w:rFonts w:asciiTheme="minorHAnsi" w:hAnsiTheme="minorHAnsi"/>
          <w:sz w:val="20"/>
          <w:lang w:val="en-IE"/>
        </w:rPr>
        <w:t>cost less accumulated depreciation and impairment</w:t>
      </w:r>
      <w:r w:rsidRPr="00BA334E">
        <w:rPr>
          <w:rFonts w:asciiTheme="minorHAnsi" w:hAnsiTheme="minorHAnsi"/>
          <w:sz w:val="20"/>
          <w:lang w:val="en-IE"/>
        </w:rPr>
        <w:t xml:space="preserve"> in accordance with the Group’s accounting policies.</w:t>
      </w:r>
      <w:r>
        <w:rPr>
          <w:rFonts w:asciiTheme="minorHAnsi" w:hAnsiTheme="minorHAnsi"/>
          <w:sz w:val="20"/>
          <w:lang w:val="en-IE"/>
        </w:rPr>
        <w:t xml:space="preserve"> It is depreciated over t</w:t>
      </w:r>
      <w:r w:rsidRPr="00C176A9">
        <w:rPr>
          <w:rFonts w:asciiTheme="minorHAnsi" w:hAnsiTheme="minorHAnsi" w:cs="Times New Roman"/>
          <w:sz w:val="20"/>
          <w:szCs w:val="20"/>
        </w:rPr>
        <w:t xml:space="preserve">he shorter of the lease term and the useful life of the right-of-use asset, unless there is a transfer of ownership or purchase option which is reasonably certain to be exercised at the end of the lease term. If there is a transfer of ownership or purchase option which is reasonably certain to be exercised at the end of the lease term, the </w:t>
      </w:r>
      <w:r>
        <w:rPr>
          <w:rFonts w:asciiTheme="minorHAnsi" w:hAnsiTheme="minorHAnsi" w:cs="Times New Roman"/>
          <w:sz w:val="20"/>
          <w:szCs w:val="20"/>
        </w:rPr>
        <w:t>Group</w:t>
      </w:r>
      <w:r w:rsidRPr="00C176A9">
        <w:rPr>
          <w:rFonts w:asciiTheme="minorHAnsi" w:hAnsiTheme="minorHAnsi" w:cs="Times New Roman"/>
          <w:sz w:val="20"/>
          <w:szCs w:val="20"/>
        </w:rPr>
        <w:t xml:space="preserve"> depreciates the right-of-use asset over the useful life of the underlying asset.</w:t>
      </w:r>
    </w:p>
    <w:p w14:paraId="0D1FAF09" w14:textId="77777777" w:rsidR="00794AFD" w:rsidRPr="00BA334E" w:rsidRDefault="00794AFD" w:rsidP="00794AFD">
      <w:pPr>
        <w:rPr>
          <w:rFonts w:asciiTheme="minorHAnsi" w:hAnsiTheme="minorHAnsi"/>
          <w:sz w:val="14"/>
          <w:szCs w:val="14"/>
          <w:lang w:val="en-IE"/>
        </w:rPr>
      </w:pPr>
    </w:p>
    <w:p w14:paraId="138A9B1A" w14:textId="77777777" w:rsidR="00794AFD" w:rsidRDefault="00794AFD" w:rsidP="00794AFD">
      <w:pPr>
        <w:rPr>
          <w:rFonts w:asciiTheme="minorHAnsi" w:hAnsiTheme="minorHAnsi"/>
          <w:sz w:val="20"/>
          <w:lang w:val="en-IE"/>
        </w:rPr>
      </w:pPr>
      <w:r w:rsidRPr="00BA334E">
        <w:rPr>
          <w:rFonts w:asciiTheme="minorHAnsi" w:hAnsiTheme="minorHAnsi"/>
          <w:sz w:val="20"/>
          <w:lang w:val="en-IE"/>
        </w:rPr>
        <w:t xml:space="preserve">The lease liability is initially measured at the present value of the lease payments that are not paid at the commencement date, discounted using the interest rate implicit in the lease or, if that rate cannot be readily determined, the Group’s incremental borrowing rate. </w:t>
      </w:r>
      <w:bookmarkStart w:id="28" w:name="_Hlk32560955"/>
      <w:r w:rsidRPr="00BA334E">
        <w:rPr>
          <w:rFonts w:asciiTheme="minorHAnsi" w:hAnsiTheme="minorHAnsi"/>
          <w:sz w:val="20"/>
          <w:lang w:val="en-IE"/>
        </w:rPr>
        <w:t>Generally, the Group uses its incremental borrowing rate as the discount rate.</w:t>
      </w:r>
      <w:r>
        <w:rPr>
          <w:rFonts w:asciiTheme="minorHAnsi" w:hAnsiTheme="minorHAnsi"/>
          <w:sz w:val="20"/>
          <w:lang w:val="en-IE"/>
        </w:rPr>
        <w:t xml:space="preserve"> </w:t>
      </w:r>
      <w:r w:rsidRPr="00A36E18">
        <w:rPr>
          <w:rFonts w:asciiTheme="minorHAnsi" w:hAnsiTheme="minorHAnsi"/>
          <w:sz w:val="20"/>
          <w:lang w:val="en-IE"/>
        </w:rPr>
        <w:t xml:space="preserve">To determine the incremental borrowing rate, the </w:t>
      </w:r>
      <w:r>
        <w:rPr>
          <w:rFonts w:asciiTheme="minorHAnsi" w:hAnsiTheme="minorHAnsi"/>
          <w:sz w:val="20"/>
          <w:lang w:val="en-IE"/>
        </w:rPr>
        <w:t>G</w:t>
      </w:r>
      <w:r w:rsidRPr="00A36E18">
        <w:rPr>
          <w:rFonts w:asciiTheme="minorHAnsi" w:hAnsiTheme="minorHAnsi"/>
          <w:sz w:val="20"/>
          <w:lang w:val="en-IE"/>
        </w:rPr>
        <w:t>roup</w:t>
      </w:r>
      <w:r w:rsidRPr="004C3C71">
        <w:rPr>
          <w:rFonts w:asciiTheme="minorHAnsi" w:hAnsiTheme="minorHAnsi"/>
          <w:sz w:val="20"/>
          <w:lang w:val="en-IE"/>
        </w:rPr>
        <w:t xml:space="preserve">, </w:t>
      </w:r>
      <w:r w:rsidRPr="000944E4">
        <w:rPr>
          <w:rFonts w:asciiTheme="minorHAnsi" w:hAnsiTheme="minorHAnsi"/>
          <w:sz w:val="20"/>
          <w:lang w:val="en-IE"/>
        </w:rPr>
        <w:t xml:space="preserve">where possible, </w:t>
      </w:r>
      <w:r w:rsidRPr="004C3C71">
        <w:rPr>
          <w:rFonts w:asciiTheme="minorHAnsi" w:hAnsiTheme="minorHAnsi"/>
          <w:sz w:val="20"/>
          <w:lang w:val="en-IE"/>
        </w:rPr>
        <w:t>use</w:t>
      </w:r>
      <w:r w:rsidRPr="000944E4">
        <w:rPr>
          <w:rFonts w:asciiTheme="minorHAnsi" w:hAnsiTheme="minorHAnsi"/>
          <w:sz w:val="20"/>
          <w:lang w:val="en-IE"/>
        </w:rPr>
        <w:t>d</w:t>
      </w:r>
      <w:r w:rsidRPr="004C3C71">
        <w:rPr>
          <w:rFonts w:asciiTheme="minorHAnsi" w:hAnsiTheme="minorHAnsi"/>
          <w:sz w:val="20"/>
          <w:lang w:val="en-IE"/>
        </w:rPr>
        <w:t xml:space="preserve"> recent third-party </w:t>
      </w:r>
      <w:r w:rsidRPr="000944E4">
        <w:rPr>
          <w:rFonts w:asciiTheme="minorHAnsi" w:hAnsiTheme="minorHAnsi"/>
          <w:sz w:val="20"/>
          <w:lang w:val="en-IE"/>
        </w:rPr>
        <w:t>borrowing</w:t>
      </w:r>
      <w:r w:rsidRPr="004C3C71">
        <w:rPr>
          <w:rFonts w:asciiTheme="minorHAnsi" w:hAnsiTheme="minorHAnsi"/>
          <w:sz w:val="20"/>
          <w:lang w:val="en-IE"/>
        </w:rPr>
        <w:t xml:space="preserve">s as a </w:t>
      </w:r>
      <w:r w:rsidRPr="000944E4">
        <w:rPr>
          <w:rFonts w:asciiTheme="minorHAnsi" w:hAnsiTheme="minorHAnsi"/>
          <w:sz w:val="20"/>
          <w:lang w:val="en-IE"/>
        </w:rPr>
        <w:t>benchmark</w:t>
      </w:r>
      <w:r w:rsidRPr="004C3C71">
        <w:rPr>
          <w:rFonts w:asciiTheme="minorHAnsi" w:hAnsiTheme="minorHAnsi"/>
          <w:sz w:val="20"/>
          <w:lang w:val="en-IE"/>
        </w:rPr>
        <w:t xml:space="preserve"> to </w:t>
      </w:r>
      <w:r w:rsidRPr="000944E4">
        <w:rPr>
          <w:rFonts w:asciiTheme="minorHAnsi" w:hAnsiTheme="minorHAnsi"/>
          <w:sz w:val="20"/>
          <w:lang w:val="en-IE"/>
        </w:rPr>
        <w:t>determine</w:t>
      </w:r>
      <w:r w:rsidRPr="004C3C71">
        <w:rPr>
          <w:rFonts w:asciiTheme="minorHAnsi" w:hAnsiTheme="minorHAnsi"/>
          <w:sz w:val="20"/>
          <w:lang w:val="en-IE"/>
        </w:rPr>
        <w:t xml:space="preserve"> the </w:t>
      </w:r>
      <w:r w:rsidRPr="000944E4">
        <w:rPr>
          <w:rFonts w:asciiTheme="minorHAnsi" w:hAnsiTheme="minorHAnsi"/>
          <w:sz w:val="20"/>
          <w:lang w:val="en-IE"/>
        </w:rPr>
        <w:t>borrowing rate</w:t>
      </w:r>
      <w:r w:rsidRPr="004C3C71">
        <w:rPr>
          <w:rFonts w:asciiTheme="minorHAnsi" w:hAnsiTheme="minorHAnsi"/>
          <w:sz w:val="20"/>
          <w:lang w:val="en-IE"/>
        </w:rPr>
        <w:t xml:space="preserve"> that would be attached to a secured borrowing having similar amount</w:t>
      </w:r>
      <w:r>
        <w:rPr>
          <w:rFonts w:asciiTheme="minorHAnsi" w:hAnsiTheme="minorHAnsi"/>
          <w:sz w:val="20"/>
          <w:lang w:val="en-IE"/>
        </w:rPr>
        <w:t>, economic environment</w:t>
      </w:r>
      <w:r w:rsidRPr="004C3C71">
        <w:rPr>
          <w:rFonts w:asciiTheme="minorHAnsi" w:hAnsiTheme="minorHAnsi"/>
          <w:sz w:val="20"/>
          <w:lang w:val="en-IE"/>
        </w:rPr>
        <w:t xml:space="preserve"> and duration as the individual lease.</w:t>
      </w:r>
    </w:p>
    <w:bookmarkEnd w:id="28"/>
    <w:p w14:paraId="476CFC14" w14:textId="77777777" w:rsidR="00794AFD" w:rsidRPr="000944E4" w:rsidRDefault="00794AFD" w:rsidP="00794AFD">
      <w:pPr>
        <w:rPr>
          <w:rFonts w:asciiTheme="minorHAnsi" w:hAnsiTheme="minorHAnsi"/>
          <w:sz w:val="20"/>
          <w:lang w:val="en-IE"/>
        </w:rPr>
      </w:pPr>
      <w:r>
        <w:rPr>
          <w:rFonts w:asciiTheme="minorHAnsi" w:hAnsiTheme="minorHAnsi"/>
          <w:sz w:val="20"/>
          <w:lang w:val="en-IE"/>
        </w:rPr>
        <w:t xml:space="preserve"> </w:t>
      </w:r>
    </w:p>
    <w:p w14:paraId="3B0F579E" w14:textId="77777777" w:rsidR="00794AFD" w:rsidRDefault="00794AFD" w:rsidP="00794AFD">
      <w:pPr>
        <w:rPr>
          <w:rFonts w:asciiTheme="minorHAnsi" w:hAnsiTheme="minorHAnsi"/>
          <w:sz w:val="20"/>
          <w:lang w:val="en-IE"/>
        </w:rPr>
      </w:pPr>
      <w:r>
        <w:rPr>
          <w:rFonts w:asciiTheme="minorHAnsi" w:hAnsiTheme="minorHAnsi"/>
          <w:sz w:val="20"/>
          <w:lang w:val="en-IE"/>
        </w:rPr>
        <w:t xml:space="preserve"> </w:t>
      </w:r>
      <w:r w:rsidRPr="00A36E18">
        <w:rPr>
          <w:rFonts w:asciiTheme="minorHAnsi" w:hAnsiTheme="minorHAnsi"/>
          <w:sz w:val="20"/>
          <w:lang w:val="en-IE"/>
        </w:rPr>
        <w:t xml:space="preserve">Lease liabilities include the net present value of the following lease payments: </w:t>
      </w:r>
    </w:p>
    <w:p w14:paraId="56A125C2" w14:textId="77777777" w:rsidR="00794AFD" w:rsidRPr="000944E4" w:rsidRDefault="00794AFD" w:rsidP="00794AFD">
      <w:pPr>
        <w:pStyle w:val="ListParagraph"/>
        <w:numPr>
          <w:ilvl w:val="0"/>
          <w:numId w:val="26"/>
        </w:numPr>
        <w:rPr>
          <w:rFonts w:asciiTheme="minorHAnsi" w:hAnsiTheme="minorHAnsi"/>
          <w:sz w:val="20"/>
          <w:lang w:val="en-IE"/>
        </w:rPr>
      </w:pPr>
      <w:r w:rsidRPr="000944E4">
        <w:rPr>
          <w:rFonts w:asciiTheme="minorHAnsi" w:hAnsiTheme="minorHAnsi"/>
          <w:sz w:val="20"/>
          <w:lang w:val="en-IE"/>
        </w:rPr>
        <w:t xml:space="preserve">fixed payments (including in-substance fixed payments), less any lease incentives receivable </w:t>
      </w:r>
    </w:p>
    <w:p w14:paraId="7F3269C0" w14:textId="77777777" w:rsidR="00794AFD" w:rsidRPr="000944E4" w:rsidRDefault="00794AFD" w:rsidP="00794AFD">
      <w:pPr>
        <w:pStyle w:val="ListParagraph"/>
        <w:numPr>
          <w:ilvl w:val="0"/>
          <w:numId w:val="26"/>
        </w:numPr>
        <w:rPr>
          <w:rFonts w:asciiTheme="minorHAnsi" w:hAnsiTheme="minorHAnsi"/>
          <w:sz w:val="20"/>
          <w:lang w:val="en-IE"/>
        </w:rPr>
      </w:pPr>
      <w:r w:rsidRPr="000944E4">
        <w:rPr>
          <w:rFonts w:asciiTheme="minorHAnsi" w:hAnsiTheme="minorHAnsi"/>
          <w:sz w:val="20"/>
          <w:lang w:val="en-IE"/>
        </w:rPr>
        <w:t xml:space="preserve">variable lease payment that are based on an index or a rate, initially measured using the index or rate as at the commencement date </w:t>
      </w:r>
    </w:p>
    <w:p w14:paraId="4C0FE8A1" w14:textId="77777777" w:rsidR="00794AFD" w:rsidRPr="000944E4" w:rsidRDefault="00794AFD" w:rsidP="00794AFD">
      <w:pPr>
        <w:pStyle w:val="ListParagraph"/>
        <w:numPr>
          <w:ilvl w:val="0"/>
          <w:numId w:val="26"/>
        </w:numPr>
        <w:rPr>
          <w:rFonts w:asciiTheme="minorHAnsi" w:hAnsiTheme="minorHAnsi"/>
          <w:sz w:val="20"/>
          <w:lang w:val="en-IE"/>
        </w:rPr>
      </w:pPr>
      <w:r w:rsidRPr="000944E4">
        <w:rPr>
          <w:rFonts w:asciiTheme="minorHAnsi" w:hAnsiTheme="minorHAnsi"/>
          <w:sz w:val="20"/>
          <w:lang w:val="en-IE"/>
        </w:rPr>
        <w:t xml:space="preserve">amounts expected to be payable by the group under residual value guarantees </w:t>
      </w:r>
    </w:p>
    <w:p w14:paraId="195C4853" w14:textId="77777777" w:rsidR="00794AFD" w:rsidRPr="000944E4" w:rsidRDefault="00794AFD" w:rsidP="00794AFD">
      <w:pPr>
        <w:pStyle w:val="ListParagraph"/>
        <w:numPr>
          <w:ilvl w:val="0"/>
          <w:numId w:val="26"/>
        </w:numPr>
        <w:rPr>
          <w:rFonts w:asciiTheme="minorHAnsi" w:hAnsiTheme="minorHAnsi"/>
          <w:sz w:val="20"/>
          <w:lang w:val="en-IE"/>
        </w:rPr>
      </w:pPr>
      <w:r w:rsidRPr="000944E4">
        <w:rPr>
          <w:rFonts w:asciiTheme="minorHAnsi" w:hAnsiTheme="minorHAnsi"/>
          <w:sz w:val="20"/>
          <w:lang w:val="en-IE"/>
        </w:rPr>
        <w:t xml:space="preserve">the exercise price of a purchase option if the group is reasonably certain to exercise that option, and </w:t>
      </w:r>
    </w:p>
    <w:p w14:paraId="044F57D8" w14:textId="77777777" w:rsidR="00794AFD" w:rsidRPr="000944E4" w:rsidRDefault="00794AFD" w:rsidP="00794AFD">
      <w:pPr>
        <w:pStyle w:val="ListParagraph"/>
        <w:numPr>
          <w:ilvl w:val="0"/>
          <w:numId w:val="26"/>
        </w:numPr>
        <w:rPr>
          <w:rFonts w:asciiTheme="minorHAnsi" w:hAnsiTheme="minorHAnsi"/>
          <w:sz w:val="20"/>
          <w:lang w:val="en-IE"/>
        </w:rPr>
      </w:pPr>
      <w:r w:rsidRPr="000944E4">
        <w:rPr>
          <w:rFonts w:asciiTheme="minorHAnsi" w:hAnsiTheme="minorHAnsi"/>
          <w:sz w:val="20"/>
          <w:lang w:val="en-IE"/>
        </w:rPr>
        <w:t>payments of penalties for terminating the lease, if the lease term reflects the group exercising that option</w:t>
      </w:r>
    </w:p>
    <w:p w14:paraId="72E9BC14" w14:textId="77777777" w:rsidR="00794AFD" w:rsidRDefault="00794AFD" w:rsidP="00794AFD">
      <w:pPr>
        <w:rPr>
          <w:rFonts w:asciiTheme="minorHAnsi" w:hAnsiTheme="minorHAnsi"/>
          <w:sz w:val="20"/>
          <w:lang w:val="en-IE"/>
        </w:rPr>
      </w:pPr>
      <w:r w:rsidRPr="00A36E18">
        <w:rPr>
          <w:rFonts w:asciiTheme="minorHAnsi" w:hAnsiTheme="minorHAnsi"/>
          <w:sz w:val="20"/>
          <w:lang w:val="en-IE"/>
        </w:rPr>
        <w:t>Lease payments to be made under reasonably certain extension options are also included in the measurement of the liability</w:t>
      </w:r>
      <w:r>
        <w:rPr>
          <w:rFonts w:asciiTheme="minorHAnsi" w:hAnsiTheme="minorHAnsi"/>
          <w:sz w:val="20"/>
          <w:lang w:val="en-IE"/>
        </w:rPr>
        <w:t>.</w:t>
      </w:r>
    </w:p>
    <w:p w14:paraId="0BE13777" w14:textId="77777777" w:rsidR="00794AFD" w:rsidRPr="00BA334E" w:rsidRDefault="00794AFD" w:rsidP="00794AFD">
      <w:pPr>
        <w:rPr>
          <w:rFonts w:asciiTheme="minorHAnsi" w:hAnsiTheme="minorHAnsi"/>
          <w:sz w:val="20"/>
          <w:lang w:val="en-IE"/>
        </w:rPr>
      </w:pPr>
    </w:p>
    <w:p w14:paraId="5A198ECB" w14:textId="77777777" w:rsidR="00794AFD" w:rsidRPr="00BA334E" w:rsidRDefault="00794AFD" w:rsidP="00794AFD">
      <w:pPr>
        <w:rPr>
          <w:rFonts w:asciiTheme="minorHAnsi" w:hAnsiTheme="minorHAnsi"/>
          <w:sz w:val="20"/>
          <w:lang w:val="en-IE"/>
        </w:rPr>
      </w:pPr>
      <w:r w:rsidRPr="00BA334E">
        <w:rPr>
          <w:rFonts w:asciiTheme="minorHAnsi" w:hAnsiTheme="minorHAnsi"/>
          <w:sz w:val="20"/>
          <w:lang w:val="en-IE"/>
        </w:rPr>
        <w:t xml:space="preserve">The lease liability is subsequently increased by the interest cost on the lease liability and decreased by the lease payment made. It is remeasured when there is a change in future lease payments arising from a change in an index or a rate, a change in the estimate of the amount expected to be payable under a residual value guarantee, or as appropriate, changes in the assessment of whether a purchase or extension option is reasonably certain to be exercised or a termination option is reasonably certain not to be exercised.  </w:t>
      </w:r>
    </w:p>
    <w:p w14:paraId="2187F54A" w14:textId="77777777" w:rsidR="00794AFD" w:rsidRPr="00EC441F" w:rsidRDefault="00794AFD" w:rsidP="00794AFD">
      <w:pPr>
        <w:rPr>
          <w:rFonts w:asciiTheme="minorHAnsi" w:hAnsiTheme="minorHAnsi"/>
          <w:sz w:val="14"/>
          <w:szCs w:val="14"/>
          <w:highlight w:val="yellow"/>
          <w:lang w:val="en-IE"/>
        </w:rPr>
      </w:pPr>
    </w:p>
    <w:p w14:paraId="77D9CECD" w14:textId="77777777" w:rsidR="00794AFD" w:rsidRPr="009A151C" w:rsidRDefault="00794AFD" w:rsidP="00794AFD">
      <w:pPr>
        <w:rPr>
          <w:rFonts w:asciiTheme="minorHAnsi" w:hAnsiTheme="minorHAnsi"/>
          <w:sz w:val="20"/>
          <w:lang w:val="en-IE"/>
        </w:rPr>
      </w:pPr>
      <w:r w:rsidRPr="009A151C">
        <w:rPr>
          <w:rFonts w:asciiTheme="minorHAnsi" w:hAnsiTheme="minorHAnsi"/>
          <w:sz w:val="20"/>
          <w:lang w:val="en-IE"/>
        </w:rPr>
        <w:t>The Group has applied judgement to determine the lease term for some lease contracts in which it is a lease that include</w:t>
      </w:r>
      <w:r>
        <w:rPr>
          <w:rFonts w:asciiTheme="minorHAnsi" w:hAnsiTheme="minorHAnsi"/>
          <w:sz w:val="20"/>
          <w:lang w:val="en-IE"/>
        </w:rPr>
        <w:t>s</w:t>
      </w:r>
      <w:r w:rsidRPr="009A151C">
        <w:rPr>
          <w:rFonts w:asciiTheme="minorHAnsi" w:hAnsiTheme="minorHAnsi"/>
          <w:sz w:val="20"/>
          <w:lang w:val="en-IE"/>
        </w:rPr>
        <w:t xml:space="preserve"> renewal options. The assessment of whether the Group is reasonably certain to exercise such options impacts the lease term, which significantly affects the amount of lease liabilities and right of use assets recognised.</w:t>
      </w:r>
    </w:p>
    <w:p w14:paraId="79DF9424" w14:textId="77777777" w:rsidR="00794AFD" w:rsidRPr="00EC441F" w:rsidRDefault="00794AFD" w:rsidP="00794AFD">
      <w:pPr>
        <w:rPr>
          <w:rFonts w:asciiTheme="minorHAnsi" w:hAnsiTheme="minorHAnsi"/>
          <w:sz w:val="14"/>
          <w:szCs w:val="14"/>
          <w:highlight w:val="yellow"/>
          <w:lang w:val="en-IE"/>
        </w:rPr>
      </w:pPr>
    </w:p>
    <w:p w14:paraId="11432B15" w14:textId="77777777" w:rsidR="00794AFD" w:rsidRPr="009A151C" w:rsidRDefault="00794AFD" w:rsidP="00794AFD">
      <w:pPr>
        <w:rPr>
          <w:rFonts w:asciiTheme="minorHAnsi" w:hAnsiTheme="minorHAnsi"/>
          <w:sz w:val="20"/>
          <w:lang w:val="en-IE"/>
        </w:rPr>
      </w:pPr>
      <w:r w:rsidRPr="009A151C">
        <w:rPr>
          <w:rFonts w:asciiTheme="minorHAnsi" w:hAnsiTheme="minorHAnsi"/>
          <w:b/>
          <w:sz w:val="20"/>
          <w:lang w:val="en-IE"/>
        </w:rPr>
        <w:t>Transition</w:t>
      </w:r>
    </w:p>
    <w:p w14:paraId="58D87DCC" w14:textId="77777777" w:rsidR="00794AFD" w:rsidRDefault="00794AFD" w:rsidP="00794AFD">
      <w:pPr>
        <w:rPr>
          <w:rFonts w:asciiTheme="minorHAnsi" w:hAnsiTheme="minorHAnsi"/>
          <w:sz w:val="20"/>
        </w:rPr>
      </w:pPr>
      <w:r w:rsidRPr="00833CFA">
        <w:rPr>
          <w:rFonts w:asciiTheme="minorHAnsi" w:hAnsiTheme="minorHAnsi"/>
          <w:sz w:val="20"/>
        </w:rPr>
        <w:t>Until 31 December 2018,</w:t>
      </w:r>
      <w:r w:rsidRPr="00A54A16">
        <w:rPr>
          <w:rFonts w:asciiTheme="minorHAnsi" w:hAnsiTheme="minorHAnsi"/>
          <w:sz w:val="20"/>
        </w:rPr>
        <w:t xml:space="preserve"> leases of property, plant and equ</w:t>
      </w:r>
      <w:r w:rsidRPr="000F4A1F">
        <w:rPr>
          <w:rFonts w:asciiTheme="minorHAnsi" w:hAnsiTheme="minorHAnsi"/>
          <w:sz w:val="20"/>
        </w:rPr>
        <w:t xml:space="preserve">ipment where the group, as lessee, had substantially all the risks and rewards of ownership were classified as finance leases. Finance leases were capitalised at the lease’s </w:t>
      </w:r>
    </w:p>
    <w:p w14:paraId="045EEBA8" w14:textId="77777777" w:rsidR="00794AFD" w:rsidRPr="001C5950" w:rsidRDefault="00794AFD" w:rsidP="00794AFD">
      <w:pPr>
        <w:rPr>
          <w:rFonts w:asciiTheme="minorHAnsi" w:hAnsiTheme="minorHAnsi" w:cs="Times New Roman"/>
          <w:b/>
          <w:bCs/>
          <w:sz w:val="20"/>
          <w:szCs w:val="20"/>
        </w:rPr>
      </w:pPr>
      <w:r w:rsidRPr="001C5950">
        <w:rPr>
          <w:rFonts w:asciiTheme="minorHAnsi" w:hAnsiTheme="minorHAnsi" w:cs="Times New Roman"/>
          <w:b/>
          <w:sz w:val="20"/>
          <w:szCs w:val="20"/>
        </w:rPr>
        <w:lastRenderedPageBreak/>
        <w:t>2.</w:t>
      </w:r>
      <w:r w:rsidRPr="001C5950">
        <w:rPr>
          <w:rFonts w:asciiTheme="minorHAnsi" w:hAnsiTheme="minorHAnsi" w:cs="Times New Roman"/>
          <w:b/>
          <w:i/>
          <w:sz w:val="20"/>
          <w:szCs w:val="20"/>
        </w:rPr>
        <w:t xml:space="preserve">  </w:t>
      </w:r>
      <w:r w:rsidRPr="001C5950">
        <w:rPr>
          <w:rFonts w:asciiTheme="minorHAnsi" w:hAnsiTheme="minorHAnsi" w:cs="Times New Roman"/>
          <w:b/>
          <w:bCs/>
          <w:sz w:val="20"/>
          <w:szCs w:val="20"/>
        </w:rPr>
        <w:t>Basis of preparation and summary of significant accounting policies (continued)</w:t>
      </w:r>
    </w:p>
    <w:p w14:paraId="488338C3" w14:textId="77777777" w:rsidR="00794AFD" w:rsidRDefault="00794AFD" w:rsidP="00794AFD">
      <w:pPr>
        <w:rPr>
          <w:rFonts w:asciiTheme="minorHAnsi" w:hAnsiTheme="minorHAnsi"/>
          <w:sz w:val="20"/>
        </w:rPr>
      </w:pPr>
    </w:p>
    <w:p w14:paraId="6D257B89" w14:textId="77777777" w:rsidR="00794AFD" w:rsidRDefault="00794AFD" w:rsidP="00794AFD">
      <w:pPr>
        <w:rPr>
          <w:rFonts w:asciiTheme="minorHAnsi" w:hAnsiTheme="minorHAnsi"/>
          <w:sz w:val="20"/>
        </w:rPr>
      </w:pPr>
      <w:r w:rsidRPr="000F4A1F">
        <w:rPr>
          <w:rFonts w:asciiTheme="minorHAnsi" w:hAnsiTheme="minorHAnsi"/>
          <w:sz w:val="20"/>
        </w:rPr>
        <w:t>inception at the fair value of the leased property or, if lower, the present value of the minimum lease payments. The corresponding rental obligations, net of finance charges, were included in other short-term and long-term payables. Each lease payment was allocated between the liability and finance cost. The finance cost was charged to profit or loss over the lease period so as to produce a constant periodic rate of interest on the remaining balance of the liability for each period. The</w:t>
      </w:r>
      <w:r w:rsidRPr="00E90B37">
        <w:rPr>
          <w:rFonts w:asciiTheme="minorHAnsi" w:hAnsiTheme="minorHAnsi"/>
          <w:sz w:val="20"/>
        </w:rPr>
        <w:t xml:space="preserve"> property, plant and equipment acquired under finance leases was depreciated over the asset’s useful life, or over the shorter of the asset’s useful life and the lease term if there is no reasonable certainty that the group will obtain ownership at the end of the lease term</w:t>
      </w:r>
      <w:r>
        <w:rPr>
          <w:rFonts w:asciiTheme="minorHAnsi" w:hAnsiTheme="minorHAnsi"/>
          <w:sz w:val="20"/>
        </w:rPr>
        <w:t xml:space="preserve">. </w:t>
      </w:r>
    </w:p>
    <w:p w14:paraId="520129C9" w14:textId="77777777" w:rsidR="00794AFD" w:rsidRDefault="00794AFD" w:rsidP="00794AFD">
      <w:pPr>
        <w:rPr>
          <w:rFonts w:asciiTheme="minorHAnsi" w:hAnsiTheme="minorHAnsi"/>
          <w:sz w:val="20"/>
        </w:rPr>
      </w:pPr>
    </w:p>
    <w:p w14:paraId="11ACD6F8" w14:textId="77777777" w:rsidR="00794AFD" w:rsidRDefault="00794AFD" w:rsidP="00794AFD">
      <w:pPr>
        <w:rPr>
          <w:rFonts w:asciiTheme="minorHAnsi" w:hAnsiTheme="minorHAnsi"/>
          <w:sz w:val="20"/>
        </w:rPr>
      </w:pPr>
      <w:r w:rsidRPr="00E90B37">
        <w:rPr>
          <w:rFonts w:asciiTheme="minorHAnsi" w:hAnsiTheme="minorHAnsi"/>
          <w:sz w:val="20"/>
        </w:rPr>
        <w:t>Leases in which a significant portion of the risks and rewards of ownership were not transferred to the group as lessee were classified as operating leases. Payments made under operating leases (net of any incentives received from the lessor) were charged to profit or loss on a straight-line basis over the period of the lease</w:t>
      </w:r>
      <w:r>
        <w:rPr>
          <w:rFonts w:asciiTheme="minorHAnsi" w:hAnsiTheme="minorHAnsi"/>
          <w:sz w:val="20"/>
        </w:rPr>
        <w:t>, unless another systematic basis was more appropriate</w:t>
      </w:r>
      <w:r w:rsidRPr="00E90B37">
        <w:rPr>
          <w:rFonts w:asciiTheme="minorHAnsi" w:hAnsiTheme="minorHAnsi"/>
          <w:sz w:val="20"/>
        </w:rPr>
        <w:t>.</w:t>
      </w:r>
    </w:p>
    <w:p w14:paraId="2EBF9E7E" w14:textId="77777777" w:rsidR="00794AFD" w:rsidRDefault="00794AFD" w:rsidP="00794AFD">
      <w:pPr>
        <w:rPr>
          <w:rFonts w:asciiTheme="minorHAnsi" w:hAnsiTheme="minorHAnsi"/>
          <w:sz w:val="20"/>
        </w:rPr>
      </w:pPr>
    </w:p>
    <w:p w14:paraId="08301CAC" w14:textId="77777777" w:rsidR="00794AFD" w:rsidRDefault="00794AFD" w:rsidP="00794AFD">
      <w:pPr>
        <w:rPr>
          <w:rFonts w:asciiTheme="minorHAnsi" w:hAnsiTheme="minorHAnsi"/>
          <w:sz w:val="20"/>
        </w:rPr>
      </w:pPr>
      <w:r w:rsidRPr="001C5950">
        <w:rPr>
          <w:rFonts w:asciiTheme="minorHAnsi" w:hAnsiTheme="minorHAnsi"/>
          <w:sz w:val="20"/>
        </w:rPr>
        <w:t xml:space="preserve">The Group leases various </w:t>
      </w:r>
      <w:r>
        <w:rPr>
          <w:rFonts w:asciiTheme="minorHAnsi" w:hAnsiTheme="minorHAnsi"/>
          <w:sz w:val="20"/>
        </w:rPr>
        <w:t>licence</w:t>
      </w:r>
      <w:r w:rsidRPr="001C5950">
        <w:rPr>
          <w:rFonts w:asciiTheme="minorHAnsi" w:hAnsiTheme="minorHAnsi"/>
          <w:sz w:val="20"/>
        </w:rPr>
        <w:t xml:space="preserve">d betting and other offices under operating lease agreements.  The leases have varying terms, escalation clauses and renewal rights.  The leases have, on average, approximately </w:t>
      </w:r>
      <w:r w:rsidRPr="00BB3434">
        <w:rPr>
          <w:rFonts w:asciiTheme="minorHAnsi" w:hAnsiTheme="minorHAnsi"/>
          <w:sz w:val="20"/>
        </w:rPr>
        <w:t>five</w:t>
      </w:r>
      <w:r w:rsidRPr="001C5950">
        <w:rPr>
          <w:rFonts w:asciiTheme="minorHAnsi" w:hAnsiTheme="minorHAnsi"/>
          <w:sz w:val="20"/>
        </w:rPr>
        <w:t xml:space="preserve"> years left to run (if the Group was to exercise available break options), with a right of renewal after that date.  Lease rentals are typically reviewed every five years to reflect market rental rates or changes in general inflation rates.</w:t>
      </w:r>
    </w:p>
    <w:p w14:paraId="38C89E3E" w14:textId="77777777" w:rsidR="00794AFD" w:rsidRDefault="00794AFD" w:rsidP="00794AFD">
      <w:pPr>
        <w:rPr>
          <w:rFonts w:asciiTheme="minorHAnsi" w:hAnsiTheme="minorHAnsi"/>
          <w:sz w:val="20"/>
        </w:rPr>
      </w:pPr>
    </w:p>
    <w:p w14:paraId="036B8D5D" w14:textId="77777777" w:rsidR="00794AFD" w:rsidRDefault="00794AFD" w:rsidP="00794AFD">
      <w:pPr>
        <w:rPr>
          <w:rFonts w:asciiTheme="minorHAnsi" w:hAnsiTheme="minorHAnsi"/>
          <w:sz w:val="20"/>
        </w:rPr>
      </w:pPr>
      <w:r>
        <w:rPr>
          <w:rFonts w:asciiTheme="minorHAnsi" w:hAnsiTheme="minorHAnsi"/>
          <w:sz w:val="20"/>
        </w:rPr>
        <w:t>At transition, for leases classified as operating leases under IAS 17, lease liabilities were measured at the present value of the remaining lease payments discounted at the Group’s incremental borrowing rate at 1 January 2019. Right of use assets are measured at either:</w:t>
      </w:r>
    </w:p>
    <w:p w14:paraId="501ADE49" w14:textId="77777777" w:rsidR="00794AFD" w:rsidRDefault="00794AFD" w:rsidP="00794AFD">
      <w:pPr>
        <w:pStyle w:val="ListParagraph"/>
        <w:numPr>
          <w:ilvl w:val="0"/>
          <w:numId w:val="25"/>
        </w:numPr>
        <w:spacing w:after="0" w:line="240" w:lineRule="auto"/>
        <w:rPr>
          <w:rFonts w:asciiTheme="minorHAnsi" w:hAnsiTheme="minorHAnsi"/>
          <w:sz w:val="20"/>
        </w:rPr>
      </w:pPr>
      <w:r>
        <w:rPr>
          <w:rFonts w:asciiTheme="minorHAnsi" w:hAnsiTheme="minorHAnsi"/>
          <w:sz w:val="20"/>
        </w:rPr>
        <w:t>their carrying amounts as if IFRS 16 had been applied since the commencement date, discounted using the leases incremental borrowing rate at the date of initial application.</w:t>
      </w:r>
    </w:p>
    <w:p w14:paraId="31CE6485" w14:textId="77777777" w:rsidR="00794AFD" w:rsidRDefault="00794AFD" w:rsidP="00794AFD">
      <w:pPr>
        <w:pStyle w:val="ListParagraph"/>
        <w:numPr>
          <w:ilvl w:val="0"/>
          <w:numId w:val="25"/>
        </w:numPr>
        <w:spacing w:after="0" w:line="240" w:lineRule="auto"/>
        <w:rPr>
          <w:rFonts w:asciiTheme="minorHAnsi" w:hAnsiTheme="minorHAnsi"/>
          <w:sz w:val="20"/>
        </w:rPr>
      </w:pPr>
      <w:r>
        <w:rPr>
          <w:rFonts w:asciiTheme="minorHAnsi" w:hAnsiTheme="minorHAnsi"/>
          <w:sz w:val="20"/>
        </w:rPr>
        <w:t>an amount equal to the lease liability, adjusted by the amount of any prepaid or accrued lease payments.</w:t>
      </w:r>
    </w:p>
    <w:p w14:paraId="55F31F87" w14:textId="77777777" w:rsidR="00794AFD" w:rsidRDefault="00794AFD" w:rsidP="00794AFD">
      <w:pPr>
        <w:rPr>
          <w:rFonts w:asciiTheme="minorHAnsi" w:hAnsiTheme="minorHAnsi"/>
          <w:sz w:val="20"/>
        </w:rPr>
      </w:pPr>
    </w:p>
    <w:p w14:paraId="6B0D5662" w14:textId="77777777" w:rsidR="00794AFD" w:rsidRDefault="00794AFD" w:rsidP="00794AFD">
      <w:pPr>
        <w:rPr>
          <w:rFonts w:asciiTheme="minorHAnsi" w:hAnsiTheme="minorHAnsi"/>
          <w:sz w:val="20"/>
        </w:rPr>
      </w:pPr>
      <w:r>
        <w:rPr>
          <w:rFonts w:asciiTheme="minorHAnsi" w:hAnsiTheme="minorHAnsi"/>
          <w:sz w:val="20"/>
        </w:rPr>
        <w:t>The Group used the following practical expedients when applying IFRS 16 to leases previously classified as operating leases under IAS 17.</w:t>
      </w:r>
    </w:p>
    <w:p w14:paraId="79B7CD5B" w14:textId="77777777" w:rsidR="00794AFD" w:rsidRDefault="00794AFD" w:rsidP="00794AFD">
      <w:pPr>
        <w:rPr>
          <w:rFonts w:asciiTheme="minorHAnsi" w:hAnsiTheme="minorHAnsi"/>
          <w:sz w:val="20"/>
        </w:rPr>
      </w:pPr>
    </w:p>
    <w:p w14:paraId="1B4E21A9" w14:textId="77777777" w:rsidR="00794AFD" w:rsidRDefault="00794AFD" w:rsidP="00794AFD">
      <w:pPr>
        <w:pStyle w:val="ListParagraph"/>
        <w:numPr>
          <w:ilvl w:val="0"/>
          <w:numId w:val="25"/>
        </w:numPr>
        <w:spacing w:after="0" w:line="240" w:lineRule="auto"/>
        <w:rPr>
          <w:rFonts w:asciiTheme="minorHAnsi" w:hAnsiTheme="minorHAnsi"/>
          <w:sz w:val="20"/>
        </w:rPr>
      </w:pPr>
      <w:r>
        <w:rPr>
          <w:rFonts w:asciiTheme="minorHAnsi" w:hAnsiTheme="minorHAnsi"/>
          <w:sz w:val="20"/>
        </w:rPr>
        <w:t>Applied the exemption not to recognise right of use assets and liabilities for leases with less than 12 months of lease term and leases for which the underlying asset is of low value</w:t>
      </w:r>
    </w:p>
    <w:p w14:paraId="1F6DFEC7" w14:textId="77777777" w:rsidR="00794AFD" w:rsidRDefault="00794AFD" w:rsidP="00794AFD">
      <w:pPr>
        <w:pStyle w:val="ListParagraph"/>
        <w:numPr>
          <w:ilvl w:val="0"/>
          <w:numId w:val="25"/>
        </w:numPr>
        <w:spacing w:after="0" w:line="240" w:lineRule="auto"/>
        <w:rPr>
          <w:rFonts w:asciiTheme="minorHAnsi" w:hAnsiTheme="minorHAnsi"/>
          <w:sz w:val="20"/>
        </w:rPr>
      </w:pPr>
      <w:r>
        <w:rPr>
          <w:rFonts w:asciiTheme="minorHAnsi" w:hAnsiTheme="minorHAnsi"/>
          <w:sz w:val="20"/>
        </w:rPr>
        <w:t>R</w:t>
      </w:r>
      <w:r w:rsidRPr="00497843">
        <w:rPr>
          <w:rFonts w:asciiTheme="minorHAnsi" w:hAnsiTheme="minorHAnsi"/>
          <w:sz w:val="20"/>
        </w:rPr>
        <w:t>el</w:t>
      </w:r>
      <w:r>
        <w:rPr>
          <w:rFonts w:asciiTheme="minorHAnsi" w:hAnsiTheme="minorHAnsi"/>
          <w:sz w:val="20"/>
        </w:rPr>
        <w:t>ied</w:t>
      </w:r>
      <w:r w:rsidRPr="00497843">
        <w:rPr>
          <w:rFonts w:asciiTheme="minorHAnsi" w:hAnsiTheme="minorHAnsi"/>
          <w:sz w:val="20"/>
        </w:rPr>
        <w:t xml:space="preserve"> on previous assessments on whether leases are onerous as an alternative to performing an impairment review </w:t>
      </w:r>
    </w:p>
    <w:p w14:paraId="59D3DC7A" w14:textId="77777777" w:rsidR="00794AFD" w:rsidRDefault="00794AFD" w:rsidP="00794AFD">
      <w:pPr>
        <w:pStyle w:val="ListParagraph"/>
        <w:numPr>
          <w:ilvl w:val="0"/>
          <w:numId w:val="25"/>
        </w:numPr>
        <w:spacing w:after="0" w:line="240" w:lineRule="auto"/>
        <w:rPr>
          <w:rFonts w:asciiTheme="minorHAnsi" w:hAnsiTheme="minorHAnsi"/>
          <w:sz w:val="20"/>
        </w:rPr>
      </w:pPr>
      <w:r>
        <w:rPr>
          <w:rFonts w:asciiTheme="minorHAnsi" w:hAnsiTheme="minorHAnsi"/>
          <w:sz w:val="20"/>
        </w:rPr>
        <w:t>Applied portfolio level accounting for leases with similar characteristics</w:t>
      </w:r>
    </w:p>
    <w:p w14:paraId="2FBE1966" w14:textId="77777777" w:rsidR="00794AFD" w:rsidRDefault="00794AFD" w:rsidP="00794AFD">
      <w:pPr>
        <w:pStyle w:val="ListParagraph"/>
        <w:numPr>
          <w:ilvl w:val="0"/>
          <w:numId w:val="25"/>
        </w:numPr>
        <w:spacing w:after="0" w:line="240" w:lineRule="auto"/>
        <w:rPr>
          <w:rFonts w:asciiTheme="minorHAnsi" w:hAnsiTheme="minorHAnsi"/>
          <w:sz w:val="20"/>
        </w:rPr>
      </w:pPr>
      <w:r>
        <w:rPr>
          <w:rFonts w:asciiTheme="minorHAnsi" w:hAnsiTheme="minorHAnsi"/>
          <w:sz w:val="20"/>
        </w:rPr>
        <w:t>Excluded initial direct costs from measuring the right of use asset at the date of initial application</w:t>
      </w:r>
    </w:p>
    <w:p w14:paraId="2AE1392B" w14:textId="77777777" w:rsidR="00794AFD" w:rsidRPr="009A151C" w:rsidRDefault="00794AFD" w:rsidP="00794AFD">
      <w:pPr>
        <w:pStyle w:val="ListParagraph"/>
        <w:numPr>
          <w:ilvl w:val="0"/>
          <w:numId w:val="25"/>
        </w:numPr>
        <w:spacing w:after="0" w:line="240" w:lineRule="auto"/>
        <w:rPr>
          <w:rFonts w:asciiTheme="minorHAnsi" w:hAnsiTheme="minorHAnsi"/>
          <w:sz w:val="20"/>
        </w:rPr>
      </w:pPr>
      <w:r>
        <w:rPr>
          <w:rFonts w:asciiTheme="minorHAnsi" w:hAnsiTheme="minorHAnsi"/>
          <w:sz w:val="20"/>
        </w:rPr>
        <w:t>Used hindsight when determining the lease term if the contract contains options to extend or terminate the lease</w:t>
      </w:r>
    </w:p>
    <w:p w14:paraId="1D5AFBAB" w14:textId="77777777" w:rsidR="00794AFD" w:rsidRDefault="00794AFD" w:rsidP="00794AFD">
      <w:pPr>
        <w:rPr>
          <w:rFonts w:asciiTheme="minorHAnsi" w:hAnsiTheme="minorHAnsi"/>
          <w:sz w:val="20"/>
          <w:lang w:val="en-IE"/>
        </w:rPr>
      </w:pPr>
      <w:r>
        <w:rPr>
          <w:rFonts w:asciiTheme="minorHAnsi" w:hAnsiTheme="minorHAnsi"/>
          <w:sz w:val="20"/>
          <w:lang w:val="en-IE"/>
        </w:rPr>
        <w:t xml:space="preserve"> </w:t>
      </w:r>
    </w:p>
    <w:p w14:paraId="467588D1" w14:textId="77777777" w:rsidR="00794AFD" w:rsidRDefault="00794AFD" w:rsidP="00794AFD">
      <w:pPr>
        <w:rPr>
          <w:rFonts w:asciiTheme="minorHAnsi" w:hAnsiTheme="minorHAnsi"/>
          <w:bCs/>
          <w:sz w:val="20"/>
        </w:rPr>
      </w:pPr>
      <w:r w:rsidRPr="000D26D9">
        <w:rPr>
          <w:rFonts w:asciiTheme="minorHAnsi" w:hAnsiTheme="minorHAnsi"/>
          <w:b/>
          <w:bCs/>
          <w:sz w:val="20"/>
        </w:rPr>
        <w:t>As a lessor</w:t>
      </w:r>
    </w:p>
    <w:p w14:paraId="260E8E86" w14:textId="77777777" w:rsidR="00794AFD" w:rsidRDefault="00794AFD" w:rsidP="00794AFD">
      <w:pPr>
        <w:rPr>
          <w:rFonts w:asciiTheme="minorHAnsi" w:hAnsiTheme="minorHAnsi"/>
          <w:bCs/>
          <w:sz w:val="20"/>
        </w:rPr>
      </w:pPr>
      <w:r w:rsidRPr="001C5950">
        <w:rPr>
          <w:rFonts w:asciiTheme="minorHAnsi" w:hAnsiTheme="minorHAnsi"/>
          <w:bCs/>
          <w:sz w:val="20"/>
        </w:rPr>
        <w:t xml:space="preserve">The Group has a small number of properties that are sublet.  </w:t>
      </w:r>
      <w:r>
        <w:rPr>
          <w:rFonts w:asciiTheme="minorHAnsi" w:hAnsiTheme="minorHAnsi"/>
          <w:bCs/>
          <w:sz w:val="20"/>
        </w:rPr>
        <w:t xml:space="preserve">The accounting policies applicable to the Group as a lessor are not different from those under IAS 17. </w:t>
      </w:r>
    </w:p>
    <w:p w14:paraId="177E60EE" w14:textId="77777777" w:rsidR="00794AFD" w:rsidRDefault="00794AFD" w:rsidP="00794AFD">
      <w:pPr>
        <w:rPr>
          <w:rFonts w:asciiTheme="minorHAnsi" w:hAnsiTheme="minorHAnsi"/>
          <w:bCs/>
          <w:sz w:val="20"/>
        </w:rPr>
      </w:pPr>
    </w:p>
    <w:p w14:paraId="6659516B" w14:textId="77777777" w:rsidR="00794AFD" w:rsidRDefault="00794AFD" w:rsidP="00794AFD">
      <w:pPr>
        <w:rPr>
          <w:rFonts w:asciiTheme="minorHAnsi" w:hAnsiTheme="minorHAnsi"/>
          <w:bCs/>
          <w:sz w:val="20"/>
        </w:rPr>
      </w:pPr>
      <w:r>
        <w:rPr>
          <w:rFonts w:asciiTheme="minorHAnsi" w:hAnsiTheme="minorHAnsi"/>
          <w:bCs/>
          <w:sz w:val="20"/>
        </w:rPr>
        <w:t xml:space="preserve">At inception, the Group determines whether each lease is a finance lease or an operating lease, </w:t>
      </w:r>
      <w:r w:rsidRPr="00540B95">
        <w:rPr>
          <w:rFonts w:asciiTheme="minorHAnsi" w:hAnsiTheme="minorHAnsi"/>
          <w:bCs/>
          <w:sz w:val="20"/>
        </w:rPr>
        <w:t>by reference to the transfer of all risks and rewards in connection to ownership of the underlying asset. In this case, the Group applies the derecognition and impairment requirements in IFRS 9 to the net investment in the lease.</w:t>
      </w:r>
    </w:p>
    <w:p w14:paraId="0B95503D" w14:textId="77777777" w:rsidR="00794AFD" w:rsidRDefault="00794AFD" w:rsidP="00794AFD">
      <w:pPr>
        <w:rPr>
          <w:rFonts w:asciiTheme="minorHAnsi" w:hAnsiTheme="minorHAnsi"/>
          <w:bCs/>
          <w:sz w:val="20"/>
        </w:rPr>
      </w:pPr>
    </w:p>
    <w:p w14:paraId="7A33E9E1" w14:textId="77777777" w:rsidR="00794AFD" w:rsidRDefault="00794AFD" w:rsidP="00794AFD">
      <w:pPr>
        <w:rPr>
          <w:rFonts w:asciiTheme="minorHAnsi" w:hAnsiTheme="minorHAnsi"/>
          <w:bCs/>
          <w:sz w:val="20"/>
        </w:rPr>
      </w:pPr>
      <w:r>
        <w:rPr>
          <w:rFonts w:asciiTheme="minorHAnsi" w:hAnsiTheme="minorHAnsi"/>
          <w:bCs/>
          <w:sz w:val="20"/>
        </w:rPr>
        <w:t>When the Group is an intermediate lessor the sub leases are classified with reference to the right of use asset arising from the head lease, not with reference to the underlying asset.</w:t>
      </w:r>
    </w:p>
    <w:p w14:paraId="34A06602" w14:textId="77777777" w:rsidR="00794AFD" w:rsidRDefault="00794AFD" w:rsidP="00794AFD">
      <w:pPr>
        <w:rPr>
          <w:rFonts w:asciiTheme="minorHAnsi" w:hAnsiTheme="minorHAnsi"/>
          <w:bCs/>
          <w:sz w:val="20"/>
        </w:rPr>
      </w:pPr>
    </w:p>
    <w:p w14:paraId="08762B94" w14:textId="77777777" w:rsidR="00794AFD" w:rsidRDefault="00794AFD" w:rsidP="00794AFD">
      <w:pPr>
        <w:rPr>
          <w:rFonts w:asciiTheme="minorHAnsi" w:hAnsiTheme="minorHAnsi"/>
          <w:bCs/>
          <w:sz w:val="20"/>
        </w:rPr>
      </w:pPr>
      <w:r>
        <w:rPr>
          <w:rFonts w:asciiTheme="minorHAnsi" w:hAnsiTheme="minorHAnsi"/>
          <w:bCs/>
          <w:sz w:val="20"/>
        </w:rPr>
        <w:t xml:space="preserve">Under operating leases, the Group recognises the income generated by the lease on an accruals basis over the life of the contract. </w:t>
      </w:r>
    </w:p>
    <w:p w14:paraId="38727FDE" w14:textId="77777777" w:rsidR="00794AFD" w:rsidRDefault="00794AFD" w:rsidP="00794AFD">
      <w:pPr>
        <w:widowControl/>
        <w:autoSpaceDE/>
        <w:autoSpaceDN/>
        <w:adjustRightInd/>
        <w:rPr>
          <w:rFonts w:asciiTheme="minorHAnsi" w:hAnsiTheme="minorHAnsi"/>
          <w:bCs/>
          <w:sz w:val="20"/>
        </w:rPr>
      </w:pPr>
      <w:r>
        <w:rPr>
          <w:rFonts w:asciiTheme="minorHAnsi" w:hAnsiTheme="minorHAnsi"/>
          <w:bCs/>
          <w:sz w:val="20"/>
        </w:rPr>
        <w:br w:type="page"/>
      </w:r>
    </w:p>
    <w:p w14:paraId="1BA03CD8" w14:textId="77777777" w:rsidR="00794AFD" w:rsidRDefault="00794AFD" w:rsidP="00794AFD">
      <w:pPr>
        <w:rPr>
          <w:rFonts w:asciiTheme="minorHAnsi" w:hAnsiTheme="minorHAnsi"/>
          <w:bCs/>
          <w:sz w:val="20"/>
        </w:rPr>
      </w:pPr>
    </w:p>
    <w:p w14:paraId="6D4AF219" w14:textId="77777777" w:rsidR="00794AFD" w:rsidRPr="001C5950" w:rsidRDefault="00794AFD" w:rsidP="00794AFD">
      <w:pPr>
        <w:rPr>
          <w:rFonts w:asciiTheme="minorHAnsi" w:hAnsiTheme="minorHAnsi" w:cs="Times New Roman"/>
          <w:b/>
          <w:bCs/>
          <w:sz w:val="20"/>
          <w:szCs w:val="20"/>
        </w:rPr>
      </w:pPr>
      <w:r w:rsidRPr="001C5950">
        <w:rPr>
          <w:rFonts w:asciiTheme="minorHAnsi" w:hAnsiTheme="minorHAnsi" w:cs="Times New Roman"/>
          <w:b/>
          <w:sz w:val="20"/>
          <w:szCs w:val="20"/>
        </w:rPr>
        <w:t>2.</w:t>
      </w:r>
      <w:r w:rsidRPr="001C5950">
        <w:rPr>
          <w:rFonts w:asciiTheme="minorHAnsi" w:hAnsiTheme="minorHAnsi" w:cs="Times New Roman"/>
          <w:b/>
          <w:i/>
          <w:sz w:val="20"/>
          <w:szCs w:val="20"/>
        </w:rPr>
        <w:t xml:space="preserve">  </w:t>
      </w:r>
      <w:r w:rsidRPr="001C5950">
        <w:rPr>
          <w:rFonts w:asciiTheme="minorHAnsi" w:hAnsiTheme="minorHAnsi" w:cs="Times New Roman"/>
          <w:b/>
          <w:bCs/>
          <w:sz w:val="20"/>
          <w:szCs w:val="20"/>
        </w:rPr>
        <w:t>Basis of preparation and summary of significant accounting policies (continued)</w:t>
      </w:r>
    </w:p>
    <w:p w14:paraId="6F369BCB" w14:textId="77777777" w:rsidR="00794AFD" w:rsidRDefault="00794AFD" w:rsidP="00794AFD">
      <w:pPr>
        <w:rPr>
          <w:rFonts w:asciiTheme="minorHAnsi" w:hAnsiTheme="minorHAnsi"/>
          <w:b/>
          <w:bCs/>
          <w:sz w:val="20"/>
        </w:rPr>
      </w:pPr>
    </w:p>
    <w:p w14:paraId="1D03BE8C" w14:textId="77777777" w:rsidR="00794AFD" w:rsidRPr="000D26D9" w:rsidRDefault="00794AFD" w:rsidP="00794AFD">
      <w:pPr>
        <w:rPr>
          <w:rFonts w:asciiTheme="minorHAnsi" w:hAnsiTheme="minorHAnsi"/>
          <w:b/>
          <w:bCs/>
          <w:sz w:val="20"/>
        </w:rPr>
      </w:pPr>
      <w:r w:rsidRPr="000D26D9">
        <w:rPr>
          <w:rFonts w:asciiTheme="minorHAnsi" w:hAnsiTheme="minorHAnsi"/>
          <w:b/>
          <w:bCs/>
          <w:sz w:val="20"/>
        </w:rPr>
        <w:t>Impact on financial statements</w:t>
      </w:r>
    </w:p>
    <w:p w14:paraId="33B1C7D1" w14:textId="77777777" w:rsidR="00794AFD" w:rsidRDefault="00794AFD" w:rsidP="00794AFD">
      <w:pPr>
        <w:rPr>
          <w:rFonts w:asciiTheme="minorHAnsi" w:hAnsiTheme="minorHAnsi"/>
          <w:bCs/>
          <w:sz w:val="20"/>
        </w:rPr>
      </w:pPr>
    </w:p>
    <w:p w14:paraId="464B774A" w14:textId="77777777" w:rsidR="00794AFD" w:rsidRPr="000D26D9" w:rsidRDefault="00794AFD" w:rsidP="00794AFD">
      <w:pPr>
        <w:rPr>
          <w:rFonts w:asciiTheme="minorHAnsi" w:hAnsiTheme="minorHAnsi"/>
          <w:b/>
          <w:bCs/>
          <w:i/>
          <w:sz w:val="20"/>
        </w:rPr>
      </w:pPr>
      <w:r w:rsidRPr="000D26D9">
        <w:rPr>
          <w:rFonts w:asciiTheme="minorHAnsi" w:hAnsiTheme="minorHAnsi"/>
          <w:b/>
          <w:bCs/>
          <w:i/>
          <w:sz w:val="20"/>
        </w:rPr>
        <w:t>Impact on transition</w:t>
      </w:r>
    </w:p>
    <w:p w14:paraId="582C2DF8" w14:textId="77777777" w:rsidR="00794AFD" w:rsidRDefault="00794AFD" w:rsidP="00794AFD">
      <w:pPr>
        <w:rPr>
          <w:rFonts w:asciiTheme="minorHAnsi" w:hAnsiTheme="minorHAnsi"/>
          <w:bCs/>
          <w:sz w:val="20"/>
        </w:rPr>
      </w:pPr>
      <w:r>
        <w:rPr>
          <w:rFonts w:asciiTheme="minorHAnsi" w:hAnsiTheme="minorHAnsi"/>
          <w:bCs/>
          <w:sz w:val="20"/>
        </w:rPr>
        <w:t>On transition to IFRS 16, the Group recognised additional right of use assets and additional lease liabilities. The impact on transition is summarised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gridCol w:w="1550"/>
      </w:tblGrid>
      <w:tr w:rsidR="00794AFD" w14:paraId="299F044C" w14:textId="77777777" w:rsidTr="00794AFD">
        <w:tc>
          <w:tcPr>
            <w:tcW w:w="7933" w:type="dxa"/>
          </w:tcPr>
          <w:p w14:paraId="31EC6600" w14:textId="77777777" w:rsidR="00794AFD" w:rsidRDefault="00794AFD" w:rsidP="00794AFD">
            <w:pPr>
              <w:rPr>
                <w:rFonts w:asciiTheme="minorHAnsi" w:hAnsiTheme="minorHAnsi"/>
                <w:sz w:val="20"/>
                <w:lang w:val="en-IE"/>
              </w:rPr>
            </w:pPr>
          </w:p>
        </w:tc>
        <w:tc>
          <w:tcPr>
            <w:tcW w:w="1551" w:type="dxa"/>
          </w:tcPr>
          <w:p w14:paraId="5511DED9" w14:textId="77777777" w:rsidR="00794AFD" w:rsidRPr="006A1183" w:rsidRDefault="00794AFD" w:rsidP="00794AFD">
            <w:pPr>
              <w:jc w:val="right"/>
              <w:rPr>
                <w:rFonts w:asciiTheme="minorHAnsi" w:hAnsiTheme="minorHAnsi"/>
                <w:b/>
                <w:sz w:val="20"/>
                <w:lang w:val="en-IE"/>
              </w:rPr>
            </w:pPr>
            <w:r w:rsidRPr="006A1183">
              <w:rPr>
                <w:rFonts w:asciiTheme="minorHAnsi" w:hAnsiTheme="minorHAnsi"/>
                <w:b/>
                <w:sz w:val="20"/>
                <w:lang w:val="en-IE"/>
              </w:rPr>
              <w:t>1 January 2019</w:t>
            </w:r>
          </w:p>
        </w:tc>
      </w:tr>
      <w:tr w:rsidR="00794AFD" w14:paraId="3B3521F2" w14:textId="77777777" w:rsidTr="00794AFD">
        <w:tc>
          <w:tcPr>
            <w:tcW w:w="7933" w:type="dxa"/>
            <w:tcBorders>
              <w:bottom w:val="single" w:sz="4" w:space="0" w:color="auto"/>
            </w:tcBorders>
          </w:tcPr>
          <w:p w14:paraId="5474ACCD" w14:textId="77777777" w:rsidR="00794AFD" w:rsidRDefault="00794AFD" w:rsidP="00794AFD">
            <w:pPr>
              <w:rPr>
                <w:rFonts w:asciiTheme="minorHAnsi" w:hAnsiTheme="minorHAnsi"/>
                <w:sz w:val="20"/>
                <w:lang w:val="en-IE"/>
              </w:rPr>
            </w:pPr>
          </w:p>
        </w:tc>
        <w:tc>
          <w:tcPr>
            <w:tcW w:w="1551" w:type="dxa"/>
            <w:tcBorders>
              <w:bottom w:val="single" w:sz="4" w:space="0" w:color="auto"/>
            </w:tcBorders>
          </w:tcPr>
          <w:p w14:paraId="1B162278" w14:textId="77777777" w:rsidR="00794AFD" w:rsidRPr="006A1183" w:rsidRDefault="00794AFD" w:rsidP="00794AFD">
            <w:pPr>
              <w:jc w:val="right"/>
              <w:rPr>
                <w:rFonts w:asciiTheme="minorHAnsi" w:hAnsiTheme="minorHAnsi"/>
                <w:b/>
                <w:sz w:val="20"/>
                <w:lang w:val="en-IE"/>
              </w:rPr>
            </w:pPr>
            <w:r w:rsidRPr="006A1183">
              <w:rPr>
                <w:rFonts w:asciiTheme="minorHAnsi" w:hAnsiTheme="minorHAnsi"/>
                <w:b/>
                <w:sz w:val="20"/>
                <w:lang w:val="en-IE"/>
              </w:rPr>
              <w:t>£m</w:t>
            </w:r>
          </w:p>
        </w:tc>
      </w:tr>
      <w:tr w:rsidR="00794AFD" w14:paraId="061A7C47" w14:textId="77777777" w:rsidTr="00794AFD">
        <w:tc>
          <w:tcPr>
            <w:tcW w:w="7933" w:type="dxa"/>
            <w:tcBorders>
              <w:top w:val="single" w:sz="4" w:space="0" w:color="auto"/>
            </w:tcBorders>
          </w:tcPr>
          <w:p w14:paraId="00641E47" w14:textId="77777777" w:rsidR="00794AFD" w:rsidRDefault="00794AFD" w:rsidP="00794AFD">
            <w:pPr>
              <w:rPr>
                <w:rFonts w:asciiTheme="minorHAnsi" w:hAnsiTheme="minorHAnsi"/>
                <w:sz w:val="20"/>
                <w:lang w:val="en-IE"/>
              </w:rPr>
            </w:pPr>
            <w:r>
              <w:rPr>
                <w:rFonts w:asciiTheme="minorHAnsi" w:hAnsiTheme="minorHAnsi"/>
                <w:sz w:val="20"/>
                <w:lang w:val="en-IE"/>
              </w:rPr>
              <w:t xml:space="preserve">Right of use assets </w:t>
            </w:r>
          </w:p>
        </w:tc>
        <w:tc>
          <w:tcPr>
            <w:tcW w:w="1551" w:type="dxa"/>
            <w:tcBorders>
              <w:top w:val="single" w:sz="4" w:space="0" w:color="auto"/>
            </w:tcBorders>
          </w:tcPr>
          <w:p w14:paraId="1BEA49B6" w14:textId="77777777" w:rsidR="00794AFD" w:rsidRDefault="00794AFD" w:rsidP="00794AFD">
            <w:pPr>
              <w:jc w:val="right"/>
              <w:rPr>
                <w:rFonts w:asciiTheme="minorHAnsi" w:hAnsiTheme="minorHAnsi"/>
                <w:sz w:val="20"/>
                <w:lang w:val="en-IE"/>
              </w:rPr>
            </w:pPr>
            <w:r>
              <w:rPr>
                <w:rFonts w:asciiTheme="minorHAnsi" w:hAnsiTheme="minorHAnsi"/>
                <w:sz w:val="20"/>
                <w:lang w:val="en-IE"/>
              </w:rPr>
              <w:t>157.2</w:t>
            </w:r>
          </w:p>
        </w:tc>
      </w:tr>
      <w:tr w:rsidR="00794AFD" w14:paraId="6D72294A" w14:textId="77777777" w:rsidTr="00794AFD">
        <w:tc>
          <w:tcPr>
            <w:tcW w:w="7933" w:type="dxa"/>
          </w:tcPr>
          <w:p w14:paraId="411E5149" w14:textId="77777777" w:rsidR="00794AFD" w:rsidRPr="00045687" w:rsidRDefault="00794AFD" w:rsidP="00794AFD">
            <w:pPr>
              <w:rPr>
                <w:rFonts w:asciiTheme="minorHAnsi" w:hAnsiTheme="minorHAnsi"/>
                <w:sz w:val="20"/>
                <w:lang w:val="en-IE"/>
              </w:rPr>
            </w:pPr>
            <w:r w:rsidRPr="00045687">
              <w:rPr>
                <w:rFonts w:asciiTheme="minorHAnsi" w:hAnsiTheme="minorHAnsi"/>
                <w:sz w:val="20"/>
                <w:lang w:val="en-IE"/>
              </w:rPr>
              <w:t>Provisions</w:t>
            </w:r>
          </w:p>
        </w:tc>
        <w:tc>
          <w:tcPr>
            <w:tcW w:w="1551" w:type="dxa"/>
          </w:tcPr>
          <w:p w14:paraId="43213EC7" w14:textId="77777777" w:rsidR="00794AFD" w:rsidRPr="00045687" w:rsidRDefault="00794AFD" w:rsidP="00794AFD">
            <w:pPr>
              <w:jc w:val="right"/>
              <w:rPr>
                <w:rFonts w:asciiTheme="minorHAnsi" w:hAnsiTheme="minorHAnsi"/>
                <w:sz w:val="20"/>
                <w:lang w:val="en-IE"/>
              </w:rPr>
            </w:pPr>
            <w:r w:rsidRPr="00045687">
              <w:rPr>
                <w:rFonts w:asciiTheme="minorHAnsi" w:hAnsiTheme="minorHAnsi"/>
                <w:sz w:val="20"/>
                <w:lang w:val="en-IE"/>
              </w:rPr>
              <w:t>1.2</w:t>
            </w:r>
          </w:p>
        </w:tc>
      </w:tr>
      <w:tr w:rsidR="00794AFD" w14:paraId="156BCE57" w14:textId="77777777" w:rsidTr="00794AFD">
        <w:tc>
          <w:tcPr>
            <w:tcW w:w="7933" w:type="dxa"/>
          </w:tcPr>
          <w:p w14:paraId="4FA6E349" w14:textId="77777777" w:rsidR="00794AFD" w:rsidRPr="00045687" w:rsidRDefault="00794AFD" w:rsidP="00794AFD">
            <w:pPr>
              <w:rPr>
                <w:rFonts w:asciiTheme="minorHAnsi" w:hAnsiTheme="minorHAnsi"/>
                <w:sz w:val="20"/>
                <w:lang w:val="en-IE"/>
              </w:rPr>
            </w:pPr>
            <w:r w:rsidRPr="00045687">
              <w:rPr>
                <w:rFonts w:asciiTheme="minorHAnsi" w:hAnsiTheme="minorHAnsi"/>
                <w:sz w:val="20"/>
                <w:lang w:val="en-IE"/>
              </w:rPr>
              <w:t>Payables</w:t>
            </w:r>
          </w:p>
        </w:tc>
        <w:tc>
          <w:tcPr>
            <w:tcW w:w="1551" w:type="dxa"/>
          </w:tcPr>
          <w:p w14:paraId="506A3478" w14:textId="77777777" w:rsidR="00794AFD" w:rsidRPr="00045687" w:rsidRDefault="00794AFD" w:rsidP="00794AFD">
            <w:pPr>
              <w:jc w:val="right"/>
              <w:rPr>
                <w:rFonts w:asciiTheme="minorHAnsi" w:hAnsiTheme="minorHAnsi"/>
                <w:sz w:val="20"/>
                <w:lang w:val="en-IE"/>
              </w:rPr>
            </w:pPr>
            <w:r w:rsidRPr="00045687">
              <w:rPr>
                <w:rFonts w:asciiTheme="minorHAnsi" w:hAnsiTheme="minorHAnsi"/>
                <w:sz w:val="20"/>
                <w:lang w:val="en-IE"/>
              </w:rPr>
              <w:t>7.</w:t>
            </w:r>
            <w:r>
              <w:rPr>
                <w:rFonts w:asciiTheme="minorHAnsi" w:hAnsiTheme="minorHAnsi"/>
                <w:sz w:val="20"/>
                <w:lang w:val="en-IE"/>
              </w:rPr>
              <w:t>6</w:t>
            </w:r>
          </w:p>
        </w:tc>
      </w:tr>
      <w:tr w:rsidR="00794AFD" w14:paraId="0CCEFB58" w14:textId="77777777" w:rsidTr="00794AFD">
        <w:tc>
          <w:tcPr>
            <w:tcW w:w="7933" w:type="dxa"/>
          </w:tcPr>
          <w:p w14:paraId="63D7A4EA" w14:textId="77777777" w:rsidR="00794AFD" w:rsidRPr="00045687" w:rsidRDefault="00794AFD" w:rsidP="00794AFD">
            <w:pPr>
              <w:rPr>
                <w:rFonts w:asciiTheme="minorHAnsi" w:hAnsiTheme="minorHAnsi"/>
                <w:sz w:val="20"/>
                <w:lang w:val="en-IE"/>
              </w:rPr>
            </w:pPr>
            <w:r w:rsidRPr="00045687">
              <w:rPr>
                <w:rFonts w:asciiTheme="minorHAnsi" w:hAnsiTheme="minorHAnsi"/>
                <w:sz w:val="20"/>
                <w:lang w:val="en-IE"/>
              </w:rPr>
              <w:t>Lease liabilities</w:t>
            </w:r>
          </w:p>
        </w:tc>
        <w:tc>
          <w:tcPr>
            <w:tcW w:w="1551" w:type="dxa"/>
          </w:tcPr>
          <w:p w14:paraId="62DE7F85" w14:textId="77777777" w:rsidR="00794AFD" w:rsidRPr="00045687" w:rsidRDefault="00794AFD" w:rsidP="00794AFD">
            <w:pPr>
              <w:jc w:val="right"/>
              <w:rPr>
                <w:rFonts w:asciiTheme="minorHAnsi" w:hAnsiTheme="minorHAnsi"/>
                <w:sz w:val="20"/>
                <w:lang w:val="en-IE"/>
              </w:rPr>
            </w:pPr>
            <w:r>
              <w:rPr>
                <w:rFonts w:asciiTheme="minorHAnsi" w:hAnsiTheme="minorHAnsi"/>
                <w:sz w:val="20"/>
                <w:lang w:val="en-IE"/>
              </w:rPr>
              <w:t>(162.3</w:t>
            </w:r>
            <w:r w:rsidRPr="00045687">
              <w:rPr>
                <w:rFonts w:asciiTheme="minorHAnsi" w:hAnsiTheme="minorHAnsi"/>
                <w:sz w:val="20"/>
                <w:lang w:val="en-IE"/>
              </w:rPr>
              <w:t>)</w:t>
            </w:r>
          </w:p>
        </w:tc>
      </w:tr>
      <w:tr w:rsidR="00794AFD" w14:paraId="384ABF41" w14:textId="77777777" w:rsidTr="00794AFD">
        <w:tc>
          <w:tcPr>
            <w:tcW w:w="7933" w:type="dxa"/>
            <w:tcBorders>
              <w:bottom w:val="single" w:sz="4" w:space="0" w:color="auto"/>
            </w:tcBorders>
          </w:tcPr>
          <w:p w14:paraId="7B8D1344" w14:textId="77777777" w:rsidR="00794AFD" w:rsidRPr="00045687" w:rsidRDefault="00794AFD" w:rsidP="00794AFD">
            <w:pPr>
              <w:rPr>
                <w:rFonts w:asciiTheme="minorHAnsi" w:hAnsiTheme="minorHAnsi"/>
                <w:sz w:val="20"/>
                <w:lang w:val="en-IE"/>
              </w:rPr>
            </w:pPr>
            <w:r w:rsidRPr="00045687">
              <w:rPr>
                <w:rFonts w:asciiTheme="minorHAnsi" w:hAnsiTheme="minorHAnsi"/>
                <w:sz w:val="20"/>
                <w:lang w:val="en-IE"/>
              </w:rPr>
              <w:t>Trade and other receivables including prepayments</w:t>
            </w:r>
          </w:p>
        </w:tc>
        <w:tc>
          <w:tcPr>
            <w:tcW w:w="1551" w:type="dxa"/>
            <w:tcBorders>
              <w:bottom w:val="single" w:sz="4" w:space="0" w:color="auto"/>
            </w:tcBorders>
          </w:tcPr>
          <w:p w14:paraId="6E290FA9" w14:textId="77777777" w:rsidR="00794AFD" w:rsidRPr="00045687" w:rsidRDefault="00794AFD" w:rsidP="00794AFD">
            <w:pPr>
              <w:jc w:val="right"/>
              <w:rPr>
                <w:rFonts w:asciiTheme="minorHAnsi" w:hAnsiTheme="minorHAnsi"/>
                <w:sz w:val="20"/>
                <w:lang w:val="en-IE"/>
              </w:rPr>
            </w:pPr>
            <w:r w:rsidRPr="00045687">
              <w:rPr>
                <w:rFonts w:asciiTheme="minorHAnsi" w:hAnsiTheme="minorHAnsi"/>
                <w:sz w:val="20"/>
                <w:lang w:val="en-IE"/>
              </w:rPr>
              <w:t>(</w:t>
            </w:r>
            <w:r>
              <w:rPr>
                <w:rFonts w:asciiTheme="minorHAnsi" w:hAnsiTheme="minorHAnsi"/>
                <w:sz w:val="20"/>
                <w:lang w:val="en-IE"/>
              </w:rPr>
              <w:t>3.7</w:t>
            </w:r>
            <w:r w:rsidRPr="00045687">
              <w:rPr>
                <w:rFonts w:asciiTheme="minorHAnsi" w:hAnsiTheme="minorHAnsi"/>
                <w:sz w:val="20"/>
                <w:lang w:val="en-IE"/>
              </w:rPr>
              <w:t>)</w:t>
            </w:r>
          </w:p>
        </w:tc>
      </w:tr>
    </w:tbl>
    <w:p w14:paraId="2697FA01" w14:textId="77777777" w:rsidR="00794AFD" w:rsidRDefault="00794AFD" w:rsidP="00794AFD">
      <w:pPr>
        <w:rPr>
          <w:rFonts w:asciiTheme="minorHAnsi" w:hAnsiTheme="minorHAnsi" w:cs="Times New Roman"/>
          <w:b/>
          <w:sz w:val="20"/>
          <w:szCs w:val="20"/>
        </w:rPr>
      </w:pPr>
    </w:p>
    <w:p w14:paraId="2F5EC697" w14:textId="77777777" w:rsidR="00794AFD" w:rsidRPr="001C5950" w:rsidRDefault="00794AFD" w:rsidP="00794AFD">
      <w:pPr>
        <w:rPr>
          <w:rFonts w:asciiTheme="minorHAnsi" w:hAnsiTheme="minorHAnsi"/>
          <w:sz w:val="20"/>
          <w:lang w:val="en-IE"/>
        </w:rPr>
      </w:pPr>
    </w:p>
    <w:p w14:paraId="61F55A9B" w14:textId="77777777" w:rsidR="00794AFD" w:rsidRDefault="00794AFD" w:rsidP="00794AFD">
      <w:pPr>
        <w:rPr>
          <w:rFonts w:asciiTheme="minorHAnsi" w:hAnsiTheme="minorHAnsi"/>
          <w:sz w:val="20"/>
          <w:lang w:val="en-IE"/>
        </w:rPr>
      </w:pPr>
      <w:r>
        <w:rPr>
          <w:rFonts w:asciiTheme="minorHAnsi" w:hAnsiTheme="minorHAnsi"/>
          <w:sz w:val="20"/>
          <w:lang w:val="en-IE"/>
        </w:rPr>
        <w:t>As the Group measured the right of use assets at an amount equal to the lease liabilities, no adjustment to retained earnings was required.</w:t>
      </w:r>
    </w:p>
    <w:p w14:paraId="1CA1DEA7" w14:textId="77777777" w:rsidR="00794AFD" w:rsidRDefault="00794AFD" w:rsidP="00794AFD">
      <w:pPr>
        <w:rPr>
          <w:rFonts w:asciiTheme="minorHAnsi" w:hAnsiTheme="minorHAnsi"/>
          <w:sz w:val="20"/>
          <w:lang w:val="en-IE"/>
        </w:rPr>
      </w:pPr>
      <w:r>
        <w:rPr>
          <w:rFonts w:asciiTheme="minorHAnsi" w:hAnsiTheme="minorHAnsi"/>
          <w:sz w:val="20"/>
          <w:lang w:val="en-IE"/>
        </w:rPr>
        <w:t xml:space="preserve"> </w:t>
      </w:r>
    </w:p>
    <w:p w14:paraId="08E76731" w14:textId="77777777" w:rsidR="00794AFD" w:rsidRDefault="00794AFD" w:rsidP="00794AFD">
      <w:pPr>
        <w:rPr>
          <w:rFonts w:asciiTheme="minorHAnsi" w:hAnsiTheme="minorHAnsi"/>
          <w:sz w:val="20"/>
          <w:lang w:val="en-IE"/>
        </w:rPr>
      </w:pPr>
      <w:r>
        <w:rPr>
          <w:rFonts w:asciiTheme="minorHAnsi" w:hAnsiTheme="minorHAnsi"/>
          <w:sz w:val="20"/>
          <w:lang w:val="en-IE"/>
        </w:rPr>
        <w:t>The provisions derecognised referred to previously identified onerous leases that under IAS 17 had required, in previous accounting periods, the recognition of a provision which, under IFRS 16, is incorporated in the overall lease liability.</w:t>
      </w:r>
    </w:p>
    <w:p w14:paraId="306E70F5" w14:textId="77777777" w:rsidR="00794AFD" w:rsidRDefault="00794AFD" w:rsidP="00794AFD">
      <w:pPr>
        <w:rPr>
          <w:rFonts w:asciiTheme="minorHAnsi" w:hAnsiTheme="minorHAnsi"/>
          <w:sz w:val="20"/>
          <w:lang w:val="en-IE"/>
        </w:rPr>
      </w:pPr>
    </w:p>
    <w:p w14:paraId="17F03CA6" w14:textId="77777777" w:rsidR="00794AFD" w:rsidRDefault="00794AFD" w:rsidP="00794AFD">
      <w:pPr>
        <w:rPr>
          <w:rFonts w:asciiTheme="minorHAnsi" w:hAnsiTheme="minorHAnsi"/>
          <w:sz w:val="20"/>
          <w:lang w:val="en-IE"/>
        </w:rPr>
      </w:pPr>
      <w:r>
        <w:rPr>
          <w:rFonts w:asciiTheme="minorHAnsi" w:hAnsiTheme="minorHAnsi"/>
          <w:sz w:val="20"/>
          <w:lang w:val="en-IE"/>
        </w:rPr>
        <w:t xml:space="preserve">When measuring lease liabilities for leases that were classified as operating leases, the Group discounted lease payments using its incremental borrowing rate at 1 January 2019. The weighted average rate </w:t>
      </w:r>
      <w:r w:rsidRPr="00FF6377">
        <w:rPr>
          <w:rFonts w:asciiTheme="minorHAnsi" w:hAnsiTheme="minorHAnsi"/>
          <w:sz w:val="20"/>
          <w:lang w:val="en-IE"/>
        </w:rPr>
        <w:t>applied is 3%</w:t>
      </w:r>
      <w:r>
        <w:rPr>
          <w:rFonts w:asciiTheme="minorHAnsi" w:hAnsiTheme="minorHAnsi"/>
          <w:sz w:val="20"/>
          <w:lang w:val="en-IE"/>
        </w:rPr>
        <w:t>.</w:t>
      </w:r>
    </w:p>
    <w:p w14:paraId="76537761" w14:textId="77777777" w:rsidR="00794AFD" w:rsidRDefault="00794AFD" w:rsidP="00794AFD">
      <w:pPr>
        <w:rPr>
          <w:rFonts w:asciiTheme="minorHAnsi" w:hAnsiTheme="minorHAnsi"/>
          <w:sz w:val="20"/>
          <w:lang w:val="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4"/>
        <w:gridCol w:w="1833"/>
      </w:tblGrid>
      <w:tr w:rsidR="00794AFD" w14:paraId="2963EA53" w14:textId="77777777" w:rsidTr="00794AFD">
        <w:tc>
          <w:tcPr>
            <w:tcW w:w="7650" w:type="dxa"/>
          </w:tcPr>
          <w:p w14:paraId="7B17C496" w14:textId="77777777" w:rsidR="00794AFD" w:rsidRDefault="00794AFD" w:rsidP="00794AFD">
            <w:pPr>
              <w:rPr>
                <w:rFonts w:asciiTheme="minorHAnsi" w:hAnsiTheme="minorHAnsi"/>
                <w:sz w:val="20"/>
                <w:lang w:val="en-IE"/>
              </w:rPr>
            </w:pPr>
          </w:p>
        </w:tc>
        <w:tc>
          <w:tcPr>
            <w:tcW w:w="1834" w:type="dxa"/>
          </w:tcPr>
          <w:p w14:paraId="59DDB48A" w14:textId="77777777" w:rsidR="00794AFD" w:rsidRDefault="00794AFD" w:rsidP="00794AFD">
            <w:pPr>
              <w:jc w:val="right"/>
              <w:rPr>
                <w:rFonts w:asciiTheme="minorHAnsi" w:hAnsiTheme="minorHAnsi"/>
                <w:sz w:val="20"/>
                <w:lang w:val="en-IE"/>
              </w:rPr>
            </w:pPr>
            <w:r w:rsidRPr="006A1183">
              <w:rPr>
                <w:rFonts w:asciiTheme="minorHAnsi" w:hAnsiTheme="minorHAnsi"/>
                <w:b/>
                <w:sz w:val="20"/>
                <w:lang w:val="en-IE"/>
              </w:rPr>
              <w:t>1 January 2019</w:t>
            </w:r>
          </w:p>
        </w:tc>
      </w:tr>
      <w:tr w:rsidR="00794AFD" w14:paraId="17277B15" w14:textId="77777777" w:rsidTr="00794AFD">
        <w:tc>
          <w:tcPr>
            <w:tcW w:w="7650" w:type="dxa"/>
            <w:tcBorders>
              <w:bottom w:val="single" w:sz="4" w:space="0" w:color="auto"/>
            </w:tcBorders>
          </w:tcPr>
          <w:p w14:paraId="792143F9" w14:textId="77777777" w:rsidR="00794AFD" w:rsidRDefault="00794AFD" w:rsidP="00794AFD">
            <w:pPr>
              <w:rPr>
                <w:rFonts w:asciiTheme="minorHAnsi" w:hAnsiTheme="minorHAnsi"/>
                <w:sz w:val="20"/>
                <w:lang w:val="en-IE"/>
              </w:rPr>
            </w:pPr>
          </w:p>
        </w:tc>
        <w:tc>
          <w:tcPr>
            <w:tcW w:w="1834" w:type="dxa"/>
            <w:tcBorders>
              <w:bottom w:val="single" w:sz="4" w:space="0" w:color="auto"/>
            </w:tcBorders>
          </w:tcPr>
          <w:p w14:paraId="0C398EC9" w14:textId="77777777" w:rsidR="00794AFD" w:rsidRDefault="00794AFD" w:rsidP="00794AFD">
            <w:pPr>
              <w:jc w:val="right"/>
              <w:rPr>
                <w:rFonts w:asciiTheme="minorHAnsi" w:hAnsiTheme="minorHAnsi"/>
                <w:sz w:val="20"/>
                <w:lang w:val="en-IE"/>
              </w:rPr>
            </w:pPr>
            <w:r w:rsidRPr="006A1183">
              <w:rPr>
                <w:rFonts w:asciiTheme="minorHAnsi" w:hAnsiTheme="minorHAnsi"/>
                <w:b/>
                <w:sz w:val="20"/>
                <w:lang w:val="en-IE"/>
              </w:rPr>
              <w:t>£m</w:t>
            </w:r>
          </w:p>
        </w:tc>
      </w:tr>
      <w:tr w:rsidR="00794AFD" w14:paraId="05BC5AE5" w14:textId="77777777" w:rsidTr="00794AFD">
        <w:tc>
          <w:tcPr>
            <w:tcW w:w="7650" w:type="dxa"/>
            <w:tcBorders>
              <w:top w:val="single" w:sz="4" w:space="0" w:color="auto"/>
            </w:tcBorders>
          </w:tcPr>
          <w:p w14:paraId="60A981BC" w14:textId="77777777" w:rsidR="00794AFD" w:rsidRDefault="00794AFD" w:rsidP="00794AFD">
            <w:pPr>
              <w:rPr>
                <w:rFonts w:asciiTheme="minorHAnsi" w:hAnsiTheme="minorHAnsi"/>
                <w:sz w:val="20"/>
                <w:lang w:val="en-IE"/>
              </w:rPr>
            </w:pPr>
            <w:r>
              <w:rPr>
                <w:rFonts w:asciiTheme="minorHAnsi" w:hAnsiTheme="minorHAnsi"/>
                <w:sz w:val="20"/>
                <w:lang w:val="en-IE"/>
              </w:rPr>
              <w:t>Operating lease commitments at 31 December 2018 as disclosed in the Group’s consolidated financial statements</w:t>
            </w:r>
          </w:p>
        </w:tc>
        <w:tc>
          <w:tcPr>
            <w:tcW w:w="1834" w:type="dxa"/>
            <w:tcBorders>
              <w:top w:val="single" w:sz="4" w:space="0" w:color="auto"/>
            </w:tcBorders>
          </w:tcPr>
          <w:p w14:paraId="61E2F079" w14:textId="77777777" w:rsidR="00794AFD" w:rsidRDefault="00794AFD" w:rsidP="00794AFD">
            <w:pPr>
              <w:rPr>
                <w:rFonts w:asciiTheme="minorHAnsi" w:hAnsiTheme="minorHAnsi"/>
                <w:sz w:val="20"/>
                <w:lang w:val="en-IE"/>
              </w:rPr>
            </w:pPr>
          </w:p>
          <w:p w14:paraId="5A30305E" w14:textId="77777777" w:rsidR="00794AFD" w:rsidRDefault="00794AFD" w:rsidP="00794AFD">
            <w:pPr>
              <w:jc w:val="right"/>
              <w:rPr>
                <w:rFonts w:asciiTheme="minorHAnsi" w:hAnsiTheme="minorHAnsi"/>
                <w:sz w:val="20"/>
                <w:lang w:val="en-IE"/>
              </w:rPr>
            </w:pPr>
            <w:r>
              <w:rPr>
                <w:rFonts w:asciiTheme="minorHAnsi" w:hAnsiTheme="minorHAnsi"/>
                <w:sz w:val="20"/>
                <w:lang w:val="en-IE"/>
              </w:rPr>
              <w:t>182.1</w:t>
            </w:r>
          </w:p>
        </w:tc>
      </w:tr>
      <w:tr w:rsidR="00794AFD" w14:paraId="371A75C1" w14:textId="77777777" w:rsidTr="00794AFD">
        <w:tc>
          <w:tcPr>
            <w:tcW w:w="7650" w:type="dxa"/>
          </w:tcPr>
          <w:p w14:paraId="25F7C761" w14:textId="77777777" w:rsidR="00794AFD" w:rsidRDefault="00794AFD" w:rsidP="00794AFD">
            <w:pPr>
              <w:rPr>
                <w:rFonts w:asciiTheme="minorHAnsi" w:hAnsiTheme="minorHAnsi"/>
                <w:sz w:val="20"/>
                <w:lang w:val="en-IE"/>
              </w:rPr>
            </w:pPr>
            <w:r>
              <w:rPr>
                <w:rFonts w:asciiTheme="minorHAnsi" w:hAnsiTheme="minorHAnsi"/>
                <w:sz w:val="20"/>
                <w:lang w:val="en-IE"/>
              </w:rPr>
              <w:t>Less payments not to be included within lease liability</w:t>
            </w:r>
          </w:p>
        </w:tc>
        <w:tc>
          <w:tcPr>
            <w:tcW w:w="1834" w:type="dxa"/>
          </w:tcPr>
          <w:p w14:paraId="2DA892F4" w14:textId="77777777" w:rsidR="00794AFD" w:rsidRDefault="00794AFD" w:rsidP="00794AFD">
            <w:pPr>
              <w:jc w:val="right"/>
              <w:rPr>
                <w:rFonts w:asciiTheme="minorHAnsi" w:hAnsiTheme="minorHAnsi"/>
                <w:sz w:val="20"/>
                <w:lang w:val="en-IE"/>
              </w:rPr>
            </w:pPr>
            <w:r>
              <w:rPr>
                <w:rFonts w:asciiTheme="minorHAnsi" w:hAnsiTheme="minorHAnsi"/>
                <w:sz w:val="20"/>
                <w:lang w:val="en-IE"/>
              </w:rPr>
              <w:t>(2.5)</w:t>
            </w:r>
          </w:p>
        </w:tc>
      </w:tr>
      <w:tr w:rsidR="00794AFD" w14:paraId="1223ED74" w14:textId="77777777" w:rsidTr="00794AFD">
        <w:tc>
          <w:tcPr>
            <w:tcW w:w="7650" w:type="dxa"/>
            <w:tcBorders>
              <w:bottom w:val="single" w:sz="4" w:space="0" w:color="auto"/>
            </w:tcBorders>
          </w:tcPr>
          <w:p w14:paraId="0D244229" w14:textId="77777777" w:rsidR="00794AFD" w:rsidRDefault="00794AFD" w:rsidP="00794AFD">
            <w:pPr>
              <w:rPr>
                <w:rFonts w:asciiTheme="minorHAnsi" w:hAnsiTheme="minorHAnsi"/>
                <w:sz w:val="20"/>
                <w:lang w:val="en-IE"/>
              </w:rPr>
            </w:pPr>
            <w:r>
              <w:rPr>
                <w:rFonts w:asciiTheme="minorHAnsi" w:hAnsiTheme="minorHAnsi"/>
                <w:sz w:val="20"/>
                <w:lang w:val="en-IE"/>
              </w:rPr>
              <w:t>Discounted using the incremental borrowing rate at 1 January 2019</w:t>
            </w:r>
          </w:p>
        </w:tc>
        <w:tc>
          <w:tcPr>
            <w:tcW w:w="1834" w:type="dxa"/>
            <w:tcBorders>
              <w:bottom w:val="single" w:sz="4" w:space="0" w:color="auto"/>
            </w:tcBorders>
          </w:tcPr>
          <w:p w14:paraId="430AD897" w14:textId="77777777" w:rsidR="00794AFD" w:rsidRDefault="00794AFD" w:rsidP="00794AFD">
            <w:pPr>
              <w:jc w:val="right"/>
              <w:rPr>
                <w:rFonts w:asciiTheme="minorHAnsi" w:hAnsiTheme="minorHAnsi"/>
                <w:sz w:val="20"/>
                <w:lang w:val="en-IE"/>
              </w:rPr>
            </w:pPr>
            <w:r>
              <w:rPr>
                <w:rFonts w:asciiTheme="minorHAnsi" w:hAnsiTheme="minorHAnsi"/>
                <w:sz w:val="20"/>
                <w:lang w:val="en-IE"/>
              </w:rPr>
              <w:t>(17.3)</w:t>
            </w:r>
          </w:p>
        </w:tc>
      </w:tr>
      <w:tr w:rsidR="00794AFD" w14:paraId="40541AE2" w14:textId="77777777" w:rsidTr="00794AFD">
        <w:tc>
          <w:tcPr>
            <w:tcW w:w="7650" w:type="dxa"/>
            <w:tcBorders>
              <w:top w:val="single" w:sz="4" w:space="0" w:color="auto"/>
              <w:bottom w:val="single" w:sz="4" w:space="0" w:color="auto"/>
            </w:tcBorders>
          </w:tcPr>
          <w:p w14:paraId="07593164" w14:textId="77777777" w:rsidR="00794AFD" w:rsidRDefault="00794AFD" w:rsidP="00794AFD">
            <w:pPr>
              <w:rPr>
                <w:rFonts w:asciiTheme="minorHAnsi" w:hAnsiTheme="minorHAnsi"/>
                <w:sz w:val="20"/>
                <w:lang w:val="en-IE"/>
              </w:rPr>
            </w:pPr>
            <w:r>
              <w:rPr>
                <w:rFonts w:asciiTheme="minorHAnsi" w:hAnsiTheme="minorHAnsi"/>
                <w:sz w:val="20"/>
                <w:lang w:val="en-IE"/>
              </w:rPr>
              <w:t>Lease liabilities recognised at 1 January 2019</w:t>
            </w:r>
          </w:p>
        </w:tc>
        <w:tc>
          <w:tcPr>
            <w:tcW w:w="1834" w:type="dxa"/>
            <w:tcBorders>
              <w:top w:val="single" w:sz="4" w:space="0" w:color="auto"/>
              <w:bottom w:val="single" w:sz="4" w:space="0" w:color="auto"/>
            </w:tcBorders>
          </w:tcPr>
          <w:p w14:paraId="03C8904A" w14:textId="77777777" w:rsidR="00794AFD" w:rsidRDefault="00794AFD" w:rsidP="00794AFD">
            <w:pPr>
              <w:jc w:val="right"/>
              <w:rPr>
                <w:rFonts w:asciiTheme="minorHAnsi" w:hAnsiTheme="minorHAnsi"/>
                <w:sz w:val="20"/>
                <w:lang w:val="en-IE"/>
              </w:rPr>
            </w:pPr>
            <w:r>
              <w:rPr>
                <w:rFonts w:asciiTheme="minorHAnsi" w:hAnsiTheme="minorHAnsi"/>
                <w:sz w:val="20"/>
                <w:lang w:val="en-IE"/>
              </w:rPr>
              <w:t>162.3</w:t>
            </w:r>
          </w:p>
        </w:tc>
      </w:tr>
    </w:tbl>
    <w:p w14:paraId="75982C2F" w14:textId="77777777" w:rsidR="00794AFD" w:rsidRDefault="00794AFD" w:rsidP="00794AFD">
      <w:pPr>
        <w:rPr>
          <w:rFonts w:asciiTheme="minorHAnsi" w:hAnsiTheme="minorHAnsi"/>
          <w:sz w:val="20"/>
          <w:lang w:val="en-IE"/>
        </w:rPr>
      </w:pPr>
    </w:p>
    <w:p w14:paraId="69E41057" w14:textId="77777777" w:rsidR="00794AFD" w:rsidRDefault="00794AFD" w:rsidP="00794AFD">
      <w:pPr>
        <w:rPr>
          <w:rFonts w:asciiTheme="minorHAnsi" w:hAnsiTheme="minorHAnsi"/>
          <w:b/>
          <w:i/>
          <w:sz w:val="20"/>
          <w:lang w:val="en-IE"/>
        </w:rPr>
      </w:pPr>
      <w:r w:rsidRPr="006A1183">
        <w:rPr>
          <w:rFonts w:asciiTheme="minorHAnsi" w:hAnsiTheme="minorHAnsi"/>
          <w:b/>
          <w:i/>
          <w:sz w:val="20"/>
          <w:lang w:val="en-IE"/>
        </w:rPr>
        <w:t>Impacts for the period</w:t>
      </w:r>
    </w:p>
    <w:p w14:paraId="6D53D0D0" w14:textId="77777777" w:rsidR="00794AFD" w:rsidRPr="00A14B5C" w:rsidRDefault="00794AFD" w:rsidP="00794AFD">
      <w:pPr>
        <w:rPr>
          <w:rFonts w:asciiTheme="minorHAnsi" w:hAnsiTheme="minorHAnsi"/>
          <w:sz w:val="20"/>
          <w:lang w:val="en-IE"/>
        </w:rPr>
      </w:pPr>
      <w:r w:rsidRPr="00A14B5C">
        <w:rPr>
          <w:rFonts w:asciiTheme="minorHAnsi" w:hAnsiTheme="minorHAnsi"/>
          <w:sz w:val="20"/>
          <w:lang w:val="en-IE"/>
        </w:rPr>
        <w:t xml:space="preserve">As a result of initially applying IFRS 16 in relation to the leases that were previously classified as operating leases, </w:t>
      </w:r>
      <w:r w:rsidRPr="00070ED0">
        <w:rPr>
          <w:rFonts w:asciiTheme="minorHAnsi" w:hAnsiTheme="minorHAnsi"/>
          <w:sz w:val="20"/>
          <w:lang w:val="en-IE"/>
        </w:rPr>
        <w:t>the Group recognised £16</w:t>
      </w:r>
      <w:r>
        <w:rPr>
          <w:rFonts w:asciiTheme="minorHAnsi" w:hAnsiTheme="minorHAnsi"/>
          <w:sz w:val="20"/>
          <w:lang w:val="en-IE"/>
        </w:rPr>
        <w:t>6</w:t>
      </w:r>
      <w:r w:rsidRPr="00070ED0">
        <w:rPr>
          <w:rFonts w:asciiTheme="minorHAnsi" w:hAnsiTheme="minorHAnsi"/>
          <w:sz w:val="20"/>
          <w:lang w:val="en-IE"/>
        </w:rPr>
        <w:t>.</w:t>
      </w:r>
      <w:r>
        <w:rPr>
          <w:rFonts w:asciiTheme="minorHAnsi" w:hAnsiTheme="minorHAnsi"/>
          <w:sz w:val="20"/>
          <w:lang w:val="en-IE"/>
        </w:rPr>
        <w:t>0</w:t>
      </w:r>
      <w:r w:rsidRPr="00070ED0">
        <w:rPr>
          <w:rFonts w:asciiTheme="minorHAnsi" w:hAnsiTheme="minorHAnsi"/>
          <w:sz w:val="20"/>
          <w:lang w:val="en-IE"/>
        </w:rPr>
        <w:t>m of right of use assets and £170.5m of lease liabilities as at 31 December 2019.</w:t>
      </w:r>
      <w:r>
        <w:rPr>
          <w:rFonts w:asciiTheme="minorHAnsi" w:hAnsiTheme="minorHAnsi"/>
          <w:sz w:val="20"/>
          <w:lang w:val="en-IE"/>
        </w:rPr>
        <w:t xml:space="preserve"> See Note 14 and 15 (d) for further details.</w:t>
      </w:r>
    </w:p>
    <w:p w14:paraId="437EBB64" w14:textId="77777777" w:rsidR="00794AFD" w:rsidRPr="00A14B5C" w:rsidRDefault="00794AFD" w:rsidP="00794AFD">
      <w:pPr>
        <w:rPr>
          <w:rFonts w:asciiTheme="minorHAnsi" w:hAnsiTheme="minorHAnsi"/>
          <w:sz w:val="20"/>
          <w:lang w:val="en-IE"/>
        </w:rPr>
      </w:pPr>
    </w:p>
    <w:p w14:paraId="6FE7C0AB" w14:textId="77777777" w:rsidR="00794AFD" w:rsidRPr="006A1183" w:rsidRDefault="00794AFD" w:rsidP="00794AFD">
      <w:pPr>
        <w:rPr>
          <w:rFonts w:asciiTheme="minorHAnsi" w:hAnsiTheme="minorHAnsi"/>
          <w:sz w:val="20"/>
          <w:lang w:val="en-IE"/>
        </w:rPr>
      </w:pPr>
      <w:r w:rsidRPr="00A14B5C">
        <w:rPr>
          <w:rFonts w:asciiTheme="minorHAnsi" w:hAnsiTheme="minorHAnsi"/>
          <w:sz w:val="20"/>
          <w:lang w:val="en-IE"/>
        </w:rPr>
        <w:t>Also in relation to those leases under IFRS 16, the Group has recognised depreciation and interest costs instead of operating lease expense. During the year ended 31 December 2019, the Group recognised £</w:t>
      </w:r>
      <w:r w:rsidRPr="00070ED0">
        <w:rPr>
          <w:rFonts w:asciiTheme="minorHAnsi" w:hAnsiTheme="minorHAnsi"/>
          <w:sz w:val="20"/>
          <w:lang w:val="en-IE"/>
        </w:rPr>
        <w:t>36.7m of depreciation charges</w:t>
      </w:r>
      <w:r>
        <w:rPr>
          <w:rFonts w:asciiTheme="minorHAnsi" w:hAnsiTheme="minorHAnsi"/>
          <w:sz w:val="20"/>
          <w:lang w:val="en-IE"/>
        </w:rPr>
        <w:t xml:space="preserve"> </w:t>
      </w:r>
      <w:r w:rsidRPr="00070ED0">
        <w:rPr>
          <w:rFonts w:asciiTheme="minorHAnsi" w:hAnsiTheme="minorHAnsi"/>
          <w:sz w:val="20"/>
          <w:lang w:val="en-IE"/>
        </w:rPr>
        <w:t>and £5.0m of interest costs from these leases</w:t>
      </w:r>
      <w:r>
        <w:rPr>
          <w:rFonts w:asciiTheme="minorHAnsi" w:hAnsiTheme="minorHAnsi"/>
          <w:sz w:val="20"/>
          <w:lang w:val="en-IE"/>
        </w:rPr>
        <w:t>.</w:t>
      </w:r>
    </w:p>
    <w:bookmarkEnd w:id="27"/>
    <w:p w14:paraId="28D75C0E" w14:textId="77777777" w:rsidR="00794AFD" w:rsidRPr="006A1183" w:rsidRDefault="00794AFD" w:rsidP="00794AFD">
      <w:pPr>
        <w:rPr>
          <w:rFonts w:asciiTheme="minorHAnsi" w:hAnsiTheme="minorHAnsi"/>
          <w:b/>
          <w:i/>
          <w:sz w:val="20"/>
          <w:lang w:val="en-IE"/>
        </w:rPr>
      </w:pPr>
    </w:p>
    <w:p w14:paraId="68F34958" w14:textId="77777777" w:rsidR="00794AFD" w:rsidRPr="001C5950" w:rsidRDefault="00794AFD" w:rsidP="00794AFD">
      <w:pPr>
        <w:rPr>
          <w:rFonts w:asciiTheme="minorHAnsi" w:hAnsiTheme="minorHAnsi" w:cs="Times New Roman"/>
          <w:b/>
          <w:color w:val="000000"/>
          <w:sz w:val="20"/>
          <w:szCs w:val="20"/>
          <w:lang w:val="en-IE" w:eastAsia="en-IE"/>
        </w:rPr>
      </w:pPr>
      <w:r w:rsidRPr="001C5950">
        <w:rPr>
          <w:rFonts w:asciiTheme="minorHAnsi" w:hAnsiTheme="minorHAnsi" w:cs="Times New Roman"/>
          <w:b/>
          <w:color w:val="000000"/>
          <w:sz w:val="20"/>
          <w:szCs w:val="20"/>
          <w:lang w:val="en-IE" w:eastAsia="en-IE"/>
        </w:rPr>
        <w:t xml:space="preserve">Adopted IFRS not yet applied </w:t>
      </w:r>
    </w:p>
    <w:p w14:paraId="5851A104" w14:textId="77777777" w:rsidR="00794AFD" w:rsidRPr="001C5950" w:rsidRDefault="00794AFD" w:rsidP="00794AFD">
      <w:pPr>
        <w:spacing w:after="120"/>
        <w:rPr>
          <w:rFonts w:asciiTheme="minorHAnsi" w:hAnsiTheme="minorHAnsi" w:cs="Times New Roman"/>
          <w:sz w:val="20"/>
          <w:szCs w:val="20"/>
        </w:rPr>
      </w:pPr>
      <w:r w:rsidRPr="001C5950">
        <w:rPr>
          <w:rFonts w:asciiTheme="minorHAnsi" w:hAnsiTheme="minorHAnsi" w:cs="Times New Roman"/>
          <w:sz w:val="20"/>
          <w:szCs w:val="20"/>
        </w:rPr>
        <w:t xml:space="preserve">The following IFRSs have been issued but have not been applied in these financial statements.  Their adoption is not expected to have a material effect on the financial statements: </w:t>
      </w:r>
    </w:p>
    <w:p w14:paraId="4E9AED72" w14:textId="77777777" w:rsidR="00794AFD" w:rsidRDefault="00794AFD" w:rsidP="00794AFD">
      <w:pPr>
        <w:numPr>
          <w:ilvl w:val="0"/>
          <w:numId w:val="4"/>
        </w:numPr>
        <w:rPr>
          <w:rFonts w:asciiTheme="minorHAnsi" w:hAnsiTheme="minorHAnsi" w:cs="Times New Roman"/>
          <w:color w:val="000000"/>
          <w:sz w:val="20"/>
          <w:szCs w:val="20"/>
          <w:lang w:val="en-IE" w:eastAsia="en-IE"/>
        </w:rPr>
      </w:pPr>
      <w:r w:rsidRPr="001C5950">
        <w:rPr>
          <w:rFonts w:asciiTheme="minorHAnsi" w:hAnsiTheme="minorHAnsi" w:cs="Times New Roman"/>
          <w:color w:val="000000"/>
          <w:sz w:val="20"/>
          <w:szCs w:val="20"/>
          <w:lang w:val="en-IE" w:eastAsia="en-IE"/>
        </w:rPr>
        <w:t>Amendments to references to the Conceptual Framework in IFRS Standards</w:t>
      </w:r>
      <w:r w:rsidRPr="001C5950">
        <w:t xml:space="preserve"> </w:t>
      </w:r>
      <w:r w:rsidRPr="001C5950">
        <w:rPr>
          <w:rFonts w:asciiTheme="minorHAnsi" w:hAnsiTheme="minorHAnsi" w:cs="Times New Roman"/>
          <w:color w:val="000000"/>
          <w:sz w:val="20"/>
          <w:szCs w:val="20"/>
          <w:lang w:val="en-IE" w:eastAsia="en-IE"/>
        </w:rPr>
        <w:t>(effective date 1 January 2020)</w:t>
      </w:r>
    </w:p>
    <w:p w14:paraId="289403D6" w14:textId="77777777" w:rsidR="00794AFD" w:rsidRDefault="00794AFD" w:rsidP="00794AFD">
      <w:pPr>
        <w:numPr>
          <w:ilvl w:val="0"/>
          <w:numId w:val="4"/>
        </w:numPr>
        <w:rPr>
          <w:rFonts w:asciiTheme="minorHAnsi" w:hAnsiTheme="minorHAnsi" w:cs="Times New Roman"/>
          <w:color w:val="000000"/>
          <w:sz w:val="20"/>
          <w:szCs w:val="20"/>
          <w:lang w:val="en-IE" w:eastAsia="en-IE"/>
        </w:rPr>
      </w:pPr>
      <w:r>
        <w:rPr>
          <w:rFonts w:asciiTheme="minorHAnsi" w:hAnsiTheme="minorHAnsi" w:cs="Times New Roman"/>
          <w:color w:val="000000"/>
          <w:sz w:val="20"/>
          <w:szCs w:val="20"/>
          <w:lang w:val="en-IE" w:eastAsia="en-IE"/>
        </w:rPr>
        <w:t>Definition of a business (Amendments to IFRS 3) (effective date 1 January 2020)</w:t>
      </w:r>
    </w:p>
    <w:p w14:paraId="5163DEEA" w14:textId="77777777" w:rsidR="00794AFD" w:rsidRPr="001C5950" w:rsidRDefault="00794AFD" w:rsidP="00794AFD">
      <w:pPr>
        <w:numPr>
          <w:ilvl w:val="0"/>
          <w:numId w:val="4"/>
        </w:numPr>
        <w:rPr>
          <w:rFonts w:asciiTheme="minorHAnsi" w:hAnsiTheme="minorHAnsi" w:cs="Times New Roman"/>
          <w:color w:val="000000"/>
          <w:sz w:val="20"/>
          <w:szCs w:val="20"/>
          <w:lang w:val="en-IE" w:eastAsia="en-IE"/>
        </w:rPr>
      </w:pPr>
      <w:r>
        <w:rPr>
          <w:rFonts w:asciiTheme="minorHAnsi" w:hAnsiTheme="minorHAnsi" w:cs="Times New Roman"/>
          <w:color w:val="000000"/>
          <w:sz w:val="20"/>
          <w:szCs w:val="20"/>
          <w:lang w:val="en-IE" w:eastAsia="en-IE"/>
        </w:rPr>
        <w:t>Definition of material (Amendments to IAS 1 and IAS 8) (effective date 1 January 2020)</w:t>
      </w:r>
    </w:p>
    <w:p w14:paraId="7F6B9D5B" w14:textId="77777777" w:rsidR="00794AFD" w:rsidRPr="001C5950" w:rsidRDefault="00794AFD" w:rsidP="00794AFD">
      <w:pPr>
        <w:numPr>
          <w:ilvl w:val="0"/>
          <w:numId w:val="4"/>
        </w:numPr>
        <w:rPr>
          <w:rFonts w:asciiTheme="minorHAnsi" w:hAnsiTheme="minorHAnsi" w:cs="Times New Roman"/>
          <w:color w:val="000000"/>
          <w:sz w:val="20"/>
          <w:szCs w:val="20"/>
          <w:lang w:val="en-IE" w:eastAsia="en-IE"/>
        </w:rPr>
      </w:pPr>
      <w:r w:rsidRPr="001C5950">
        <w:rPr>
          <w:rFonts w:asciiTheme="minorHAnsi" w:hAnsiTheme="minorHAnsi" w:cs="Times New Roman"/>
          <w:color w:val="000000"/>
          <w:sz w:val="20"/>
          <w:szCs w:val="20"/>
          <w:lang w:val="en-IE" w:eastAsia="en-IE"/>
        </w:rPr>
        <w:t xml:space="preserve">IFRS 17 </w:t>
      </w:r>
      <w:r w:rsidRPr="001C5950">
        <w:rPr>
          <w:rFonts w:asciiTheme="minorHAnsi" w:hAnsiTheme="minorHAnsi" w:cs="Times New Roman"/>
          <w:i/>
          <w:color w:val="000000"/>
          <w:sz w:val="20"/>
          <w:szCs w:val="20"/>
          <w:lang w:val="en-IE" w:eastAsia="en-IE"/>
        </w:rPr>
        <w:t xml:space="preserve">Insurance Contracts </w:t>
      </w:r>
      <w:r w:rsidRPr="001C5950">
        <w:rPr>
          <w:rFonts w:asciiTheme="minorHAnsi" w:hAnsiTheme="minorHAnsi" w:cs="Times New Roman"/>
          <w:color w:val="000000"/>
          <w:sz w:val="20"/>
          <w:szCs w:val="20"/>
          <w:lang w:val="en-IE" w:eastAsia="en-IE"/>
        </w:rPr>
        <w:t>(effective date 1 January 2021)</w:t>
      </w:r>
    </w:p>
    <w:p w14:paraId="5E80B0E8" w14:textId="77777777" w:rsidR="00794AFD" w:rsidRPr="001C5950" w:rsidRDefault="00794AFD" w:rsidP="00794AFD">
      <w:pPr>
        <w:numPr>
          <w:ilvl w:val="0"/>
          <w:numId w:val="4"/>
        </w:numPr>
        <w:rPr>
          <w:rFonts w:asciiTheme="minorHAnsi" w:hAnsiTheme="minorHAnsi" w:cs="Times New Roman"/>
          <w:color w:val="000000"/>
          <w:sz w:val="20"/>
          <w:szCs w:val="20"/>
          <w:lang w:val="en-IE" w:eastAsia="en-IE"/>
        </w:rPr>
      </w:pPr>
      <w:r w:rsidRPr="001C5950">
        <w:rPr>
          <w:rFonts w:asciiTheme="minorHAnsi" w:hAnsiTheme="minorHAnsi" w:cs="Times New Roman"/>
          <w:color w:val="000000"/>
          <w:sz w:val="20"/>
          <w:szCs w:val="20"/>
          <w:lang w:val="en-IE" w:eastAsia="en-IE"/>
        </w:rPr>
        <w:t>Amendments to IFRS 10 and IAS 28: Sale or Contribution of Assets between an Investor and its Associate or Joint Venture (effective date to be confirmed)</w:t>
      </w:r>
    </w:p>
    <w:p w14:paraId="0A0F9012" w14:textId="77777777" w:rsidR="00794AFD" w:rsidRPr="00FC3D06" w:rsidRDefault="00794AFD" w:rsidP="00794AFD">
      <w:pPr>
        <w:rPr>
          <w:rFonts w:asciiTheme="minorHAnsi" w:hAnsiTheme="minorHAnsi" w:cs="Times New Roman"/>
          <w:sz w:val="20"/>
          <w:szCs w:val="20"/>
          <w:lang w:val="en-IE"/>
        </w:rPr>
      </w:pPr>
    </w:p>
    <w:p w14:paraId="1216C993" w14:textId="77777777" w:rsidR="00794AFD" w:rsidRPr="00FC3D06" w:rsidRDefault="00794AFD" w:rsidP="00794AFD">
      <w:pPr>
        <w:pStyle w:val="BodyText"/>
        <w:jc w:val="left"/>
        <w:rPr>
          <w:rFonts w:asciiTheme="minorHAnsi" w:hAnsiTheme="minorHAnsi" w:cs="Times New Roman"/>
          <w:b/>
          <w:sz w:val="20"/>
          <w:szCs w:val="20"/>
        </w:rPr>
      </w:pPr>
    </w:p>
    <w:p w14:paraId="0F3FC760" w14:textId="77777777" w:rsidR="00794AFD" w:rsidRDefault="00794AFD" w:rsidP="00794AFD">
      <w:pPr>
        <w:widowControl/>
        <w:autoSpaceDE/>
        <w:autoSpaceDN/>
        <w:adjustRightInd/>
        <w:rPr>
          <w:rFonts w:asciiTheme="minorHAnsi" w:hAnsiTheme="minorHAnsi" w:cs="Times New Roman"/>
          <w:b/>
          <w:sz w:val="20"/>
          <w:szCs w:val="20"/>
        </w:rPr>
      </w:pPr>
      <w:r>
        <w:rPr>
          <w:rFonts w:asciiTheme="minorHAnsi" w:hAnsiTheme="minorHAnsi" w:cs="Times New Roman"/>
          <w:b/>
          <w:sz w:val="20"/>
          <w:szCs w:val="20"/>
        </w:rPr>
        <w:br w:type="page"/>
      </w:r>
    </w:p>
    <w:p w14:paraId="1CD05F7B" w14:textId="77777777" w:rsidR="00794AFD" w:rsidRPr="001C5950" w:rsidRDefault="00794AFD" w:rsidP="00794AFD">
      <w:pPr>
        <w:rPr>
          <w:rFonts w:asciiTheme="minorHAnsi" w:hAnsiTheme="minorHAnsi" w:cs="Times New Roman"/>
          <w:b/>
          <w:bCs/>
          <w:sz w:val="20"/>
          <w:szCs w:val="20"/>
        </w:rPr>
      </w:pPr>
      <w:r w:rsidRPr="001C5950">
        <w:rPr>
          <w:rFonts w:asciiTheme="minorHAnsi" w:hAnsiTheme="minorHAnsi" w:cs="Times New Roman"/>
          <w:b/>
          <w:sz w:val="20"/>
          <w:szCs w:val="20"/>
        </w:rPr>
        <w:lastRenderedPageBreak/>
        <w:t>2.</w:t>
      </w:r>
      <w:r w:rsidRPr="001C5950">
        <w:rPr>
          <w:rFonts w:asciiTheme="minorHAnsi" w:hAnsiTheme="minorHAnsi" w:cs="Times New Roman"/>
          <w:b/>
          <w:i/>
          <w:sz w:val="20"/>
          <w:szCs w:val="20"/>
        </w:rPr>
        <w:t xml:space="preserve">  </w:t>
      </w:r>
      <w:r w:rsidRPr="001C5950">
        <w:rPr>
          <w:rFonts w:asciiTheme="minorHAnsi" w:hAnsiTheme="minorHAnsi" w:cs="Times New Roman"/>
          <w:b/>
          <w:bCs/>
          <w:sz w:val="20"/>
          <w:szCs w:val="20"/>
        </w:rPr>
        <w:t>Basis of preparation and summary of significant accounting policies (continued)</w:t>
      </w:r>
    </w:p>
    <w:p w14:paraId="00EBAE9B" w14:textId="77777777" w:rsidR="00794AFD" w:rsidRDefault="00794AFD" w:rsidP="00794AFD">
      <w:pPr>
        <w:rPr>
          <w:rFonts w:asciiTheme="minorHAnsi" w:hAnsiTheme="minorHAnsi" w:cs="Times New Roman"/>
          <w:b/>
          <w:sz w:val="20"/>
          <w:szCs w:val="20"/>
        </w:rPr>
      </w:pPr>
    </w:p>
    <w:p w14:paraId="6C961745"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cs="Times New Roman"/>
          <w:b/>
          <w:sz w:val="20"/>
          <w:szCs w:val="20"/>
        </w:rPr>
        <w:t>Basis of consolidation</w:t>
      </w:r>
    </w:p>
    <w:p w14:paraId="55079D4A" w14:textId="77777777" w:rsidR="00794AFD" w:rsidRPr="001C5950" w:rsidRDefault="00794AFD" w:rsidP="00794AFD">
      <w:pPr>
        <w:rPr>
          <w:rFonts w:asciiTheme="minorHAnsi" w:hAnsiTheme="minorHAnsi" w:cs="Times New Roman"/>
          <w:b/>
          <w:sz w:val="20"/>
          <w:szCs w:val="20"/>
        </w:rPr>
      </w:pPr>
      <w:r w:rsidRPr="001C5950">
        <w:rPr>
          <w:rFonts w:asciiTheme="minorHAnsi" w:hAnsiTheme="minorHAnsi" w:cs="Times New Roman"/>
          <w:sz w:val="20"/>
          <w:szCs w:val="20"/>
        </w:rPr>
        <w:t>The Group’s financial statements consolidate the financial statements of the Company and its subsidiary undertakings based on accounts made up to the end of the financial year. A subsidiary is an entity controlled by the Company.  The Group controls an entity when it is exposed to, or has rights to, variable returns from its involvement with the entity and has the ability to affect those returns through its power over the entity. Intra-group balances and any unrealised gains and losses or income and expenses arising from intra-group transactions are eliminated on consolidation except to the extent that unrealised losses provide evidence of impairment.</w:t>
      </w:r>
    </w:p>
    <w:p w14:paraId="202A0291" w14:textId="77777777" w:rsidR="00794AFD" w:rsidRPr="001C5950" w:rsidRDefault="00794AFD" w:rsidP="00794AFD">
      <w:pPr>
        <w:rPr>
          <w:rFonts w:asciiTheme="minorHAnsi" w:hAnsiTheme="minorHAnsi" w:cs="Times New Roman"/>
          <w:b/>
          <w:sz w:val="20"/>
          <w:szCs w:val="20"/>
        </w:rPr>
      </w:pPr>
    </w:p>
    <w:p w14:paraId="06B1309F" w14:textId="77777777" w:rsidR="00794AFD" w:rsidRPr="001C5950" w:rsidRDefault="00794AFD" w:rsidP="00794AFD">
      <w:pPr>
        <w:rPr>
          <w:rFonts w:asciiTheme="minorHAnsi" w:hAnsiTheme="minorHAnsi" w:cs="Times New Roman"/>
          <w:b/>
          <w:sz w:val="20"/>
          <w:szCs w:val="20"/>
        </w:rPr>
      </w:pPr>
      <w:r w:rsidRPr="001C5950">
        <w:rPr>
          <w:rFonts w:asciiTheme="minorHAnsi" w:hAnsiTheme="minorHAnsi" w:cs="Times New Roman"/>
          <w:b/>
          <w:sz w:val="20"/>
          <w:szCs w:val="20"/>
        </w:rPr>
        <w:t xml:space="preserve">Critical accounting estimates and judgements </w:t>
      </w:r>
    </w:p>
    <w:p w14:paraId="56A3033A" w14:textId="77777777" w:rsidR="00794AFD" w:rsidRPr="001C5950" w:rsidRDefault="00794AFD" w:rsidP="00794AFD">
      <w:pPr>
        <w:rPr>
          <w:rFonts w:asciiTheme="minorHAnsi" w:hAnsiTheme="minorHAnsi"/>
          <w:bCs/>
          <w:sz w:val="20"/>
          <w:szCs w:val="20"/>
        </w:rPr>
      </w:pPr>
      <w:r w:rsidRPr="001C5950">
        <w:rPr>
          <w:rFonts w:asciiTheme="minorHAnsi" w:hAnsiTheme="minorHAnsi"/>
          <w:bCs/>
          <w:sz w:val="20"/>
          <w:szCs w:val="20"/>
        </w:rPr>
        <w:t>The preparation of financial statements in conformity with IFRSs requires management to make judgements, estimates and assumptions that affect the application of accounting policies and the reported amounts of assets, liabilities, income and expenses.  Actual results may differ from these estimates.</w:t>
      </w:r>
    </w:p>
    <w:p w14:paraId="46BF9C24" w14:textId="77777777" w:rsidR="00794AFD" w:rsidRPr="001C5950" w:rsidRDefault="00794AFD" w:rsidP="00794AFD">
      <w:pPr>
        <w:rPr>
          <w:rFonts w:asciiTheme="minorHAnsi" w:hAnsiTheme="minorHAnsi"/>
          <w:bCs/>
          <w:sz w:val="20"/>
          <w:szCs w:val="20"/>
        </w:rPr>
      </w:pPr>
    </w:p>
    <w:p w14:paraId="3FD5E346" w14:textId="77777777" w:rsidR="00794AFD" w:rsidRDefault="00794AFD" w:rsidP="00794AFD">
      <w:pPr>
        <w:rPr>
          <w:rFonts w:asciiTheme="minorHAnsi" w:hAnsiTheme="minorHAnsi"/>
          <w:bCs/>
          <w:sz w:val="20"/>
          <w:szCs w:val="20"/>
        </w:rPr>
      </w:pPr>
      <w:r w:rsidRPr="001C5950">
        <w:rPr>
          <w:rFonts w:asciiTheme="minorHAnsi" w:hAnsiTheme="minorHAnsi"/>
          <w:bCs/>
          <w:sz w:val="20"/>
          <w:szCs w:val="20"/>
        </w:rPr>
        <w:t>Estimates and underlying assumptions are reviewed on an on-going basis.  Revisions to accounting estimates are recognised in the period in which the estimates are revised and in any future periods affected.</w:t>
      </w:r>
    </w:p>
    <w:p w14:paraId="0B7CD83D" w14:textId="77777777" w:rsidR="00794AFD" w:rsidRPr="001C5950" w:rsidRDefault="00794AFD" w:rsidP="00794AFD">
      <w:pPr>
        <w:rPr>
          <w:rFonts w:asciiTheme="minorHAnsi" w:hAnsiTheme="minorHAnsi"/>
          <w:bCs/>
          <w:sz w:val="20"/>
          <w:szCs w:val="20"/>
        </w:rPr>
      </w:pPr>
    </w:p>
    <w:p w14:paraId="4F804D8A" w14:textId="77777777" w:rsidR="00794AFD" w:rsidRPr="001C5950" w:rsidRDefault="00794AFD" w:rsidP="00794AFD">
      <w:pPr>
        <w:rPr>
          <w:rFonts w:asciiTheme="minorHAnsi" w:hAnsiTheme="minorHAnsi" w:cs="Times New Roman"/>
          <w:b/>
          <w:sz w:val="20"/>
          <w:szCs w:val="20"/>
        </w:rPr>
      </w:pPr>
      <w:bookmarkStart w:id="29" w:name="OLE_LINK59"/>
      <w:bookmarkStart w:id="30" w:name="OLE_LINK60"/>
      <w:bookmarkEnd w:id="24"/>
      <w:bookmarkEnd w:id="25"/>
      <w:r w:rsidRPr="001C5950">
        <w:rPr>
          <w:rFonts w:asciiTheme="minorHAnsi" w:hAnsiTheme="minorHAnsi" w:cs="Times New Roman"/>
          <w:b/>
          <w:sz w:val="20"/>
          <w:szCs w:val="20"/>
        </w:rPr>
        <w:t>3. Operating segments</w:t>
      </w:r>
    </w:p>
    <w:p w14:paraId="082B7583" w14:textId="77777777" w:rsidR="00794AFD" w:rsidRPr="00FC3D06" w:rsidRDefault="00794AFD" w:rsidP="00794AFD">
      <w:pPr>
        <w:rPr>
          <w:rFonts w:asciiTheme="minorHAnsi" w:hAnsiTheme="minorHAnsi" w:cs="Times New Roman"/>
          <w:sz w:val="20"/>
          <w:szCs w:val="20"/>
        </w:rPr>
      </w:pPr>
    </w:p>
    <w:bookmarkEnd w:id="29"/>
    <w:bookmarkEnd w:id="30"/>
    <w:p w14:paraId="0647D5EB" w14:textId="77777777" w:rsidR="00794AFD" w:rsidRPr="001C5950" w:rsidRDefault="00794AFD" w:rsidP="00794AFD">
      <w:pPr>
        <w:rPr>
          <w:rFonts w:asciiTheme="minorHAnsi" w:hAnsiTheme="minorHAnsi"/>
          <w:sz w:val="20"/>
          <w:lang w:val="en-IE"/>
        </w:rPr>
      </w:pPr>
      <w:r w:rsidRPr="001C5950">
        <w:rPr>
          <w:rFonts w:asciiTheme="minorHAnsi" w:hAnsiTheme="minorHAnsi"/>
          <w:sz w:val="20"/>
          <w:lang w:val="en-IE"/>
        </w:rPr>
        <w:t>The Group’s reportable segments are businesses that are managed separately, due to a combination of factors including method of service delivery, geographical location and the different services provided.</w:t>
      </w:r>
    </w:p>
    <w:p w14:paraId="0CE65C1C" w14:textId="77777777" w:rsidR="00794AFD" w:rsidRPr="001C5950" w:rsidRDefault="00794AFD" w:rsidP="00794AFD">
      <w:pPr>
        <w:rPr>
          <w:rFonts w:asciiTheme="minorHAnsi" w:hAnsiTheme="minorHAnsi"/>
          <w:sz w:val="20"/>
          <w:lang w:val="en-IE"/>
        </w:rPr>
      </w:pPr>
    </w:p>
    <w:p w14:paraId="7C685970" w14:textId="77777777" w:rsidR="00794AFD" w:rsidRPr="001C5950" w:rsidRDefault="00794AFD" w:rsidP="00794AFD">
      <w:pPr>
        <w:pStyle w:val="BodyText"/>
        <w:rPr>
          <w:rFonts w:asciiTheme="minorHAnsi" w:hAnsiTheme="minorHAnsi"/>
          <w:b/>
          <w:sz w:val="20"/>
          <w:szCs w:val="20"/>
          <w:lang w:val="en-IE"/>
        </w:rPr>
      </w:pPr>
      <w:r w:rsidRPr="001C5950">
        <w:rPr>
          <w:rFonts w:asciiTheme="minorHAnsi" w:hAnsiTheme="minorHAnsi"/>
          <w:b/>
          <w:sz w:val="20"/>
          <w:szCs w:val="20"/>
          <w:lang w:val="en-IE"/>
        </w:rPr>
        <w:t>Reportable business segment information</w:t>
      </w:r>
    </w:p>
    <w:p w14:paraId="4A3C1187" w14:textId="77777777" w:rsidR="00794AFD" w:rsidRPr="001C5950" w:rsidRDefault="00794AFD" w:rsidP="00794AFD">
      <w:pPr>
        <w:rPr>
          <w:rFonts w:asciiTheme="minorHAnsi" w:hAnsiTheme="minorHAnsi"/>
          <w:sz w:val="20"/>
          <w:lang w:val="en-IE"/>
        </w:rPr>
      </w:pPr>
      <w:r w:rsidRPr="001C5950">
        <w:rPr>
          <w:rFonts w:asciiTheme="minorHAnsi" w:hAnsiTheme="minorHAnsi"/>
          <w:sz w:val="20"/>
        </w:rPr>
        <w:t xml:space="preserve">The Group has determined that its operating segments are its reportable segments. </w:t>
      </w:r>
      <w:r w:rsidRPr="001C5950">
        <w:rPr>
          <w:rFonts w:asciiTheme="minorHAnsi" w:hAnsiTheme="minorHAnsi"/>
          <w:sz w:val="20"/>
          <w:lang w:val="en-IE"/>
        </w:rPr>
        <w:t>The Group’s reportable segments are as follows:</w:t>
      </w:r>
    </w:p>
    <w:p w14:paraId="7D793AFC" w14:textId="77777777" w:rsidR="00794AFD" w:rsidRPr="001C5950" w:rsidRDefault="00794AFD" w:rsidP="00794AFD">
      <w:pPr>
        <w:rPr>
          <w:rFonts w:asciiTheme="minorHAnsi" w:hAnsiTheme="minorHAnsi"/>
          <w:sz w:val="20"/>
          <w:lang w:val="en-IE"/>
        </w:rPr>
      </w:pPr>
    </w:p>
    <w:tbl>
      <w:tblPr>
        <w:tblW w:w="0" w:type="auto"/>
        <w:tblInd w:w="108" w:type="dxa"/>
        <w:tblLook w:val="01E0" w:firstRow="1" w:lastRow="1" w:firstColumn="1" w:lastColumn="1" w:noHBand="0" w:noVBand="0"/>
      </w:tblPr>
      <w:tblGrid>
        <w:gridCol w:w="4629"/>
      </w:tblGrid>
      <w:tr w:rsidR="00794AFD" w:rsidRPr="001C5950" w14:paraId="4FFD1387" w14:textId="77777777" w:rsidTr="00794AFD">
        <w:tc>
          <w:tcPr>
            <w:tcW w:w="4629" w:type="dxa"/>
            <w:shd w:val="clear" w:color="auto" w:fill="auto"/>
          </w:tcPr>
          <w:p w14:paraId="2ED8D8AC" w14:textId="77777777" w:rsidR="00794AFD" w:rsidRPr="001C5950" w:rsidRDefault="00794AFD" w:rsidP="00794AFD">
            <w:pPr>
              <w:numPr>
                <w:ilvl w:val="0"/>
                <w:numId w:val="4"/>
              </w:numPr>
              <w:rPr>
                <w:rFonts w:asciiTheme="minorHAnsi" w:hAnsiTheme="minorHAnsi" w:cs="Times New Roman"/>
                <w:color w:val="000000"/>
                <w:sz w:val="20"/>
                <w:szCs w:val="20"/>
                <w:lang w:val="en-IE" w:eastAsia="en-IE"/>
              </w:rPr>
            </w:pPr>
            <w:r>
              <w:rPr>
                <w:rFonts w:asciiTheme="minorHAnsi" w:hAnsiTheme="minorHAnsi" w:cs="Times New Roman"/>
                <w:color w:val="000000"/>
                <w:sz w:val="20"/>
                <w:szCs w:val="20"/>
                <w:lang w:val="en-IE" w:eastAsia="en-IE"/>
              </w:rPr>
              <w:t>PPB Online</w:t>
            </w:r>
          </w:p>
        </w:tc>
      </w:tr>
      <w:tr w:rsidR="00794AFD" w:rsidRPr="001C5950" w14:paraId="31D4740A" w14:textId="77777777" w:rsidTr="00794AFD">
        <w:tc>
          <w:tcPr>
            <w:tcW w:w="4629" w:type="dxa"/>
            <w:shd w:val="clear" w:color="auto" w:fill="auto"/>
          </w:tcPr>
          <w:p w14:paraId="3AE3021A" w14:textId="77777777" w:rsidR="00794AFD" w:rsidRPr="001C5950" w:rsidRDefault="00794AFD" w:rsidP="00794AFD">
            <w:pPr>
              <w:numPr>
                <w:ilvl w:val="0"/>
                <w:numId w:val="4"/>
              </w:numPr>
              <w:rPr>
                <w:rFonts w:asciiTheme="minorHAnsi" w:hAnsiTheme="minorHAnsi" w:cs="Times New Roman"/>
                <w:color w:val="000000"/>
                <w:sz w:val="20"/>
                <w:szCs w:val="20"/>
                <w:lang w:val="en-IE" w:eastAsia="en-IE"/>
              </w:rPr>
            </w:pPr>
            <w:r w:rsidRPr="001C5950">
              <w:rPr>
                <w:rFonts w:asciiTheme="minorHAnsi" w:hAnsiTheme="minorHAnsi" w:cs="Times New Roman"/>
                <w:color w:val="000000"/>
                <w:sz w:val="20"/>
                <w:szCs w:val="20"/>
                <w:lang w:val="en-IE" w:eastAsia="en-IE"/>
              </w:rPr>
              <w:t>Australia</w:t>
            </w:r>
          </w:p>
        </w:tc>
      </w:tr>
      <w:tr w:rsidR="00794AFD" w:rsidRPr="001C5950" w14:paraId="1668B7D9" w14:textId="77777777" w:rsidTr="00794AFD">
        <w:tc>
          <w:tcPr>
            <w:tcW w:w="4629" w:type="dxa"/>
            <w:shd w:val="clear" w:color="auto" w:fill="auto"/>
          </w:tcPr>
          <w:p w14:paraId="3E74803F" w14:textId="77777777" w:rsidR="00794AFD" w:rsidRPr="001C5950" w:rsidRDefault="00794AFD" w:rsidP="00794AFD">
            <w:pPr>
              <w:numPr>
                <w:ilvl w:val="0"/>
                <w:numId w:val="4"/>
              </w:numPr>
              <w:rPr>
                <w:rFonts w:asciiTheme="minorHAnsi" w:hAnsiTheme="minorHAnsi" w:cs="Times New Roman"/>
                <w:color w:val="000000"/>
                <w:sz w:val="20"/>
                <w:szCs w:val="20"/>
                <w:lang w:val="en-IE" w:eastAsia="en-IE"/>
              </w:rPr>
            </w:pPr>
            <w:r>
              <w:rPr>
                <w:rFonts w:asciiTheme="minorHAnsi" w:hAnsiTheme="minorHAnsi" w:cs="Times New Roman"/>
                <w:color w:val="000000"/>
                <w:sz w:val="20"/>
                <w:szCs w:val="20"/>
                <w:lang w:val="en-IE" w:eastAsia="en-IE"/>
              </w:rPr>
              <w:t>PPB Retail</w:t>
            </w:r>
          </w:p>
        </w:tc>
      </w:tr>
      <w:tr w:rsidR="00794AFD" w:rsidRPr="001C5950" w14:paraId="213CCE78" w14:textId="77777777" w:rsidTr="00794AFD">
        <w:tc>
          <w:tcPr>
            <w:tcW w:w="4629" w:type="dxa"/>
            <w:shd w:val="clear" w:color="auto" w:fill="auto"/>
          </w:tcPr>
          <w:p w14:paraId="4A61B3D5" w14:textId="77777777" w:rsidR="00794AFD" w:rsidRPr="001C5950" w:rsidRDefault="00794AFD" w:rsidP="00794AFD">
            <w:pPr>
              <w:numPr>
                <w:ilvl w:val="0"/>
                <w:numId w:val="4"/>
              </w:numPr>
              <w:rPr>
                <w:rFonts w:asciiTheme="minorHAnsi" w:hAnsiTheme="minorHAnsi" w:cs="Times New Roman"/>
                <w:color w:val="000000"/>
                <w:sz w:val="20"/>
                <w:szCs w:val="20"/>
                <w:lang w:val="en-IE" w:eastAsia="en-IE"/>
              </w:rPr>
            </w:pPr>
            <w:r w:rsidRPr="001C5950">
              <w:rPr>
                <w:rFonts w:asciiTheme="minorHAnsi" w:hAnsiTheme="minorHAnsi" w:cs="Times New Roman"/>
                <w:color w:val="000000"/>
                <w:sz w:val="20"/>
                <w:szCs w:val="20"/>
                <w:lang w:val="en-IE" w:eastAsia="en-IE"/>
              </w:rPr>
              <w:t>US</w:t>
            </w:r>
          </w:p>
        </w:tc>
      </w:tr>
    </w:tbl>
    <w:p w14:paraId="34C98E23" w14:textId="77777777" w:rsidR="00794AFD" w:rsidRPr="00FC3D06" w:rsidRDefault="00794AFD" w:rsidP="00794AFD">
      <w:pPr>
        <w:rPr>
          <w:rFonts w:asciiTheme="minorHAnsi" w:hAnsiTheme="minorHAnsi"/>
          <w:sz w:val="20"/>
          <w:lang w:val="en-IE"/>
        </w:rPr>
      </w:pPr>
    </w:p>
    <w:p w14:paraId="335EA590" w14:textId="77777777" w:rsidR="00794AFD" w:rsidRPr="001C5950" w:rsidRDefault="00794AFD" w:rsidP="00794AFD">
      <w:pPr>
        <w:rPr>
          <w:rFonts w:asciiTheme="minorHAnsi" w:hAnsiTheme="minorHAnsi"/>
          <w:sz w:val="20"/>
          <w:lang w:val="en-IE"/>
        </w:rPr>
      </w:pPr>
      <w:r w:rsidRPr="001C5950">
        <w:rPr>
          <w:rFonts w:asciiTheme="minorHAnsi" w:hAnsiTheme="minorHAnsi"/>
          <w:sz w:val="20"/>
          <w:lang w:val="en-IE"/>
        </w:rPr>
        <w:t>The reportable segments reflect the way financial information is reviewed by the Group’s Chief Operating Decision Maker (“CODM”).</w:t>
      </w:r>
    </w:p>
    <w:p w14:paraId="51025EC7" w14:textId="77777777" w:rsidR="00794AFD" w:rsidRPr="001C5950" w:rsidRDefault="00794AFD" w:rsidP="00794AFD">
      <w:pPr>
        <w:rPr>
          <w:rFonts w:asciiTheme="minorHAnsi" w:hAnsiTheme="minorHAnsi"/>
          <w:sz w:val="20"/>
          <w:lang w:val="en-IE"/>
        </w:rPr>
      </w:pPr>
    </w:p>
    <w:p w14:paraId="62FACD7C" w14:textId="77777777" w:rsidR="00794AFD" w:rsidRPr="001C5950" w:rsidRDefault="00794AFD" w:rsidP="00794AFD">
      <w:pPr>
        <w:rPr>
          <w:rFonts w:asciiTheme="minorHAnsi" w:hAnsiTheme="minorHAnsi"/>
          <w:sz w:val="20"/>
          <w:lang w:val="en-IE"/>
        </w:rPr>
      </w:pPr>
      <w:r w:rsidRPr="001C5950">
        <w:rPr>
          <w:rFonts w:asciiTheme="minorHAnsi" w:hAnsiTheme="minorHAnsi"/>
          <w:sz w:val="20"/>
          <w:lang w:val="en-IE"/>
        </w:rPr>
        <w:t xml:space="preserve">The </w:t>
      </w:r>
      <w:r>
        <w:rPr>
          <w:rFonts w:asciiTheme="minorHAnsi" w:hAnsiTheme="minorHAnsi"/>
          <w:sz w:val="20"/>
          <w:lang w:val="en-IE"/>
        </w:rPr>
        <w:t>PPB Online</w:t>
      </w:r>
      <w:r w:rsidRPr="001C5950">
        <w:rPr>
          <w:rFonts w:asciiTheme="minorHAnsi" w:hAnsiTheme="minorHAnsi"/>
          <w:sz w:val="20"/>
          <w:lang w:val="en-IE"/>
        </w:rPr>
        <w:t xml:space="preserve"> segment derives its revenues primarily from sports betting (sportsbook and the exchange sports betting product) and / or gaming (games, casino, bingo and poker) services in all business-to-customer (“B2C”) geographies that the Group operates in except the US and Australia, and business-to-business (“B2B”) services globally. Online services are delivered primarily through the internet with a small proportion delivered through the public telephony system.</w:t>
      </w:r>
    </w:p>
    <w:p w14:paraId="4AA9FC0B" w14:textId="77777777" w:rsidR="00794AFD" w:rsidRPr="001C5950" w:rsidRDefault="00794AFD" w:rsidP="00794AFD">
      <w:pPr>
        <w:rPr>
          <w:rFonts w:asciiTheme="minorHAnsi" w:hAnsiTheme="minorHAnsi"/>
          <w:sz w:val="20"/>
          <w:lang w:val="en-IE"/>
        </w:rPr>
      </w:pPr>
    </w:p>
    <w:p w14:paraId="7636FE58" w14:textId="77777777" w:rsidR="00794AFD" w:rsidRPr="001C5950" w:rsidRDefault="00794AFD" w:rsidP="00794AFD">
      <w:pPr>
        <w:rPr>
          <w:rFonts w:asciiTheme="minorHAnsi" w:hAnsiTheme="minorHAnsi"/>
          <w:sz w:val="20"/>
          <w:lang w:val="en-IE"/>
        </w:rPr>
      </w:pPr>
      <w:r w:rsidRPr="001C5950">
        <w:rPr>
          <w:rFonts w:asciiTheme="minorHAnsi" w:hAnsiTheme="minorHAnsi"/>
          <w:sz w:val="20"/>
          <w:lang w:val="en-IE"/>
        </w:rPr>
        <w:t>The Australia segment earns its revenues from sports betting services provided to Australian customers using primarily the internet with a small proportion using the public telephony system.</w:t>
      </w:r>
    </w:p>
    <w:p w14:paraId="36C879B2" w14:textId="77777777" w:rsidR="00794AFD" w:rsidRPr="00FC3D06" w:rsidRDefault="00794AFD" w:rsidP="00794AFD">
      <w:pPr>
        <w:rPr>
          <w:rFonts w:asciiTheme="minorHAnsi" w:hAnsiTheme="minorHAnsi"/>
          <w:sz w:val="20"/>
          <w:lang w:val="en-IE"/>
        </w:rPr>
      </w:pPr>
    </w:p>
    <w:p w14:paraId="43F161BA" w14:textId="77777777" w:rsidR="00794AFD" w:rsidRPr="001C5950" w:rsidRDefault="00794AFD" w:rsidP="00794AFD">
      <w:pPr>
        <w:rPr>
          <w:rFonts w:asciiTheme="minorHAnsi" w:hAnsiTheme="minorHAnsi"/>
          <w:sz w:val="20"/>
          <w:lang w:val="en-IE"/>
        </w:rPr>
      </w:pPr>
      <w:r w:rsidRPr="001C5950">
        <w:rPr>
          <w:rFonts w:asciiTheme="minorHAnsi" w:hAnsiTheme="minorHAnsi"/>
          <w:sz w:val="20"/>
          <w:lang w:val="en-IE"/>
        </w:rPr>
        <w:t xml:space="preserve">The </w:t>
      </w:r>
      <w:r>
        <w:rPr>
          <w:rFonts w:asciiTheme="minorHAnsi" w:hAnsiTheme="minorHAnsi"/>
          <w:sz w:val="20"/>
          <w:lang w:val="en-IE"/>
        </w:rPr>
        <w:t>PPB Retail</w:t>
      </w:r>
      <w:r w:rsidRPr="001C5950">
        <w:rPr>
          <w:rFonts w:asciiTheme="minorHAnsi" w:hAnsiTheme="minorHAnsi"/>
          <w:sz w:val="20"/>
          <w:lang w:val="en-IE"/>
        </w:rPr>
        <w:t xml:space="preserve"> segment derives its revenues from sports betting and / or gaming machine services delivered through licenced bookmaking shop estates in the UK and Ireland.</w:t>
      </w:r>
    </w:p>
    <w:p w14:paraId="1E3F0207" w14:textId="77777777" w:rsidR="00794AFD" w:rsidRPr="00FC3D06" w:rsidRDefault="00794AFD" w:rsidP="00794AFD">
      <w:pPr>
        <w:rPr>
          <w:rFonts w:asciiTheme="minorHAnsi" w:hAnsiTheme="minorHAnsi"/>
          <w:sz w:val="20"/>
          <w:lang w:val="en-IE"/>
        </w:rPr>
      </w:pPr>
    </w:p>
    <w:p w14:paraId="723D77C5" w14:textId="77777777" w:rsidR="00794AFD" w:rsidRPr="001C5950" w:rsidRDefault="00794AFD" w:rsidP="00794AFD">
      <w:pPr>
        <w:rPr>
          <w:rFonts w:asciiTheme="minorHAnsi" w:hAnsiTheme="minorHAnsi"/>
          <w:sz w:val="20"/>
          <w:lang w:val="en-IE"/>
        </w:rPr>
      </w:pPr>
      <w:r w:rsidRPr="001C5950">
        <w:rPr>
          <w:rFonts w:asciiTheme="minorHAnsi" w:hAnsiTheme="minorHAnsi"/>
          <w:sz w:val="20"/>
          <w:lang w:val="en-IE"/>
        </w:rPr>
        <w:t xml:space="preserve">The US segment earns its revenues from sports betting, daily fantasy sports and gaming services provided to US customers using primarily the internet with a proportion of US sports betting services also provided through a </w:t>
      </w:r>
      <w:r>
        <w:rPr>
          <w:rFonts w:asciiTheme="minorHAnsi" w:hAnsiTheme="minorHAnsi"/>
          <w:sz w:val="20"/>
          <w:lang w:val="en-IE"/>
        </w:rPr>
        <w:t>small number</w:t>
      </w:r>
      <w:r w:rsidRPr="001C5950">
        <w:rPr>
          <w:rFonts w:asciiTheme="minorHAnsi" w:hAnsiTheme="minorHAnsi"/>
          <w:sz w:val="20"/>
          <w:lang w:val="en-IE"/>
        </w:rPr>
        <w:t xml:space="preserve"> of retail outlets.</w:t>
      </w:r>
    </w:p>
    <w:p w14:paraId="3B28A75E" w14:textId="77777777" w:rsidR="00794AFD" w:rsidRPr="0084401F" w:rsidRDefault="00794AFD" w:rsidP="00794AFD">
      <w:pPr>
        <w:rPr>
          <w:rFonts w:asciiTheme="minorHAnsi" w:hAnsiTheme="minorHAnsi"/>
          <w:sz w:val="12"/>
          <w:szCs w:val="12"/>
          <w:lang w:val="en-IE"/>
        </w:rPr>
      </w:pPr>
    </w:p>
    <w:p w14:paraId="21A9A315" w14:textId="77777777" w:rsidR="00794AFD" w:rsidRPr="001C5950" w:rsidRDefault="00794AFD" w:rsidP="00794AFD">
      <w:pPr>
        <w:rPr>
          <w:rFonts w:asciiTheme="minorHAnsi" w:hAnsiTheme="minorHAnsi"/>
          <w:sz w:val="20"/>
          <w:lang w:val="en-IE"/>
        </w:rPr>
      </w:pPr>
      <w:r w:rsidRPr="001C5950">
        <w:rPr>
          <w:rFonts w:asciiTheme="minorHAnsi" w:hAnsiTheme="minorHAnsi"/>
          <w:sz w:val="20"/>
          <w:lang w:val="en-IE"/>
        </w:rPr>
        <w:t>Corporate administrative costs (Board, Finance, Legal, Internal Audit, HR, Property and other central functions) cannot be readily allocated to individual operating segments and are not used by the CODM for making operating and resource allocation decisions. These are shown in the reconciliation of reportable segments to Group totals.</w:t>
      </w:r>
    </w:p>
    <w:p w14:paraId="03E21F9E" w14:textId="77777777" w:rsidR="00794AFD" w:rsidRPr="001C5950" w:rsidRDefault="00794AFD" w:rsidP="00794AFD">
      <w:pPr>
        <w:rPr>
          <w:rFonts w:asciiTheme="minorHAnsi" w:hAnsiTheme="minorHAnsi"/>
          <w:sz w:val="20"/>
          <w:lang w:val="en-IE"/>
        </w:rPr>
      </w:pPr>
    </w:p>
    <w:p w14:paraId="14E3B2B7" w14:textId="77777777" w:rsidR="00794AFD" w:rsidRPr="001C5950" w:rsidRDefault="00794AFD" w:rsidP="00794AFD">
      <w:pPr>
        <w:rPr>
          <w:rFonts w:asciiTheme="minorHAnsi" w:hAnsiTheme="minorHAnsi"/>
          <w:sz w:val="20"/>
          <w:lang w:val="en-IE"/>
        </w:rPr>
      </w:pPr>
      <w:r w:rsidRPr="001C5950">
        <w:rPr>
          <w:rFonts w:asciiTheme="minorHAnsi" w:hAnsiTheme="minorHAnsi"/>
          <w:sz w:val="20"/>
          <w:lang w:val="en-IE"/>
        </w:rPr>
        <w:t xml:space="preserve">The Group does not allocate income tax expense or interest to reportable segments. Treasury management is centralised for the </w:t>
      </w:r>
      <w:r>
        <w:rPr>
          <w:rFonts w:asciiTheme="minorHAnsi" w:hAnsiTheme="minorHAnsi"/>
          <w:sz w:val="20"/>
          <w:lang w:val="en-IE"/>
        </w:rPr>
        <w:t>PPB Online</w:t>
      </w:r>
      <w:r w:rsidRPr="001C5950">
        <w:rPr>
          <w:rFonts w:asciiTheme="minorHAnsi" w:hAnsiTheme="minorHAnsi"/>
          <w:sz w:val="20"/>
          <w:lang w:val="en-IE"/>
        </w:rPr>
        <w:t xml:space="preserve">, Australia, </w:t>
      </w:r>
      <w:r>
        <w:rPr>
          <w:rFonts w:asciiTheme="minorHAnsi" w:hAnsiTheme="minorHAnsi"/>
          <w:sz w:val="20"/>
          <w:lang w:val="en-IE"/>
        </w:rPr>
        <w:t>PPB Retail</w:t>
      </w:r>
      <w:r w:rsidRPr="001C5950">
        <w:rPr>
          <w:rFonts w:asciiTheme="minorHAnsi" w:hAnsiTheme="minorHAnsi"/>
          <w:sz w:val="20"/>
          <w:lang w:val="en-IE"/>
        </w:rPr>
        <w:t xml:space="preserve"> and US segments. </w:t>
      </w:r>
    </w:p>
    <w:p w14:paraId="7E4BC070" w14:textId="77777777" w:rsidR="00794AFD" w:rsidRDefault="00794AFD" w:rsidP="00794AFD">
      <w:pPr>
        <w:widowControl/>
        <w:autoSpaceDE/>
        <w:autoSpaceDN/>
        <w:adjustRightInd/>
        <w:rPr>
          <w:rFonts w:asciiTheme="minorHAnsi" w:hAnsiTheme="minorHAnsi"/>
          <w:b/>
          <w:sz w:val="20"/>
          <w:lang w:val="en-IE"/>
        </w:rPr>
      </w:pPr>
    </w:p>
    <w:p w14:paraId="3B227E1A" w14:textId="77777777" w:rsidR="00794AFD" w:rsidRPr="00FC3D06" w:rsidRDefault="00794AFD" w:rsidP="00794AFD">
      <w:pPr>
        <w:rPr>
          <w:rFonts w:asciiTheme="minorHAnsi" w:hAnsiTheme="minorHAnsi"/>
          <w:b/>
          <w:sz w:val="20"/>
          <w:lang w:val="en-IE"/>
        </w:rPr>
      </w:pPr>
      <w:r w:rsidRPr="001C5950">
        <w:rPr>
          <w:rFonts w:asciiTheme="minorHAnsi" w:hAnsiTheme="minorHAnsi"/>
          <w:sz w:val="20"/>
          <w:lang w:val="en-IE"/>
        </w:rPr>
        <w:t>Assets and liabilities information is reported internally in total and not by reportable segment and, accordingly, no information is provided in this note on assets and liabilities split by reportable segment.</w:t>
      </w:r>
      <w:r>
        <w:rPr>
          <w:rFonts w:asciiTheme="minorHAnsi" w:hAnsiTheme="minorHAnsi"/>
          <w:sz w:val="20"/>
          <w:lang w:val="en-IE"/>
        </w:rPr>
        <w:t xml:space="preserve"> </w:t>
      </w:r>
      <w:r w:rsidRPr="00FC3D06">
        <w:rPr>
          <w:rFonts w:asciiTheme="minorHAnsi" w:hAnsiTheme="minorHAnsi"/>
          <w:b/>
          <w:sz w:val="20"/>
          <w:lang w:val="en-IE"/>
        </w:rPr>
        <w:br w:type="page"/>
      </w:r>
    </w:p>
    <w:p w14:paraId="354C7733" w14:textId="77777777" w:rsidR="00794AFD" w:rsidRPr="001C5950" w:rsidRDefault="00794AFD" w:rsidP="00794AFD">
      <w:pPr>
        <w:rPr>
          <w:rFonts w:asciiTheme="minorHAnsi" w:hAnsiTheme="minorHAnsi"/>
          <w:b/>
          <w:sz w:val="20"/>
          <w:lang w:val="en-IE"/>
        </w:rPr>
      </w:pPr>
      <w:r w:rsidRPr="001C5950">
        <w:rPr>
          <w:rFonts w:asciiTheme="minorHAnsi" w:hAnsiTheme="minorHAnsi"/>
          <w:b/>
          <w:sz w:val="20"/>
          <w:lang w:val="en-IE"/>
        </w:rPr>
        <w:lastRenderedPageBreak/>
        <w:t>3. Operating segments (continued)</w:t>
      </w:r>
    </w:p>
    <w:p w14:paraId="5185AB81" w14:textId="77777777" w:rsidR="00794AFD" w:rsidRPr="005D1B54" w:rsidRDefault="00794AFD" w:rsidP="00794AFD">
      <w:pPr>
        <w:rPr>
          <w:rFonts w:asciiTheme="minorHAnsi" w:hAnsiTheme="minorHAnsi"/>
          <w:b/>
          <w:sz w:val="16"/>
          <w:szCs w:val="16"/>
          <w:lang w:val="en-IE"/>
        </w:rPr>
      </w:pPr>
    </w:p>
    <w:p w14:paraId="101154C0" w14:textId="77777777" w:rsidR="00794AFD" w:rsidRPr="001A7299" w:rsidRDefault="00794AFD" w:rsidP="00794AFD">
      <w:pPr>
        <w:rPr>
          <w:rFonts w:asciiTheme="minorHAnsi" w:hAnsiTheme="minorHAnsi"/>
          <w:sz w:val="20"/>
          <w:lang w:val="en-IE"/>
        </w:rPr>
      </w:pPr>
      <w:r w:rsidRPr="001C5950">
        <w:rPr>
          <w:rFonts w:asciiTheme="minorHAnsi" w:hAnsiTheme="minorHAnsi" w:cs="Times New Roman"/>
          <w:sz w:val="20"/>
          <w:szCs w:val="20"/>
          <w:lang w:val="en-IE"/>
        </w:rPr>
        <w:t xml:space="preserve">Reportable </w:t>
      </w:r>
      <w:r w:rsidRPr="001C5950">
        <w:rPr>
          <w:rFonts w:asciiTheme="minorHAnsi" w:hAnsiTheme="minorHAnsi" w:cs="Times New Roman"/>
          <w:sz w:val="20"/>
          <w:szCs w:val="20"/>
        </w:rPr>
        <w:t xml:space="preserve">business segment information for the year ended 31 December </w:t>
      </w:r>
      <w:r>
        <w:rPr>
          <w:rFonts w:asciiTheme="minorHAnsi" w:hAnsiTheme="minorHAnsi" w:cs="Times New Roman"/>
          <w:sz w:val="20"/>
          <w:szCs w:val="20"/>
        </w:rPr>
        <w:t>2019</w:t>
      </w:r>
      <w:r w:rsidRPr="001C5950">
        <w:rPr>
          <w:rFonts w:asciiTheme="minorHAnsi" w:hAnsiTheme="minorHAnsi" w:cs="Times New Roman"/>
          <w:sz w:val="20"/>
          <w:szCs w:val="20"/>
        </w:rPr>
        <w:t>:</w:t>
      </w:r>
    </w:p>
    <w:p w14:paraId="03ECF7E9" w14:textId="77777777" w:rsidR="00794AFD" w:rsidRPr="00FC3D06" w:rsidRDefault="00794AFD" w:rsidP="00794AFD">
      <w:pPr>
        <w:rPr>
          <w:rFonts w:asciiTheme="minorHAnsi" w:hAnsiTheme="minorHAnsi" w:cs="Times New Roman"/>
          <w:sz w:val="20"/>
          <w:szCs w:val="20"/>
        </w:rPr>
      </w:pPr>
    </w:p>
    <w:tbl>
      <w:tblPr>
        <w:tblW w:w="10098" w:type="dxa"/>
        <w:tblInd w:w="108" w:type="dxa"/>
        <w:tblLayout w:type="fixed"/>
        <w:tblLook w:val="01E0" w:firstRow="1" w:lastRow="1" w:firstColumn="1" w:lastColumn="1" w:noHBand="0" w:noVBand="0"/>
      </w:tblPr>
      <w:tblGrid>
        <w:gridCol w:w="3294"/>
        <w:gridCol w:w="1134"/>
        <w:gridCol w:w="1134"/>
        <w:gridCol w:w="1134"/>
        <w:gridCol w:w="1134"/>
        <w:gridCol w:w="1134"/>
        <w:gridCol w:w="1134"/>
      </w:tblGrid>
      <w:tr w:rsidR="00794AFD" w:rsidRPr="001C5950" w14:paraId="0C9FA800" w14:textId="77777777" w:rsidTr="00794AFD">
        <w:trPr>
          <w:trHeight w:val="290"/>
        </w:trPr>
        <w:tc>
          <w:tcPr>
            <w:tcW w:w="3294" w:type="dxa"/>
            <w:tcBorders>
              <w:top w:val="single" w:sz="4" w:space="0" w:color="auto"/>
            </w:tcBorders>
            <w:shd w:val="clear" w:color="auto" w:fill="auto"/>
          </w:tcPr>
          <w:p w14:paraId="34EF54ED" w14:textId="77777777" w:rsidR="00794AFD" w:rsidRPr="00FC3D06" w:rsidRDefault="00794AFD" w:rsidP="00794AFD">
            <w:pPr>
              <w:pStyle w:val="BodyText"/>
              <w:ind w:left="-74"/>
              <w:rPr>
                <w:rFonts w:asciiTheme="minorHAnsi" w:hAnsiTheme="minorHAnsi" w:cs="Times New Roman"/>
                <w:b/>
                <w:sz w:val="20"/>
                <w:szCs w:val="20"/>
              </w:rPr>
            </w:pPr>
          </w:p>
        </w:tc>
        <w:tc>
          <w:tcPr>
            <w:tcW w:w="1134" w:type="dxa"/>
            <w:tcBorders>
              <w:top w:val="single" w:sz="4" w:space="0" w:color="auto"/>
            </w:tcBorders>
            <w:shd w:val="clear" w:color="auto" w:fill="auto"/>
          </w:tcPr>
          <w:p w14:paraId="5C99D32D" w14:textId="77777777" w:rsidR="00794AFD" w:rsidRPr="001C5950" w:rsidRDefault="00794AFD" w:rsidP="00794AFD">
            <w:pPr>
              <w:pStyle w:val="BodyText"/>
              <w:ind w:left="-74"/>
              <w:jc w:val="right"/>
              <w:rPr>
                <w:rFonts w:asciiTheme="minorHAnsi" w:hAnsiTheme="minorHAnsi" w:cs="Times New Roman"/>
                <w:b/>
                <w:sz w:val="20"/>
                <w:szCs w:val="20"/>
              </w:rPr>
            </w:pPr>
          </w:p>
          <w:p w14:paraId="14473F57" w14:textId="77777777" w:rsidR="00794AFD" w:rsidRPr="001C5950" w:rsidRDefault="00794AFD" w:rsidP="00794AFD">
            <w:pPr>
              <w:pStyle w:val="BodyText"/>
              <w:ind w:left="-74"/>
              <w:jc w:val="right"/>
              <w:rPr>
                <w:rFonts w:asciiTheme="minorHAnsi" w:hAnsiTheme="minorHAnsi" w:cs="Times New Roman"/>
                <w:b/>
                <w:sz w:val="20"/>
                <w:szCs w:val="20"/>
              </w:rPr>
            </w:pPr>
            <w:r>
              <w:rPr>
                <w:rFonts w:asciiTheme="minorHAnsi" w:hAnsiTheme="minorHAnsi" w:cs="Times New Roman"/>
                <w:b/>
                <w:sz w:val="20"/>
                <w:szCs w:val="20"/>
              </w:rPr>
              <w:t>PPB Online</w:t>
            </w:r>
          </w:p>
        </w:tc>
        <w:tc>
          <w:tcPr>
            <w:tcW w:w="1134" w:type="dxa"/>
            <w:tcBorders>
              <w:top w:val="single" w:sz="4" w:space="0" w:color="auto"/>
            </w:tcBorders>
          </w:tcPr>
          <w:p w14:paraId="0C55A5DB" w14:textId="77777777" w:rsidR="00794AFD" w:rsidRPr="001C5950" w:rsidRDefault="00794AFD" w:rsidP="00794AFD">
            <w:pPr>
              <w:pStyle w:val="BodyText"/>
              <w:ind w:left="-74"/>
              <w:jc w:val="right"/>
              <w:rPr>
                <w:rFonts w:asciiTheme="minorHAnsi" w:hAnsiTheme="minorHAnsi" w:cs="Times New Roman"/>
                <w:b/>
                <w:sz w:val="20"/>
                <w:szCs w:val="20"/>
              </w:rPr>
            </w:pPr>
          </w:p>
          <w:p w14:paraId="4CC86D58"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 xml:space="preserve"> Australia</w:t>
            </w:r>
          </w:p>
        </w:tc>
        <w:tc>
          <w:tcPr>
            <w:tcW w:w="1134" w:type="dxa"/>
            <w:tcBorders>
              <w:top w:val="single" w:sz="4" w:space="0" w:color="auto"/>
            </w:tcBorders>
            <w:shd w:val="clear" w:color="auto" w:fill="auto"/>
          </w:tcPr>
          <w:p w14:paraId="401797F2" w14:textId="77777777" w:rsidR="00794AFD" w:rsidRPr="001C5950" w:rsidRDefault="00794AFD" w:rsidP="00794AFD">
            <w:pPr>
              <w:pStyle w:val="BodyText"/>
              <w:ind w:left="-74"/>
              <w:jc w:val="right"/>
              <w:rPr>
                <w:rFonts w:asciiTheme="minorHAnsi" w:hAnsiTheme="minorHAnsi" w:cs="Times New Roman"/>
                <w:b/>
                <w:sz w:val="20"/>
                <w:szCs w:val="20"/>
              </w:rPr>
            </w:pPr>
          </w:p>
          <w:p w14:paraId="642CE39F" w14:textId="77777777" w:rsidR="00794AFD" w:rsidRPr="001C5950" w:rsidRDefault="00794AFD" w:rsidP="00794AFD">
            <w:pPr>
              <w:pStyle w:val="BodyText"/>
              <w:ind w:left="-74"/>
              <w:jc w:val="right"/>
              <w:rPr>
                <w:rFonts w:asciiTheme="minorHAnsi" w:hAnsiTheme="minorHAnsi" w:cs="Times New Roman"/>
                <w:b/>
                <w:sz w:val="20"/>
                <w:szCs w:val="20"/>
              </w:rPr>
            </w:pPr>
            <w:r>
              <w:rPr>
                <w:rFonts w:asciiTheme="minorHAnsi" w:hAnsiTheme="minorHAnsi" w:cs="Times New Roman"/>
                <w:b/>
                <w:sz w:val="20"/>
                <w:szCs w:val="20"/>
              </w:rPr>
              <w:t>PPB Retail</w:t>
            </w:r>
          </w:p>
        </w:tc>
        <w:tc>
          <w:tcPr>
            <w:tcW w:w="1134" w:type="dxa"/>
            <w:tcBorders>
              <w:top w:val="single" w:sz="4" w:space="0" w:color="auto"/>
            </w:tcBorders>
          </w:tcPr>
          <w:p w14:paraId="29253A42" w14:textId="77777777" w:rsidR="00794AFD" w:rsidRPr="001C5950" w:rsidRDefault="00794AFD" w:rsidP="00794AFD">
            <w:pPr>
              <w:pStyle w:val="BodyText"/>
              <w:ind w:left="-74"/>
              <w:jc w:val="right"/>
              <w:rPr>
                <w:rFonts w:asciiTheme="minorHAnsi" w:hAnsiTheme="minorHAnsi" w:cs="Times New Roman"/>
                <w:b/>
                <w:sz w:val="20"/>
                <w:szCs w:val="20"/>
              </w:rPr>
            </w:pPr>
          </w:p>
          <w:p w14:paraId="1438B43F"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US</w:t>
            </w:r>
          </w:p>
        </w:tc>
        <w:tc>
          <w:tcPr>
            <w:tcW w:w="1134" w:type="dxa"/>
            <w:tcBorders>
              <w:top w:val="single" w:sz="4" w:space="0" w:color="auto"/>
            </w:tcBorders>
            <w:shd w:val="clear" w:color="auto" w:fill="auto"/>
          </w:tcPr>
          <w:p w14:paraId="5E678630" w14:textId="77777777" w:rsidR="00794AFD" w:rsidRPr="001C5950" w:rsidRDefault="00794AFD" w:rsidP="00794AFD">
            <w:pPr>
              <w:pStyle w:val="BodyText"/>
              <w:ind w:left="-74"/>
              <w:jc w:val="right"/>
              <w:rPr>
                <w:rFonts w:asciiTheme="minorHAnsi" w:hAnsiTheme="minorHAnsi" w:cs="Times New Roman"/>
                <w:b/>
                <w:sz w:val="20"/>
                <w:szCs w:val="20"/>
              </w:rPr>
            </w:pPr>
          </w:p>
          <w:p w14:paraId="4493CD35"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Corporate</w:t>
            </w:r>
          </w:p>
        </w:tc>
        <w:tc>
          <w:tcPr>
            <w:tcW w:w="1134" w:type="dxa"/>
            <w:tcBorders>
              <w:top w:val="single" w:sz="4" w:space="0" w:color="auto"/>
            </w:tcBorders>
            <w:shd w:val="clear" w:color="auto" w:fill="auto"/>
          </w:tcPr>
          <w:p w14:paraId="75344810" w14:textId="77777777" w:rsidR="00794AFD" w:rsidRPr="001C5950" w:rsidRDefault="00794AFD" w:rsidP="00794AFD">
            <w:pPr>
              <w:pStyle w:val="BodyText"/>
              <w:ind w:left="-74"/>
              <w:jc w:val="right"/>
              <w:rPr>
                <w:rFonts w:asciiTheme="minorHAnsi" w:hAnsiTheme="minorHAnsi" w:cs="Times New Roman"/>
                <w:b/>
                <w:sz w:val="20"/>
                <w:szCs w:val="20"/>
              </w:rPr>
            </w:pPr>
          </w:p>
          <w:p w14:paraId="71BD7789"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Total</w:t>
            </w:r>
          </w:p>
        </w:tc>
      </w:tr>
      <w:tr w:rsidR="00794AFD" w:rsidRPr="001C5950" w14:paraId="29A4D819" w14:textId="77777777" w:rsidTr="00794AFD">
        <w:trPr>
          <w:trHeight w:val="70"/>
        </w:trPr>
        <w:tc>
          <w:tcPr>
            <w:tcW w:w="3294" w:type="dxa"/>
            <w:tcBorders>
              <w:bottom w:val="single" w:sz="4" w:space="0" w:color="auto"/>
            </w:tcBorders>
            <w:shd w:val="clear" w:color="auto" w:fill="auto"/>
          </w:tcPr>
          <w:p w14:paraId="63FCCAC2" w14:textId="77777777" w:rsidR="00794AFD" w:rsidRPr="00FC3D06" w:rsidRDefault="00794AFD" w:rsidP="00794AFD">
            <w:pPr>
              <w:pStyle w:val="BodyText"/>
              <w:ind w:left="-74"/>
              <w:rPr>
                <w:rFonts w:asciiTheme="minorHAnsi" w:hAnsiTheme="minorHAnsi" w:cs="Times New Roman"/>
                <w:b/>
                <w:sz w:val="20"/>
                <w:szCs w:val="20"/>
              </w:rPr>
            </w:pPr>
          </w:p>
        </w:tc>
        <w:tc>
          <w:tcPr>
            <w:tcW w:w="1134" w:type="dxa"/>
            <w:tcBorders>
              <w:bottom w:val="single" w:sz="4" w:space="0" w:color="auto"/>
            </w:tcBorders>
            <w:shd w:val="clear" w:color="auto" w:fill="auto"/>
          </w:tcPr>
          <w:p w14:paraId="73FB6E9B"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£m</w:t>
            </w:r>
          </w:p>
        </w:tc>
        <w:tc>
          <w:tcPr>
            <w:tcW w:w="1134" w:type="dxa"/>
            <w:tcBorders>
              <w:bottom w:val="single" w:sz="4" w:space="0" w:color="auto"/>
            </w:tcBorders>
          </w:tcPr>
          <w:p w14:paraId="0FCF335D"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£m</w:t>
            </w:r>
          </w:p>
        </w:tc>
        <w:tc>
          <w:tcPr>
            <w:tcW w:w="1134" w:type="dxa"/>
            <w:tcBorders>
              <w:bottom w:val="single" w:sz="4" w:space="0" w:color="auto"/>
            </w:tcBorders>
            <w:shd w:val="clear" w:color="auto" w:fill="auto"/>
          </w:tcPr>
          <w:p w14:paraId="1AF21E6D"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£m</w:t>
            </w:r>
          </w:p>
        </w:tc>
        <w:tc>
          <w:tcPr>
            <w:tcW w:w="1134" w:type="dxa"/>
            <w:tcBorders>
              <w:bottom w:val="single" w:sz="4" w:space="0" w:color="auto"/>
            </w:tcBorders>
          </w:tcPr>
          <w:p w14:paraId="5585F272"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£m</w:t>
            </w:r>
          </w:p>
        </w:tc>
        <w:tc>
          <w:tcPr>
            <w:tcW w:w="1134" w:type="dxa"/>
            <w:tcBorders>
              <w:bottom w:val="single" w:sz="4" w:space="0" w:color="auto"/>
            </w:tcBorders>
            <w:shd w:val="clear" w:color="auto" w:fill="auto"/>
          </w:tcPr>
          <w:p w14:paraId="0EB2D7C2"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£m</w:t>
            </w:r>
          </w:p>
        </w:tc>
        <w:tc>
          <w:tcPr>
            <w:tcW w:w="1134" w:type="dxa"/>
            <w:tcBorders>
              <w:bottom w:val="single" w:sz="4" w:space="0" w:color="auto"/>
            </w:tcBorders>
            <w:shd w:val="clear" w:color="auto" w:fill="auto"/>
          </w:tcPr>
          <w:p w14:paraId="7E0BE6DE"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£m</w:t>
            </w:r>
          </w:p>
        </w:tc>
      </w:tr>
      <w:tr w:rsidR="00794AFD" w:rsidRPr="001C5950" w14:paraId="3C0C5D52" w14:textId="77777777" w:rsidTr="00794AFD">
        <w:trPr>
          <w:trHeight w:val="102"/>
        </w:trPr>
        <w:tc>
          <w:tcPr>
            <w:tcW w:w="3294" w:type="dxa"/>
            <w:tcBorders>
              <w:top w:val="single" w:sz="4" w:space="0" w:color="auto"/>
            </w:tcBorders>
          </w:tcPr>
          <w:p w14:paraId="3402FDE4" w14:textId="77777777" w:rsidR="00794AFD" w:rsidRPr="001C5950" w:rsidRDefault="00794AFD" w:rsidP="00794AFD">
            <w:pPr>
              <w:pStyle w:val="BodyText"/>
              <w:ind w:left="-74"/>
              <w:jc w:val="left"/>
              <w:rPr>
                <w:rFonts w:asciiTheme="minorHAnsi" w:hAnsiTheme="minorHAnsi" w:cs="Times New Roman"/>
                <w:b/>
                <w:sz w:val="20"/>
                <w:szCs w:val="20"/>
              </w:rPr>
            </w:pPr>
            <w:r w:rsidRPr="001C5950">
              <w:rPr>
                <w:rFonts w:asciiTheme="minorHAnsi" w:hAnsiTheme="minorHAnsi" w:cs="Times New Roman"/>
                <w:sz w:val="20"/>
                <w:szCs w:val="20"/>
              </w:rPr>
              <w:t>Revenue from external customers</w:t>
            </w:r>
          </w:p>
        </w:tc>
        <w:tc>
          <w:tcPr>
            <w:tcW w:w="1134" w:type="dxa"/>
            <w:tcBorders>
              <w:top w:val="single" w:sz="4" w:space="0" w:color="auto"/>
            </w:tcBorders>
            <w:shd w:val="clear" w:color="auto" w:fill="auto"/>
            <w:vAlign w:val="bottom"/>
          </w:tcPr>
          <w:p w14:paraId="71D2E041"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b/>
                <w:sz w:val="20"/>
              </w:rPr>
              <w:t>1,006.2</w:t>
            </w:r>
          </w:p>
        </w:tc>
        <w:tc>
          <w:tcPr>
            <w:tcW w:w="1134" w:type="dxa"/>
            <w:tcBorders>
              <w:top w:val="single" w:sz="4" w:space="0" w:color="auto"/>
            </w:tcBorders>
            <w:shd w:val="clear" w:color="auto" w:fill="auto"/>
            <w:vAlign w:val="bottom"/>
          </w:tcPr>
          <w:p w14:paraId="41F201F1"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b/>
                <w:sz w:val="20"/>
              </w:rPr>
              <w:t>445.8</w:t>
            </w:r>
          </w:p>
        </w:tc>
        <w:tc>
          <w:tcPr>
            <w:tcW w:w="1134" w:type="dxa"/>
            <w:tcBorders>
              <w:top w:val="single" w:sz="4" w:space="0" w:color="auto"/>
            </w:tcBorders>
            <w:shd w:val="clear" w:color="auto" w:fill="auto"/>
            <w:vAlign w:val="bottom"/>
          </w:tcPr>
          <w:p w14:paraId="7C415CC7"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b/>
                <w:sz w:val="20"/>
              </w:rPr>
              <w:t>311.7</w:t>
            </w:r>
          </w:p>
        </w:tc>
        <w:tc>
          <w:tcPr>
            <w:tcW w:w="1134" w:type="dxa"/>
            <w:tcBorders>
              <w:top w:val="single" w:sz="4" w:space="0" w:color="auto"/>
            </w:tcBorders>
            <w:shd w:val="clear" w:color="auto" w:fill="auto"/>
            <w:vAlign w:val="bottom"/>
          </w:tcPr>
          <w:p w14:paraId="72914383"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b/>
                <w:sz w:val="20"/>
              </w:rPr>
              <w:t>376.3</w:t>
            </w:r>
          </w:p>
        </w:tc>
        <w:tc>
          <w:tcPr>
            <w:tcW w:w="1134" w:type="dxa"/>
            <w:tcBorders>
              <w:top w:val="single" w:sz="4" w:space="0" w:color="auto"/>
            </w:tcBorders>
            <w:shd w:val="clear" w:color="auto" w:fill="auto"/>
            <w:vAlign w:val="bottom"/>
          </w:tcPr>
          <w:p w14:paraId="49D7F74B"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w:t>
            </w:r>
          </w:p>
        </w:tc>
        <w:tc>
          <w:tcPr>
            <w:tcW w:w="1134" w:type="dxa"/>
            <w:tcBorders>
              <w:top w:val="single" w:sz="4" w:space="0" w:color="auto"/>
            </w:tcBorders>
            <w:shd w:val="clear" w:color="auto" w:fill="auto"/>
            <w:vAlign w:val="bottom"/>
          </w:tcPr>
          <w:p w14:paraId="7D36D813"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2,140.0</w:t>
            </w:r>
          </w:p>
        </w:tc>
      </w:tr>
      <w:tr w:rsidR="00794AFD" w:rsidRPr="001C5950" w14:paraId="26E1394D" w14:textId="77777777" w:rsidTr="00794AFD">
        <w:tc>
          <w:tcPr>
            <w:tcW w:w="3294" w:type="dxa"/>
          </w:tcPr>
          <w:p w14:paraId="4164D58D" w14:textId="77777777" w:rsidR="00794AFD" w:rsidRPr="001C5950" w:rsidRDefault="00794AFD" w:rsidP="00794AFD">
            <w:pPr>
              <w:pStyle w:val="BodyText"/>
              <w:ind w:left="-74"/>
              <w:jc w:val="left"/>
              <w:rPr>
                <w:rFonts w:asciiTheme="minorHAnsi" w:hAnsiTheme="minorHAnsi" w:cs="Times New Roman"/>
                <w:sz w:val="20"/>
                <w:szCs w:val="20"/>
              </w:rPr>
            </w:pPr>
            <w:r w:rsidRPr="001C5950">
              <w:rPr>
                <w:rFonts w:asciiTheme="minorHAnsi" w:hAnsiTheme="minorHAnsi" w:cs="Times New Roman"/>
                <w:sz w:val="20"/>
                <w:szCs w:val="20"/>
              </w:rPr>
              <w:t>Cost of sales</w:t>
            </w:r>
          </w:p>
        </w:tc>
        <w:tc>
          <w:tcPr>
            <w:tcW w:w="1134" w:type="dxa"/>
            <w:tcBorders>
              <w:bottom w:val="single" w:sz="4" w:space="0" w:color="auto"/>
            </w:tcBorders>
            <w:shd w:val="clear" w:color="auto" w:fill="auto"/>
            <w:vAlign w:val="bottom"/>
          </w:tcPr>
          <w:p w14:paraId="546155FE"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(283.1)</w:t>
            </w:r>
          </w:p>
        </w:tc>
        <w:tc>
          <w:tcPr>
            <w:tcW w:w="1134" w:type="dxa"/>
            <w:tcBorders>
              <w:bottom w:val="single" w:sz="4" w:space="0" w:color="auto"/>
            </w:tcBorders>
            <w:shd w:val="clear" w:color="auto" w:fill="auto"/>
            <w:vAlign w:val="bottom"/>
          </w:tcPr>
          <w:p w14:paraId="352CCDF6"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(181.5)</w:t>
            </w:r>
          </w:p>
        </w:tc>
        <w:tc>
          <w:tcPr>
            <w:tcW w:w="1134" w:type="dxa"/>
            <w:tcBorders>
              <w:bottom w:val="single" w:sz="4" w:space="0" w:color="auto"/>
            </w:tcBorders>
            <w:shd w:val="clear" w:color="auto" w:fill="auto"/>
            <w:vAlign w:val="bottom"/>
          </w:tcPr>
          <w:p w14:paraId="12E6244C"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(69.8)</w:t>
            </w:r>
          </w:p>
        </w:tc>
        <w:tc>
          <w:tcPr>
            <w:tcW w:w="1134" w:type="dxa"/>
            <w:tcBorders>
              <w:bottom w:val="single" w:sz="4" w:space="0" w:color="auto"/>
            </w:tcBorders>
            <w:shd w:val="clear" w:color="auto" w:fill="auto"/>
            <w:vAlign w:val="bottom"/>
          </w:tcPr>
          <w:p w14:paraId="220B277E" w14:textId="77777777" w:rsidR="00794AFD" w:rsidRPr="00070ED0" w:rsidDel="00924819"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(115.8)</w:t>
            </w:r>
          </w:p>
        </w:tc>
        <w:tc>
          <w:tcPr>
            <w:tcW w:w="1134" w:type="dxa"/>
            <w:tcBorders>
              <w:bottom w:val="single" w:sz="4" w:space="0" w:color="auto"/>
            </w:tcBorders>
            <w:shd w:val="clear" w:color="auto" w:fill="auto"/>
            <w:vAlign w:val="bottom"/>
          </w:tcPr>
          <w:p w14:paraId="20F6C2E0"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w:t>
            </w:r>
          </w:p>
        </w:tc>
        <w:tc>
          <w:tcPr>
            <w:tcW w:w="1134" w:type="dxa"/>
            <w:tcBorders>
              <w:bottom w:val="single" w:sz="4" w:space="0" w:color="auto"/>
            </w:tcBorders>
            <w:shd w:val="clear" w:color="auto" w:fill="auto"/>
            <w:vAlign w:val="bottom"/>
          </w:tcPr>
          <w:p w14:paraId="359EC465"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(650.2)</w:t>
            </w:r>
          </w:p>
        </w:tc>
      </w:tr>
      <w:tr w:rsidR="00794AFD" w:rsidRPr="001C5950" w14:paraId="5C5A104D" w14:textId="77777777" w:rsidTr="00794AFD">
        <w:tc>
          <w:tcPr>
            <w:tcW w:w="3294" w:type="dxa"/>
          </w:tcPr>
          <w:p w14:paraId="295FF3F3" w14:textId="77777777" w:rsidR="00794AFD" w:rsidRPr="001C5950" w:rsidRDefault="00794AFD" w:rsidP="00794AFD">
            <w:pPr>
              <w:pStyle w:val="BodyText"/>
              <w:ind w:left="-74"/>
              <w:jc w:val="left"/>
              <w:rPr>
                <w:rFonts w:asciiTheme="minorHAnsi" w:hAnsiTheme="minorHAnsi" w:cs="Times New Roman"/>
                <w:sz w:val="20"/>
                <w:szCs w:val="20"/>
              </w:rPr>
            </w:pPr>
            <w:r w:rsidRPr="001C5950">
              <w:rPr>
                <w:rFonts w:asciiTheme="minorHAnsi" w:hAnsiTheme="minorHAnsi" w:cs="Times New Roman"/>
                <w:sz w:val="20"/>
                <w:szCs w:val="20"/>
              </w:rPr>
              <w:t>Gross profit</w:t>
            </w:r>
          </w:p>
        </w:tc>
        <w:tc>
          <w:tcPr>
            <w:tcW w:w="1134" w:type="dxa"/>
            <w:tcBorders>
              <w:top w:val="single" w:sz="4" w:space="0" w:color="auto"/>
            </w:tcBorders>
            <w:shd w:val="clear" w:color="auto" w:fill="auto"/>
            <w:vAlign w:val="bottom"/>
          </w:tcPr>
          <w:p w14:paraId="611E74DC"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723.1</w:t>
            </w:r>
          </w:p>
        </w:tc>
        <w:tc>
          <w:tcPr>
            <w:tcW w:w="1134" w:type="dxa"/>
            <w:tcBorders>
              <w:top w:val="single" w:sz="4" w:space="0" w:color="auto"/>
            </w:tcBorders>
            <w:shd w:val="clear" w:color="auto" w:fill="auto"/>
            <w:vAlign w:val="bottom"/>
          </w:tcPr>
          <w:p w14:paraId="687615FA"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264.3</w:t>
            </w:r>
          </w:p>
        </w:tc>
        <w:tc>
          <w:tcPr>
            <w:tcW w:w="1134" w:type="dxa"/>
            <w:tcBorders>
              <w:top w:val="single" w:sz="4" w:space="0" w:color="auto"/>
            </w:tcBorders>
            <w:shd w:val="clear" w:color="auto" w:fill="auto"/>
            <w:vAlign w:val="bottom"/>
          </w:tcPr>
          <w:p w14:paraId="153613E8"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241.9</w:t>
            </w:r>
          </w:p>
        </w:tc>
        <w:tc>
          <w:tcPr>
            <w:tcW w:w="1134" w:type="dxa"/>
            <w:tcBorders>
              <w:top w:val="single" w:sz="4" w:space="0" w:color="auto"/>
            </w:tcBorders>
            <w:shd w:val="clear" w:color="auto" w:fill="auto"/>
            <w:vAlign w:val="bottom"/>
          </w:tcPr>
          <w:p w14:paraId="56A656F7"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260.5</w:t>
            </w:r>
          </w:p>
        </w:tc>
        <w:tc>
          <w:tcPr>
            <w:tcW w:w="1134" w:type="dxa"/>
            <w:tcBorders>
              <w:top w:val="single" w:sz="4" w:space="0" w:color="auto"/>
            </w:tcBorders>
            <w:shd w:val="clear" w:color="auto" w:fill="auto"/>
            <w:vAlign w:val="bottom"/>
          </w:tcPr>
          <w:p w14:paraId="46631799"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w:t>
            </w:r>
          </w:p>
        </w:tc>
        <w:tc>
          <w:tcPr>
            <w:tcW w:w="1134" w:type="dxa"/>
            <w:tcBorders>
              <w:top w:val="single" w:sz="4" w:space="0" w:color="auto"/>
            </w:tcBorders>
            <w:shd w:val="clear" w:color="auto" w:fill="auto"/>
            <w:vAlign w:val="bottom"/>
          </w:tcPr>
          <w:p w14:paraId="628D2890"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1,489.8</w:t>
            </w:r>
          </w:p>
        </w:tc>
      </w:tr>
      <w:tr w:rsidR="00794AFD" w:rsidRPr="001C5950" w14:paraId="6207F0A4" w14:textId="77777777" w:rsidTr="00794AFD">
        <w:tc>
          <w:tcPr>
            <w:tcW w:w="3294" w:type="dxa"/>
          </w:tcPr>
          <w:p w14:paraId="06303AB5" w14:textId="77777777" w:rsidR="00794AFD" w:rsidRPr="001C5950" w:rsidRDefault="00794AFD" w:rsidP="00794AFD">
            <w:pPr>
              <w:pStyle w:val="BodyText"/>
              <w:ind w:left="-74"/>
              <w:jc w:val="left"/>
              <w:rPr>
                <w:rFonts w:asciiTheme="minorHAnsi" w:hAnsiTheme="minorHAnsi" w:cs="Times New Roman"/>
                <w:sz w:val="20"/>
                <w:szCs w:val="20"/>
              </w:rPr>
            </w:pPr>
            <w:r w:rsidRPr="001C5950">
              <w:rPr>
                <w:rFonts w:asciiTheme="minorHAnsi" w:hAnsiTheme="minorHAnsi" w:cs="Times New Roman"/>
                <w:sz w:val="20"/>
                <w:szCs w:val="20"/>
              </w:rPr>
              <w:t>Operating costs excluding depreciation, amortisation and impairment</w:t>
            </w:r>
          </w:p>
        </w:tc>
        <w:tc>
          <w:tcPr>
            <w:tcW w:w="1134" w:type="dxa"/>
            <w:tcBorders>
              <w:bottom w:val="single" w:sz="4" w:space="0" w:color="auto"/>
            </w:tcBorders>
            <w:vAlign w:val="bottom"/>
          </w:tcPr>
          <w:p w14:paraId="0348F857"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(41</w:t>
            </w:r>
            <w:r>
              <w:rPr>
                <w:rFonts w:asciiTheme="minorHAnsi" w:hAnsiTheme="minorHAnsi" w:cs="Times New Roman"/>
                <w:b/>
                <w:sz w:val="20"/>
                <w:szCs w:val="20"/>
              </w:rPr>
              <w:t>0</w:t>
            </w:r>
            <w:r w:rsidRPr="00070ED0">
              <w:rPr>
                <w:rFonts w:asciiTheme="minorHAnsi" w:hAnsiTheme="minorHAnsi" w:cs="Times New Roman"/>
                <w:b/>
                <w:sz w:val="20"/>
                <w:szCs w:val="20"/>
              </w:rPr>
              <w:t>.</w:t>
            </w:r>
            <w:r>
              <w:rPr>
                <w:rFonts w:asciiTheme="minorHAnsi" w:hAnsiTheme="minorHAnsi" w:cs="Times New Roman"/>
                <w:b/>
                <w:sz w:val="20"/>
                <w:szCs w:val="20"/>
              </w:rPr>
              <w:t>3</w:t>
            </w:r>
            <w:r w:rsidRPr="00070ED0">
              <w:rPr>
                <w:rFonts w:asciiTheme="minorHAnsi" w:hAnsiTheme="minorHAnsi" w:cs="Times New Roman"/>
                <w:b/>
                <w:sz w:val="20"/>
                <w:szCs w:val="20"/>
              </w:rPr>
              <w:t>)</w:t>
            </w:r>
          </w:p>
        </w:tc>
        <w:tc>
          <w:tcPr>
            <w:tcW w:w="1134" w:type="dxa"/>
            <w:tcBorders>
              <w:bottom w:val="single" w:sz="4" w:space="0" w:color="auto"/>
            </w:tcBorders>
            <w:shd w:val="clear" w:color="auto" w:fill="auto"/>
            <w:vAlign w:val="bottom"/>
          </w:tcPr>
          <w:p w14:paraId="216BD921"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(136.8)</w:t>
            </w:r>
          </w:p>
        </w:tc>
        <w:tc>
          <w:tcPr>
            <w:tcW w:w="1134" w:type="dxa"/>
            <w:tcBorders>
              <w:bottom w:val="single" w:sz="4" w:space="0" w:color="auto"/>
            </w:tcBorders>
            <w:shd w:val="clear" w:color="auto" w:fill="auto"/>
            <w:vAlign w:val="bottom"/>
          </w:tcPr>
          <w:p w14:paraId="41759152"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(165.6)</w:t>
            </w:r>
          </w:p>
        </w:tc>
        <w:tc>
          <w:tcPr>
            <w:tcW w:w="1134" w:type="dxa"/>
            <w:tcBorders>
              <w:bottom w:val="single" w:sz="4" w:space="0" w:color="auto"/>
            </w:tcBorders>
            <w:vAlign w:val="bottom"/>
          </w:tcPr>
          <w:p w14:paraId="5654C876"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(296.7)</w:t>
            </w:r>
          </w:p>
        </w:tc>
        <w:tc>
          <w:tcPr>
            <w:tcW w:w="1134" w:type="dxa"/>
            <w:tcBorders>
              <w:bottom w:val="single" w:sz="4" w:space="0" w:color="auto"/>
            </w:tcBorders>
            <w:shd w:val="clear" w:color="auto" w:fill="auto"/>
            <w:vAlign w:val="bottom"/>
          </w:tcPr>
          <w:p w14:paraId="0D9B3043"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(5</w:t>
            </w:r>
            <w:r>
              <w:rPr>
                <w:rFonts w:asciiTheme="minorHAnsi" w:hAnsiTheme="minorHAnsi" w:cs="Times New Roman"/>
                <w:b/>
                <w:sz w:val="20"/>
                <w:szCs w:val="20"/>
              </w:rPr>
              <w:t>5</w:t>
            </w:r>
            <w:r w:rsidRPr="00070ED0">
              <w:rPr>
                <w:rFonts w:asciiTheme="minorHAnsi" w:hAnsiTheme="minorHAnsi" w:cs="Times New Roman"/>
                <w:b/>
                <w:sz w:val="20"/>
                <w:szCs w:val="20"/>
              </w:rPr>
              <w:t>.</w:t>
            </w:r>
            <w:r>
              <w:rPr>
                <w:rFonts w:asciiTheme="minorHAnsi" w:hAnsiTheme="minorHAnsi" w:cs="Times New Roman"/>
                <w:b/>
                <w:sz w:val="20"/>
                <w:szCs w:val="20"/>
              </w:rPr>
              <w:t>0</w:t>
            </w:r>
            <w:r w:rsidRPr="00070ED0">
              <w:rPr>
                <w:rFonts w:asciiTheme="minorHAnsi" w:hAnsiTheme="minorHAnsi" w:cs="Times New Roman"/>
                <w:b/>
                <w:sz w:val="20"/>
                <w:szCs w:val="20"/>
              </w:rPr>
              <w:t>)</w:t>
            </w:r>
          </w:p>
        </w:tc>
        <w:tc>
          <w:tcPr>
            <w:tcW w:w="1134" w:type="dxa"/>
            <w:tcBorders>
              <w:bottom w:val="single" w:sz="4" w:space="0" w:color="auto"/>
            </w:tcBorders>
            <w:shd w:val="clear" w:color="auto" w:fill="auto"/>
            <w:vAlign w:val="bottom"/>
          </w:tcPr>
          <w:p w14:paraId="15972234"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(1,064.4)</w:t>
            </w:r>
          </w:p>
        </w:tc>
      </w:tr>
      <w:tr w:rsidR="00794AFD" w:rsidRPr="001C5950" w14:paraId="23CCDDE9" w14:textId="77777777" w:rsidTr="00794AFD">
        <w:tc>
          <w:tcPr>
            <w:tcW w:w="3294" w:type="dxa"/>
          </w:tcPr>
          <w:p w14:paraId="65A7B5EB" w14:textId="77777777" w:rsidR="00794AFD" w:rsidRPr="001C5950" w:rsidRDefault="00794AFD" w:rsidP="00794AFD">
            <w:pPr>
              <w:pStyle w:val="BodyText"/>
              <w:ind w:left="-74"/>
              <w:jc w:val="left"/>
              <w:rPr>
                <w:rFonts w:asciiTheme="minorHAnsi" w:hAnsiTheme="minorHAnsi" w:cs="Times New Roman"/>
                <w:sz w:val="20"/>
                <w:szCs w:val="20"/>
              </w:rPr>
            </w:pPr>
            <w:r>
              <w:rPr>
                <w:rFonts w:asciiTheme="minorHAnsi" w:hAnsiTheme="minorHAnsi" w:cs="Times New Roman"/>
                <w:sz w:val="20"/>
                <w:szCs w:val="20"/>
              </w:rPr>
              <w:t xml:space="preserve">Underlying </w:t>
            </w:r>
            <w:r w:rsidRPr="001C5950">
              <w:rPr>
                <w:rFonts w:asciiTheme="minorHAnsi" w:hAnsiTheme="minorHAnsi" w:cs="Times New Roman"/>
                <w:sz w:val="20"/>
                <w:szCs w:val="20"/>
              </w:rPr>
              <w:t xml:space="preserve">EBITDA </w:t>
            </w:r>
            <w:r w:rsidRPr="001C5950">
              <w:rPr>
                <w:rFonts w:asciiTheme="minorHAnsi" w:hAnsiTheme="minorHAnsi" w:cs="Times New Roman"/>
                <w:sz w:val="20"/>
                <w:szCs w:val="20"/>
                <w:vertAlign w:val="superscript"/>
              </w:rPr>
              <w:t>1</w:t>
            </w:r>
          </w:p>
        </w:tc>
        <w:tc>
          <w:tcPr>
            <w:tcW w:w="1134" w:type="dxa"/>
            <w:tcBorders>
              <w:top w:val="single" w:sz="4" w:space="0" w:color="auto"/>
            </w:tcBorders>
            <w:vAlign w:val="bottom"/>
          </w:tcPr>
          <w:p w14:paraId="6DFAD940"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3</w:t>
            </w:r>
            <w:r>
              <w:rPr>
                <w:rFonts w:asciiTheme="minorHAnsi" w:hAnsiTheme="minorHAnsi" w:cs="Times New Roman"/>
                <w:b/>
                <w:sz w:val="20"/>
                <w:szCs w:val="20"/>
              </w:rPr>
              <w:t>12</w:t>
            </w:r>
            <w:r w:rsidRPr="00070ED0">
              <w:rPr>
                <w:rFonts w:asciiTheme="minorHAnsi" w:hAnsiTheme="minorHAnsi" w:cs="Times New Roman"/>
                <w:b/>
                <w:sz w:val="20"/>
                <w:szCs w:val="20"/>
              </w:rPr>
              <w:t>.</w:t>
            </w:r>
            <w:r>
              <w:rPr>
                <w:rFonts w:asciiTheme="minorHAnsi" w:hAnsiTheme="minorHAnsi" w:cs="Times New Roman"/>
                <w:b/>
                <w:sz w:val="20"/>
                <w:szCs w:val="20"/>
              </w:rPr>
              <w:t>8</w:t>
            </w:r>
          </w:p>
        </w:tc>
        <w:tc>
          <w:tcPr>
            <w:tcW w:w="1134" w:type="dxa"/>
            <w:tcBorders>
              <w:top w:val="single" w:sz="4" w:space="0" w:color="auto"/>
            </w:tcBorders>
            <w:shd w:val="clear" w:color="auto" w:fill="auto"/>
            <w:vAlign w:val="bottom"/>
          </w:tcPr>
          <w:p w14:paraId="4B6D6722"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127.5</w:t>
            </w:r>
          </w:p>
        </w:tc>
        <w:tc>
          <w:tcPr>
            <w:tcW w:w="1134" w:type="dxa"/>
            <w:tcBorders>
              <w:top w:val="single" w:sz="4" w:space="0" w:color="auto"/>
            </w:tcBorders>
            <w:shd w:val="clear" w:color="auto" w:fill="auto"/>
            <w:vAlign w:val="bottom"/>
          </w:tcPr>
          <w:p w14:paraId="3F1A58FF"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76.3</w:t>
            </w:r>
          </w:p>
        </w:tc>
        <w:tc>
          <w:tcPr>
            <w:tcW w:w="1134" w:type="dxa"/>
            <w:tcBorders>
              <w:top w:val="single" w:sz="4" w:space="0" w:color="auto"/>
            </w:tcBorders>
            <w:vAlign w:val="bottom"/>
          </w:tcPr>
          <w:p w14:paraId="70D4F9B6"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(36.2)</w:t>
            </w:r>
          </w:p>
        </w:tc>
        <w:tc>
          <w:tcPr>
            <w:tcW w:w="1134" w:type="dxa"/>
            <w:tcBorders>
              <w:top w:val="single" w:sz="4" w:space="0" w:color="auto"/>
            </w:tcBorders>
            <w:shd w:val="clear" w:color="auto" w:fill="auto"/>
            <w:vAlign w:val="bottom"/>
          </w:tcPr>
          <w:p w14:paraId="357CBB78"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(5</w:t>
            </w:r>
            <w:r>
              <w:rPr>
                <w:rFonts w:asciiTheme="minorHAnsi" w:hAnsiTheme="minorHAnsi" w:cs="Times New Roman"/>
                <w:b/>
                <w:sz w:val="20"/>
                <w:szCs w:val="20"/>
              </w:rPr>
              <w:t>5</w:t>
            </w:r>
            <w:r w:rsidRPr="00070ED0">
              <w:rPr>
                <w:rFonts w:asciiTheme="minorHAnsi" w:hAnsiTheme="minorHAnsi" w:cs="Times New Roman"/>
                <w:b/>
                <w:sz w:val="20"/>
                <w:szCs w:val="20"/>
              </w:rPr>
              <w:t>.</w:t>
            </w:r>
            <w:r>
              <w:rPr>
                <w:rFonts w:asciiTheme="minorHAnsi" w:hAnsiTheme="minorHAnsi" w:cs="Times New Roman"/>
                <w:b/>
                <w:sz w:val="20"/>
                <w:szCs w:val="20"/>
              </w:rPr>
              <w:t>0</w:t>
            </w:r>
            <w:r w:rsidRPr="00070ED0">
              <w:rPr>
                <w:rFonts w:asciiTheme="minorHAnsi" w:hAnsiTheme="minorHAnsi" w:cs="Times New Roman"/>
                <w:b/>
                <w:sz w:val="20"/>
                <w:szCs w:val="20"/>
              </w:rPr>
              <w:t>)</w:t>
            </w:r>
          </w:p>
        </w:tc>
        <w:tc>
          <w:tcPr>
            <w:tcW w:w="1134" w:type="dxa"/>
            <w:tcBorders>
              <w:top w:val="single" w:sz="4" w:space="0" w:color="auto"/>
            </w:tcBorders>
            <w:shd w:val="clear" w:color="auto" w:fill="auto"/>
            <w:vAlign w:val="bottom"/>
          </w:tcPr>
          <w:p w14:paraId="0D30CA48"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425.4</w:t>
            </w:r>
          </w:p>
        </w:tc>
      </w:tr>
      <w:tr w:rsidR="00794AFD" w:rsidRPr="001C5950" w14:paraId="7B8D73F4" w14:textId="77777777" w:rsidTr="00794AFD">
        <w:tc>
          <w:tcPr>
            <w:tcW w:w="3294" w:type="dxa"/>
            <w:tcBorders>
              <w:bottom w:val="single" w:sz="4" w:space="0" w:color="auto"/>
            </w:tcBorders>
          </w:tcPr>
          <w:p w14:paraId="0569FE80" w14:textId="77777777" w:rsidR="00794AFD" w:rsidRPr="001C5950" w:rsidRDefault="00794AFD" w:rsidP="00794AFD">
            <w:pPr>
              <w:pStyle w:val="BodyText"/>
              <w:ind w:left="-74"/>
              <w:jc w:val="left"/>
              <w:rPr>
                <w:rFonts w:asciiTheme="minorHAnsi" w:hAnsiTheme="minorHAnsi" w:cs="Times New Roman"/>
                <w:b/>
                <w:sz w:val="20"/>
                <w:szCs w:val="20"/>
              </w:rPr>
            </w:pPr>
            <w:r w:rsidRPr="001C5950">
              <w:rPr>
                <w:rFonts w:asciiTheme="minorHAnsi" w:hAnsiTheme="minorHAnsi" w:cs="Times New Roman"/>
                <w:sz w:val="20"/>
                <w:szCs w:val="20"/>
              </w:rPr>
              <w:t>Depreciation and amortisation</w:t>
            </w:r>
          </w:p>
        </w:tc>
        <w:tc>
          <w:tcPr>
            <w:tcW w:w="1134" w:type="dxa"/>
            <w:tcBorders>
              <w:bottom w:val="single" w:sz="4" w:space="0" w:color="auto"/>
            </w:tcBorders>
            <w:vAlign w:val="bottom"/>
          </w:tcPr>
          <w:p w14:paraId="4E553995"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(49.9)</w:t>
            </w:r>
          </w:p>
        </w:tc>
        <w:tc>
          <w:tcPr>
            <w:tcW w:w="1134" w:type="dxa"/>
            <w:tcBorders>
              <w:bottom w:val="single" w:sz="4" w:space="0" w:color="auto"/>
            </w:tcBorders>
            <w:shd w:val="clear" w:color="auto" w:fill="auto"/>
            <w:vAlign w:val="bottom"/>
          </w:tcPr>
          <w:p w14:paraId="368EF51A"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(23.8)</w:t>
            </w:r>
          </w:p>
        </w:tc>
        <w:tc>
          <w:tcPr>
            <w:tcW w:w="1134" w:type="dxa"/>
            <w:tcBorders>
              <w:bottom w:val="single" w:sz="4" w:space="0" w:color="auto"/>
            </w:tcBorders>
            <w:shd w:val="clear" w:color="auto" w:fill="auto"/>
            <w:vAlign w:val="bottom"/>
          </w:tcPr>
          <w:p w14:paraId="255DB678"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(43.0)</w:t>
            </w:r>
          </w:p>
        </w:tc>
        <w:tc>
          <w:tcPr>
            <w:tcW w:w="1134" w:type="dxa"/>
            <w:tcBorders>
              <w:bottom w:val="single" w:sz="4" w:space="0" w:color="auto"/>
            </w:tcBorders>
            <w:vAlign w:val="bottom"/>
          </w:tcPr>
          <w:p w14:paraId="172DF323"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(23.8)</w:t>
            </w:r>
          </w:p>
        </w:tc>
        <w:tc>
          <w:tcPr>
            <w:tcW w:w="1134" w:type="dxa"/>
            <w:tcBorders>
              <w:bottom w:val="single" w:sz="4" w:space="0" w:color="auto"/>
            </w:tcBorders>
            <w:shd w:val="clear" w:color="auto" w:fill="auto"/>
            <w:vAlign w:val="bottom"/>
          </w:tcPr>
          <w:p w14:paraId="58D53B83"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(4.3)</w:t>
            </w:r>
          </w:p>
        </w:tc>
        <w:tc>
          <w:tcPr>
            <w:tcW w:w="1134" w:type="dxa"/>
            <w:tcBorders>
              <w:bottom w:val="single" w:sz="4" w:space="0" w:color="auto"/>
            </w:tcBorders>
            <w:shd w:val="clear" w:color="auto" w:fill="auto"/>
            <w:vAlign w:val="bottom"/>
          </w:tcPr>
          <w:p w14:paraId="0758FA78"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(144.8)</w:t>
            </w:r>
          </w:p>
        </w:tc>
      </w:tr>
      <w:tr w:rsidR="00794AFD" w:rsidRPr="001C5950" w14:paraId="302C0D30" w14:textId="77777777" w:rsidTr="00794AFD">
        <w:trPr>
          <w:trHeight w:val="148"/>
        </w:trPr>
        <w:tc>
          <w:tcPr>
            <w:tcW w:w="3294" w:type="dxa"/>
            <w:tcBorders>
              <w:top w:val="single" w:sz="4" w:space="0" w:color="auto"/>
            </w:tcBorders>
          </w:tcPr>
          <w:p w14:paraId="7CA657D7" w14:textId="77777777" w:rsidR="00794AFD" w:rsidRPr="001C5950" w:rsidRDefault="00794AFD" w:rsidP="00794AFD">
            <w:pPr>
              <w:pStyle w:val="BodyText"/>
              <w:ind w:left="-74"/>
              <w:jc w:val="left"/>
              <w:rPr>
                <w:rFonts w:asciiTheme="minorHAnsi" w:hAnsiTheme="minorHAnsi" w:cs="Times New Roman"/>
                <w:b/>
                <w:sz w:val="20"/>
                <w:szCs w:val="20"/>
              </w:rPr>
            </w:pPr>
            <w:r w:rsidRPr="001C5950">
              <w:rPr>
                <w:rFonts w:asciiTheme="minorHAnsi" w:hAnsiTheme="minorHAnsi" w:cs="Times New Roman"/>
                <w:sz w:val="20"/>
                <w:szCs w:val="20"/>
              </w:rPr>
              <w:t>Reportable segment profit / (loss) before separately disclosed items</w:t>
            </w:r>
          </w:p>
        </w:tc>
        <w:tc>
          <w:tcPr>
            <w:tcW w:w="1134" w:type="dxa"/>
            <w:tcBorders>
              <w:top w:val="single" w:sz="4" w:space="0" w:color="auto"/>
            </w:tcBorders>
            <w:shd w:val="clear" w:color="auto" w:fill="auto"/>
            <w:vAlign w:val="bottom"/>
          </w:tcPr>
          <w:p w14:paraId="1484CB38"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2</w:t>
            </w:r>
            <w:r>
              <w:rPr>
                <w:rFonts w:asciiTheme="minorHAnsi" w:hAnsiTheme="minorHAnsi" w:cs="Times New Roman"/>
                <w:b/>
                <w:sz w:val="20"/>
                <w:szCs w:val="20"/>
              </w:rPr>
              <w:t>62</w:t>
            </w:r>
            <w:r w:rsidRPr="00070ED0">
              <w:rPr>
                <w:rFonts w:asciiTheme="minorHAnsi" w:hAnsiTheme="minorHAnsi" w:cs="Times New Roman"/>
                <w:b/>
                <w:sz w:val="20"/>
                <w:szCs w:val="20"/>
              </w:rPr>
              <w:t>.</w:t>
            </w:r>
            <w:r>
              <w:rPr>
                <w:rFonts w:asciiTheme="minorHAnsi" w:hAnsiTheme="minorHAnsi" w:cs="Times New Roman"/>
                <w:b/>
                <w:sz w:val="20"/>
                <w:szCs w:val="20"/>
              </w:rPr>
              <w:t>9</w:t>
            </w:r>
          </w:p>
        </w:tc>
        <w:tc>
          <w:tcPr>
            <w:tcW w:w="1134" w:type="dxa"/>
            <w:tcBorders>
              <w:top w:val="single" w:sz="4" w:space="0" w:color="auto"/>
            </w:tcBorders>
            <w:shd w:val="clear" w:color="auto" w:fill="auto"/>
            <w:vAlign w:val="bottom"/>
          </w:tcPr>
          <w:p w14:paraId="4574DD6A"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103.7</w:t>
            </w:r>
          </w:p>
        </w:tc>
        <w:tc>
          <w:tcPr>
            <w:tcW w:w="1134" w:type="dxa"/>
            <w:tcBorders>
              <w:top w:val="single" w:sz="4" w:space="0" w:color="auto"/>
            </w:tcBorders>
            <w:shd w:val="clear" w:color="auto" w:fill="auto"/>
            <w:vAlign w:val="bottom"/>
          </w:tcPr>
          <w:p w14:paraId="2F5EFC95"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33.3</w:t>
            </w:r>
          </w:p>
        </w:tc>
        <w:tc>
          <w:tcPr>
            <w:tcW w:w="1134" w:type="dxa"/>
            <w:tcBorders>
              <w:top w:val="single" w:sz="4" w:space="0" w:color="auto"/>
            </w:tcBorders>
            <w:shd w:val="clear" w:color="auto" w:fill="auto"/>
            <w:vAlign w:val="bottom"/>
          </w:tcPr>
          <w:p w14:paraId="6A0CA822"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(60.0)</w:t>
            </w:r>
          </w:p>
        </w:tc>
        <w:tc>
          <w:tcPr>
            <w:tcW w:w="1134" w:type="dxa"/>
            <w:tcBorders>
              <w:top w:val="single" w:sz="4" w:space="0" w:color="auto"/>
            </w:tcBorders>
            <w:shd w:val="clear" w:color="auto" w:fill="auto"/>
            <w:vAlign w:val="bottom"/>
          </w:tcPr>
          <w:p w14:paraId="029B0F8D"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(5</w:t>
            </w:r>
            <w:r>
              <w:rPr>
                <w:rFonts w:asciiTheme="minorHAnsi" w:hAnsiTheme="minorHAnsi" w:cs="Times New Roman"/>
                <w:b/>
                <w:sz w:val="20"/>
                <w:szCs w:val="20"/>
              </w:rPr>
              <w:t>9</w:t>
            </w:r>
            <w:r w:rsidRPr="00070ED0">
              <w:rPr>
                <w:rFonts w:asciiTheme="minorHAnsi" w:hAnsiTheme="minorHAnsi" w:cs="Times New Roman"/>
                <w:b/>
                <w:sz w:val="20"/>
                <w:szCs w:val="20"/>
              </w:rPr>
              <w:t>.</w:t>
            </w:r>
            <w:r>
              <w:rPr>
                <w:rFonts w:asciiTheme="minorHAnsi" w:hAnsiTheme="minorHAnsi" w:cs="Times New Roman"/>
                <w:b/>
                <w:sz w:val="20"/>
                <w:szCs w:val="20"/>
              </w:rPr>
              <w:t>3</w:t>
            </w:r>
            <w:r w:rsidRPr="00070ED0">
              <w:rPr>
                <w:rFonts w:asciiTheme="minorHAnsi" w:hAnsiTheme="minorHAnsi" w:cs="Times New Roman"/>
                <w:b/>
                <w:sz w:val="20"/>
                <w:szCs w:val="20"/>
              </w:rPr>
              <w:t>)</w:t>
            </w:r>
          </w:p>
        </w:tc>
        <w:tc>
          <w:tcPr>
            <w:tcW w:w="1134" w:type="dxa"/>
            <w:tcBorders>
              <w:top w:val="single" w:sz="4" w:space="0" w:color="auto"/>
            </w:tcBorders>
            <w:shd w:val="clear" w:color="auto" w:fill="auto"/>
            <w:vAlign w:val="bottom"/>
          </w:tcPr>
          <w:p w14:paraId="11B0369E"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280.6</w:t>
            </w:r>
          </w:p>
        </w:tc>
      </w:tr>
      <w:tr w:rsidR="00794AFD" w:rsidRPr="001C5950" w14:paraId="564CE104" w14:textId="77777777" w:rsidTr="00794AFD">
        <w:trPr>
          <w:trHeight w:val="148"/>
        </w:trPr>
        <w:tc>
          <w:tcPr>
            <w:tcW w:w="3294" w:type="dxa"/>
          </w:tcPr>
          <w:p w14:paraId="2502C75A" w14:textId="77777777" w:rsidR="00794AFD" w:rsidRPr="001C5950" w:rsidRDefault="00794AFD" w:rsidP="00794AFD">
            <w:pPr>
              <w:pStyle w:val="BodyText"/>
              <w:ind w:left="-74"/>
              <w:jc w:val="left"/>
              <w:rPr>
                <w:rFonts w:asciiTheme="minorHAnsi" w:hAnsiTheme="minorHAnsi" w:cs="Times New Roman"/>
                <w:sz w:val="20"/>
                <w:szCs w:val="20"/>
              </w:rPr>
            </w:pPr>
            <w:r w:rsidRPr="001C5950">
              <w:rPr>
                <w:rFonts w:asciiTheme="minorHAnsi" w:hAnsiTheme="minorHAnsi" w:cs="Times New Roman"/>
                <w:sz w:val="20"/>
                <w:szCs w:val="20"/>
              </w:rPr>
              <w:t>Amortisation of acquisition related intangible assets (Note 4)</w:t>
            </w:r>
          </w:p>
        </w:tc>
        <w:tc>
          <w:tcPr>
            <w:tcW w:w="1134" w:type="dxa"/>
            <w:vAlign w:val="bottom"/>
          </w:tcPr>
          <w:p w14:paraId="76A68429"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(7</w:t>
            </w:r>
            <w:r>
              <w:rPr>
                <w:rFonts w:asciiTheme="minorHAnsi" w:hAnsiTheme="minorHAnsi" w:cs="Times New Roman"/>
                <w:b/>
                <w:sz w:val="20"/>
                <w:szCs w:val="20"/>
              </w:rPr>
              <w:t>7</w:t>
            </w:r>
            <w:r w:rsidRPr="00070ED0">
              <w:rPr>
                <w:rFonts w:asciiTheme="minorHAnsi" w:hAnsiTheme="minorHAnsi" w:cs="Times New Roman"/>
                <w:b/>
                <w:sz w:val="20"/>
                <w:szCs w:val="20"/>
              </w:rPr>
              <w:t>.2)</w:t>
            </w:r>
          </w:p>
        </w:tc>
        <w:tc>
          <w:tcPr>
            <w:tcW w:w="1134" w:type="dxa"/>
            <w:shd w:val="clear" w:color="auto" w:fill="auto"/>
            <w:vAlign w:val="bottom"/>
          </w:tcPr>
          <w:p w14:paraId="6D290922"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w:t>
            </w:r>
          </w:p>
        </w:tc>
        <w:tc>
          <w:tcPr>
            <w:tcW w:w="1134" w:type="dxa"/>
            <w:shd w:val="clear" w:color="auto" w:fill="auto"/>
            <w:vAlign w:val="bottom"/>
          </w:tcPr>
          <w:p w14:paraId="5A506173"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w:t>
            </w:r>
          </w:p>
        </w:tc>
        <w:tc>
          <w:tcPr>
            <w:tcW w:w="1134" w:type="dxa"/>
            <w:vAlign w:val="bottom"/>
          </w:tcPr>
          <w:p w14:paraId="58B75B9B"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(35.9)</w:t>
            </w:r>
          </w:p>
        </w:tc>
        <w:tc>
          <w:tcPr>
            <w:tcW w:w="1134" w:type="dxa"/>
            <w:shd w:val="clear" w:color="auto" w:fill="auto"/>
            <w:vAlign w:val="bottom"/>
          </w:tcPr>
          <w:p w14:paraId="0D42398E"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w:t>
            </w:r>
          </w:p>
        </w:tc>
        <w:tc>
          <w:tcPr>
            <w:tcW w:w="1134" w:type="dxa"/>
            <w:shd w:val="clear" w:color="auto" w:fill="auto"/>
            <w:vAlign w:val="bottom"/>
          </w:tcPr>
          <w:p w14:paraId="40A6B3CF" w14:textId="77777777" w:rsidR="00794AFD" w:rsidRPr="00070ED0" w:rsidRDefault="00794AFD" w:rsidP="00794AFD">
            <w:pPr>
              <w:pStyle w:val="BodyText"/>
              <w:ind w:left="-74"/>
              <w:jc w:val="right"/>
              <w:rPr>
                <w:rFonts w:asciiTheme="minorHAnsi" w:hAnsiTheme="minorHAnsi" w:cs="Times New Roman"/>
                <w:b/>
                <w:sz w:val="20"/>
                <w:szCs w:val="20"/>
              </w:rPr>
            </w:pPr>
            <w:r w:rsidRPr="00070ED0">
              <w:rPr>
                <w:rFonts w:asciiTheme="minorHAnsi" w:hAnsiTheme="minorHAnsi" w:cs="Times New Roman"/>
                <w:b/>
                <w:sz w:val="20"/>
                <w:szCs w:val="20"/>
              </w:rPr>
              <w:t>(113.1)</w:t>
            </w:r>
          </w:p>
        </w:tc>
      </w:tr>
      <w:tr w:rsidR="00794AFD" w:rsidRPr="001C5950" w14:paraId="53F02626" w14:textId="77777777" w:rsidTr="00794AFD">
        <w:trPr>
          <w:trHeight w:val="148"/>
        </w:trPr>
        <w:tc>
          <w:tcPr>
            <w:tcW w:w="3294" w:type="dxa"/>
            <w:tcBorders>
              <w:top w:val="single" w:sz="4" w:space="0" w:color="auto"/>
            </w:tcBorders>
          </w:tcPr>
          <w:p w14:paraId="5E6147F8" w14:textId="77777777" w:rsidR="00794AFD" w:rsidRPr="001C5950" w:rsidRDefault="00794AFD" w:rsidP="00794AFD">
            <w:pPr>
              <w:pStyle w:val="BodyText"/>
              <w:ind w:left="-74"/>
              <w:jc w:val="left"/>
              <w:rPr>
                <w:rFonts w:asciiTheme="minorHAnsi" w:hAnsiTheme="minorHAnsi" w:cs="Times New Roman"/>
                <w:sz w:val="20"/>
                <w:szCs w:val="20"/>
              </w:rPr>
            </w:pPr>
            <w:r w:rsidRPr="001C5950">
              <w:rPr>
                <w:rFonts w:asciiTheme="minorHAnsi" w:hAnsiTheme="minorHAnsi" w:cs="Times New Roman"/>
                <w:sz w:val="20"/>
                <w:szCs w:val="20"/>
              </w:rPr>
              <w:t xml:space="preserve">Reportable segment profit / (loss) after amortisation of acquisition related intangible assets </w:t>
            </w:r>
          </w:p>
        </w:tc>
        <w:tc>
          <w:tcPr>
            <w:tcW w:w="1134" w:type="dxa"/>
            <w:tcBorders>
              <w:top w:val="single" w:sz="4" w:space="0" w:color="auto"/>
            </w:tcBorders>
            <w:vAlign w:val="bottom"/>
          </w:tcPr>
          <w:p w14:paraId="5512D60D" w14:textId="77777777" w:rsidR="00794AFD" w:rsidRPr="00070ED0" w:rsidRDefault="00794AFD" w:rsidP="00794AFD">
            <w:pPr>
              <w:pStyle w:val="BodyText"/>
              <w:jc w:val="right"/>
              <w:rPr>
                <w:rFonts w:asciiTheme="minorHAnsi" w:hAnsiTheme="minorHAnsi" w:cs="Times New Roman"/>
                <w:b/>
                <w:sz w:val="20"/>
                <w:szCs w:val="20"/>
              </w:rPr>
            </w:pPr>
            <w:r w:rsidRPr="00070ED0">
              <w:rPr>
                <w:rFonts w:asciiTheme="minorHAnsi" w:hAnsiTheme="minorHAnsi" w:cs="Times New Roman"/>
                <w:b/>
                <w:sz w:val="20"/>
                <w:szCs w:val="20"/>
              </w:rPr>
              <w:t>18</w:t>
            </w:r>
            <w:r>
              <w:rPr>
                <w:rFonts w:asciiTheme="minorHAnsi" w:hAnsiTheme="minorHAnsi" w:cs="Times New Roman"/>
                <w:b/>
                <w:sz w:val="20"/>
                <w:szCs w:val="20"/>
              </w:rPr>
              <w:t>5</w:t>
            </w:r>
            <w:r w:rsidRPr="00070ED0">
              <w:rPr>
                <w:rFonts w:asciiTheme="minorHAnsi" w:hAnsiTheme="minorHAnsi" w:cs="Times New Roman"/>
                <w:b/>
                <w:sz w:val="20"/>
                <w:szCs w:val="20"/>
              </w:rPr>
              <w:t>.</w:t>
            </w:r>
            <w:r>
              <w:rPr>
                <w:rFonts w:asciiTheme="minorHAnsi" w:hAnsiTheme="minorHAnsi" w:cs="Times New Roman"/>
                <w:b/>
                <w:sz w:val="20"/>
                <w:szCs w:val="20"/>
              </w:rPr>
              <w:t>7</w:t>
            </w:r>
          </w:p>
        </w:tc>
        <w:tc>
          <w:tcPr>
            <w:tcW w:w="1134" w:type="dxa"/>
            <w:tcBorders>
              <w:top w:val="single" w:sz="4" w:space="0" w:color="auto"/>
            </w:tcBorders>
            <w:shd w:val="clear" w:color="auto" w:fill="auto"/>
            <w:vAlign w:val="bottom"/>
          </w:tcPr>
          <w:p w14:paraId="4EAA8C36" w14:textId="77777777" w:rsidR="00794AFD" w:rsidRPr="00070ED0" w:rsidRDefault="00794AFD" w:rsidP="00794AFD">
            <w:pPr>
              <w:pStyle w:val="BodyText"/>
              <w:jc w:val="right"/>
              <w:rPr>
                <w:rFonts w:asciiTheme="minorHAnsi" w:hAnsiTheme="minorHAnsi" w:cs="Times New Roman"/>
                <w:b/>
                <w:sz w:val="20"/>
                <w:szCs w:val="20"/>
              </w:rPr>
            </w:pPr>
            <w:r w:rsidRPr="00070ED0">
              <w:rPr>
                <w:rFonts w:asciiTheme="minorHAnsi" w:hAnsiTheme="minorHAnsi" w:cs="Times New Roman"/>
                <w:b/>
                <w:sz w:val="20"/>
                <w:szCs w:val="20"/>
              </w:rPr>
              <w:t>103.7</w:t>
            </w:r>
          </w:p>
        </w:tc>
        <w:tc>
          <w:tcPr>
            <w:tcW w:w="1134" w:type="dxa"/>
            <w:tcBorders>
              <w:top w:val="single" w:sz="4" w:space="0" w:color="auto"/>
            </w:tcBorders>
            <w:shd w:val="clear" w:color="auto" w:fill="auto"/>
            <w:vAlign w:val="bottom"/>
          </w:tcPr>
          <w:p w14:paraId="7FD1C523" w14:textId="77777777" w:rsidR="00794AFD" w:rsidRPr="00070ED0" w:rsidRDefault="00794AFD" w:rsidP="00794AFD">
            <w:pPr>
              <w:pStyle w:val="BodyText"/>
              <w:jc w:val="right"/>
              <w:rPr>
                <w:rFonts w:asciiTheme="minorHAnsi" w:hAnsiTheme="minorHAnsi" w:cs="Times New Roman"/>
                <w:b/>
                <w:sz w:val="20"/>
                <w:szCs w:val="20"/>
              </w:rPr>
            </w:pPr>
            <w:r w:rsidRPr="00070ED0">
              <w:rPr>
                <w:rFonts w:asciiTheme="minorHAnsi" w:hAnsiTheme="minorHAnsi" w:cs="Times New Roman"/>
                <w:b/>
                <w:sz w:val="20"/>
                <w:szCs w:val="20"/>
              </w:rPr>
              <w:t>33.3</w:t>
            </w:r>
          </w:p>
        </w:tc>
        <w:tc>
          <w:tcPr>
            <w:tcW w:w="1134" w:type="dxa"/>
            <w:tcBorders>
              <w:top w:val="single" w:sz="4" w:space="0" w:color="auto"/>
            </w:tcBorders>
            <w:vAlign w:val="bottom"/>
          </w:tcPr>
          <w:p w14:paraId="2D84C188" w14:textId="77777777" w:rsidR="00794AFD" w:rsidRPr="00070ED0" w:rsidRDefault="00794AFD" w:rsidP="00794AFD">
            <w:pPr>
              <w:pStyle w:val="BodyText"/>
              <w:jc w:val="right"/>
              <w:rPr>
                <w:rFonts w:asciiTheme="minorHAnsi" w:hAnsiTheme="minorHAnsi" w:cs="Times New Roman"/>
                <w:b/>
                <w:sz w:val="20"/>
                <w:szCs w:val="20"/>
              </w:rPr>
            </w:pPr>
            <w:r w:rsidRPr="00070ED0">
              <w:rPr>
                <w:rFonts w:asciiTheme="minorHAnsi" w:hAnsiTheme="minorHAnsi" w:cs="Times New Roman"/>
                <w:b/>
                <w:sz w:val="20"/>
                <w:szCs w:val="20"/>
              </w:rPr>
              <w:t>(95.9)</w:t>
            </w:r>
          </w:p>
        </w:tc>
        <w:tc>
          <w:tcPr>
            <w:tcW w:w="1134" w:type="dxa"/>
            <w:tcBorders>
              <w:top w:val="single" w:sz="4" w:space="0" w:color="auto"/>
            </w:tcBorders>
            <w:shd w:val="clear" w:color="auto" w:fill="auto"/>
            <w:vAlign w:val="bottom"/>
          </w:tcPr>
          <w:p w14:paraId="590154F2" w14:textId="77777777" w:rsidR="00794AFD" w:rsidRPr="00070ED0" w:rsidRDefault="00794AFD" w:rsidP="00794AFD">
            <w:pPr>
              <w:pStyle w:val="BodyText"/>
              <w:jc w:val="right"/>
              <w:rPr>
                <w:rFonts w:asciiTheme="minorHAnsi" w:hAnsiTheme="minorHAnsi" w:cs="Times New Roman"/>
                <w:b/>
                <w:sz w:val="20"/>
                <w:szCs w:val="20"/>
              </w:rPr>
            </w:pPr>
            <w:r w:rsidRPr="00070ED0">
              <w:rPr>
                <w:rFonts w:asciiTheme="minorHAnsi" w:hAnsiTheme="minorHAnsi" w:cs="Times New Roman"/>
                <w:b/>
                <w:sz w:val="20"/>
                <w:szCs w:val="20"/>
              </w:rPr>
              <w:t>(5</w:t>
            </w:r>
            <w:r>
              <w:rPr>
                <w:rFonts w:asciiTheme="minorHAnsi" w:hAnsiTheme="minorHAnsi" w:cs="Times New Roman"/>
                <w:b/>
                <w:sz w:val="20"/>
                <w:szCs w:val="20"/>
              </w:rPr>
              <w:t>9</w:t>
            </w:r>
            <w:r w:rsidRPr="00070ED0">
              <w:rPr>
                <w:rFonts w:asciiTheme="minorHAnsi" w:hAnsiTheme="minorHAnsi" w:cs="Times New Roman"/>
                <w:b/>
                <w:sz w:val="20"/>
                <w:szCs w:val="20"/>
              </w:rPr>
              <w:t>.</w:t>
            </w:r>
            <w:r>
              <w:rPr>
                <w:rFonts w:asciiTheme="minorHAnsi" w:hAnsiTheme="minorHAnsi" w:cs="Times New Roman"/>
                <w:b/>
                <w:sz w:val="20"/>
                <w:szCs w:val="20"/>
              </w:rPr>
              <w:t>3</w:t>
            </w:r>
            <w:r w:rsidRPr="00070ED0">
              <w:rPr>
                <w:rFonts w:asciiTheme="minorHAnsi" w:hAnsiTheme="minorHAnsi" w:cs="Times New Roman"/>
                <w:b/>
                <w:sz w:val="20"/>
                <w:szCs w:val="20"/>
              </w:rPr>
              <w:t>)</w:t>
            </w:r>
          </w:p>
        </w:tc>
        <w:tc>
          <w:tcPr>
            <w:tcW w:w="1134" w:type="dxa"/>
            <w:tcBorders>
              <w:top w:val="single" w:sz="4" w:space="0" w:color="auto"/>
            </w:tcBorders>
            <w:shd w:val="clear" w:color="auto" w:fill="auto"/>
            <w:vAlign w:val="bottom"/>
          </w:tcPr>
          <w:p w14:paraId="2324C040" w14:textId="77777777" w:rsidR="00794AFD" w:rsidRPr="00070ED0" w:rsidRDefault="00794AFD" w:rsidP="00794AFD">
            <w:pPr>
              <w:pStyle w:val="BodyText"/>
              <w:jc w:val="right"/>
              <w:rPr>
                <w:rFonts w:asciiTheme="minorHAnsi" w:hAnsiTheme="minorHAnsi" w:cs="Times New Roman"/>
                <w:b/>
                <w:sz w:val="20"/>
                <w:szCs w:val="20"/>
              </w:rPr>
            </w:pPr>
            <w:r w:rsidRPr="00070ED0">
              <w:rPr>
                <w:rFonts w:asciiTheme="minorHAnsi" w:hAnsiTheme="minorHAnsi" w:cs="Times New Roman"/>
                <w:b/>
                <w:sz w:val="20"/>
                <w:szCs w:val="20"/>
              </w:rPr>
              <w:t>167.5</w:t>
            </w:r>
          </w:p>
        </w:tc>
      </w:tr>
      <w:tr w:rsidR="00794AFD" w:rsidRPr="001C5950" w14:paraId="5688FD68" w14:textId="77777777" w:rsidTr="00794AFD">
        <w:trPr>
          <w:trHeight w:val="148"/>
        </w:trPr>
        <w:tc>
          <w:tcPr>
            <w:tcW w:w="3294" w:type="dxa"/>
            <w:tcBorders>
              <w:top w:val="single" w:sz="4" w:space="0" w:color="auto"/>
            </w:tcBorders>
          </w:tcPr>
          <w:p w14:paraId="3EF463E9" w14:textId="77777777" w:rsidR="00794AFD" w:rsidRPr="001C5950" w:rsidRDefault="00794AFD" w:rsidP="00794AFD">
            <w:pPr>
              <w:pStyle w:val="BodyText"/>
              <w:ind w:left="-74"/>
              <w:jc w:val="left"/>
              <w:rPr>
                <w:rFonts w:asciiTheme="minorHAnsi" w:hAnsiTheme="minorHAnsi" w:cs="Times New Roman"/>
                <w:sz w:val="20"/>
                <w:szCs w:val="20"/>
              </w:rPr>
            </w:pPr>
            <w:r>
              <w:rPr>
                <w:rFonts w:asciiTheme="minorHAnsi" w:hAnsiTheme="minorHAnsi" w:cs="Times New Roman"/>
                <w:sz w:val="20"/>
                <w:szCs w:val="20"/>
              </w:rPr>
              <w:t>Transaction fees</w:t>
            </w:r>
            <w:r w:rsidRPr="001C5950">
              <w:rPr>
                <w:rFonts w:asciiTheme="minorHAnsi" w:hAnsiTheme="minorHAnsi" w:cs="Times New Roman"/>
                <w:sz w:val="20"/>
                <w:szCs w:val="20"/>
              </w:rPr>
              <w:t xml:space="preserve"> </w:t>
            </w:r>
            <w:r w:rsidRPr="001C5950">
              <w:rPr>
                <w:rFonts w:asciiTheme="minorHAnsi" w:hAnsiTheme="minorHAnsi" w:cs="Times New Roman"/>
                <w:sz w:val="20"/>
                <w:szCs w:val="20"/>
                <w:vertAlign w:val="superscript"/>
              </w:rPr>
              <w:t>2</w:t>
            </w:r>
            <w:r w:rsidRPr="001C5950">
              <w:rPr>
                <w:rFonts w:asciiTheme="minorHAnsi" w:hAnsiTheme="minorHAnsi" w:cs="Times New Roman"/>
                <w:sz w:val="20"/>
                <w:szCs w:val="20"/>
              </w:rPr>
              <w:t xml:space="preserve"> (Note 4)</w:t>
            </w:r>
          </w:p>
        </w:tc>
        <w:tc>
          <w:tcPr>
            <w:tcW w:w="1134" w:type="dxa"/>
            <w:tcBorders>
              <w:top w:val="single" w:sz="4" w:space="0" w:color="auto"/>
            </w:tcBorders>
            <w:vAlign w:val="bottom"/>
          </w:tcPr>
          <w:p w14:paraId="40A9AEE5" w14:textId="77777777" w:rsidR="00794AFD" w:rsidRPr="00070ED0" w:rsidRDefault="00794AFD" w:rsidP="00794AFD">
            <w:pPr>
              <w:pStyle w:val="BodyText"/>
              <w:jc w:val="right"/>
              <w:rPr>
                <w:rFonts w:asciiTheme="minorHAnsi" w:hAnsiTheme="minorHAnsi" w:cs="Times New Roman"/>
                <w:b/>
                <w:sz w:val="20"/>
                <w:szCs w:val="20"/>
              </w:rPr>
            </w:pPr>
          </w:p>
        </w:tc>
        <w:tc>
          <w:tcPr>
            <w:tcW w:w="1134" w:type="dxa"/>
            <w:tcBorders>
              <w:top w:val="single" w:sz="4" w:space="0" w:color="auto"/>
            </w:tcBorders>
            <w:shd w:val="clear" w:color="auto" w:fill="auto"/>
            <w:vAlign w:val="bottom"/>
          </w:tcPr>
          <w:p w14:paraId="48A76B72" w14:textId="77777777" w:rsidR="00794AFD" w:rsidRPr="00070ED0" w:rsidRDefault="00794AFD" w:rsidP="00794AFD">
            <w:pPr>
              <w:pStyle w:val="BodyText"/>
              <w:jc w:val="right"/>
              <w:rPr>
                <w:rFonts w:asciiTheme="minorHAnsi" w:hAnsiTheme="minorHAnsi" w:cs="Times New Roman"/>
                <w:b/>
                <w:sz w:val="20"/>
                <w:szCs w:val="20"/>
              </w:rPr>
            </w:pPr>
          </w:p>
        </w:tc>
        <w:tc>
          <w:tcPr>
            <w:tcW w:w="1134" w:type="dxa"/>
            <w:tcBorders>
              <w:top w:val="single" w:sz="4" w:space="0" w:color="auto"/>
            </w:tcBorders>
            <w:shd w:val="clear" w:color="auto" w:fill="auto"/>
            <w:vAlign w:val="bottom"/>
          </w:tcPr>
          <w:p w14:paraId="59D1CF9A" w14:textId="77777777" w:rsidR="00794AFD" w:rsidRPr="00070ED0" w:rsidRDefault="00794AFD" w:rsidP="00794AFD">
            <w:pPr>
              <w:pStyle w:val="BodyText"/>
              <w:jc w:val="right"/>
              <w:rPr>
                <w:rFonts w:asciiTheme="minorHAnsi" w:hAnsiTheme="minorHAnsi" w:cs="Times New Roman"/>
                <w:b/>
                <w:sz w:val="20"/>
                <w:szCs w:val="20"/>
              </w:rPr>
            </w:pPr>
          </w:p>
        </w:tc>
        <w:tc>
          <w:tcPr>
            <w:tcW w:w="1134" w:type="dxa"/>
            <w:tcBorders>
              <w:top w:val="single" w:sz="4" w:space="0" w:color="auto"/>
            </w:tcBorders>
            <w:vAlign w:val="bottom"/>
          </w:tcPr>
          <w:p w14:paraId="611622F5" w14:textId="77777777" w:rsidR="00794AFD" w:rsidRPr="00070ED0" w:rsidRDefault="00794AFD" w:rsidP="00794AFD">
            <w:pPr>
              <w:pStyle w:val="BodyText"/>
              <w:jc w:val="right"/>
              <w:rPr>
                <w:rFonts w:asciiTheme="minorHAnsi" w:hAnsiTheme="minorHAnsi" w:cs="Times New Roman"/>
                <w:b/>
                <w:sz w:val="20"/>
                <w:szCs w:val="20"/>
              </w:rPr>
            </w:pPr>
          </w:p>
        </w:tc>
        <w:tc>
          <w:tcPr>
            <w:tcW w:w="1134" w:type="dxa"/>
            <w:tcBorders>
              <w:top w:val="single" w:sz="4" w:space="0" w:color="auto"/>
            </w:tcBorders>
            <w:shd w:val="clear" w:color="auto" w:fill="auto"/>
            <w:vAlign w:val="bottom"/>
          </w:tcPr>
          <w:p w14:paraId="2947ECF1" w14:textId="77777777" w:rsidR="00794AFD" w:rsidRPr="00070ED0" w:rsidRDefault="00794AFD" w:rsidP="00794AFD">
            <w:pPr>
              <w:pStyle w:val="BodyText"/>
              <w:jc w:val="right"/>
              <w:rPr>
                <w:rFonts w:asciiTheme="minorHAnsi" w:hAnsiTheme="minorHAnsi" w:cs="Times New Roman"/>
                <w:b/>
                <w:sz w:val="20"/>
                <w:szCs w:val="20"/>
              </w:rPr>
            </w:pPr>
          </w:p>
        </w:tc>
        <w:tc>
          <w:tcPr>
            <w:tcW w:w="1134" w:type="dxa"/>
            <w:shd w:val="clear" w:color="auto" w:fill="auto"/>
            <w:vAlign w:val="bottom"/>
          </w:tcPr>
          <w:p w14:paraId="4759AE85" w14:textId="77777777" w:rsidR="00794AFD" w:rsidRPr="00070ED0" w:rsidRDefault="00794AFD" w:rsidP="00794AFD">
            <w:pPr>
              <w:pStyle w:val="BodyText"/>
              <w:jc w:val="right"/>
              <w:rPr>
                <w:rFonts w:asciiTheme="minorHAnsi" w:hAnsiTheme="minorHAnsi" w:cs="Times New Roman"/>
                <w:b/>
                <w:sz w:val="20"/>
                <w:szCs w:val="20"/>
              </w:rPr>
            </w:pPr>
            <w:r w:rsidRPr="00070ED0">
              <w:rPr>
                <w:rFonts w:asciiTheme="minorHAnsi" w:hAnsiTheme="minorHAnsi" w:cs="Times New Roman"/>
                <w:b/>
                <w:sz w:val="20"/>
                <w:szCs w:val="20"/>
              </w:rPr>
              <w:t>(17.6)</w:t>
            </w:r>
          </w:p>
        </w:tc>
      </w:tr>
      <w:tr w:rsidR="00794AFD" w:rsidRPr="001C5950" w14:paraId="30EB619A" w14:textId="77777777" w:rsidTr="00794AFD">
        <w:trPr>
          <w:trHeight w:val="148"/>
        </w:trPr>
        <w:tc>
          <w:tcPr>
            <w:tcW w:w="3294" w:type="dxa"/>
          </w:tcPr>
          <w:p w14:paraId="606E577F" w14:textId="77777777" w:rsidR="00794AFD" w:rsidRPr="001C5950" w:rsidRDefault="00794AFD" w:rsidP="00794AFD">
            <w:pPr>
              <w:pStyle w:val="BodyText"/>
              <w:ind w:left="-74"/>
              <w:jc w:val="left"/>
              <w:rPr>
                <w:rFonts w:asciiTheme="minorHAnsi" w:hAnsiTheme="minorHAnsi" w:cs="Times New Roman"/>
                <w:sz w:val="20"/>
                <w:szCs w:val="20"/>
              </w:rPr>
            </w:pPr>
            <w:r w:rsidRPr="001C5950">
              <w:rPr>
                <w:rFonts w:asciiTheme="minorHAnsi" w:hAnsiTheme="minorHAnsi" w:cs="Times New Roman"/>
                <w:sz w:val="20"/>
                <w:szCs w:val="20"/>
              </w:rPr>
              <w:t>Operating profit</w:t>
            </w:r>
          </w:p>
        </w:tc>
        <w:tc>
          <w:tcPr>
            <w:tcW w:w="1134" w:type="dxa"/>
            <w:vAlign w:val="bottom"/>
          </w:tcPr>
          <w:p w14:paraId="041F7F61" w14:textId="77777777" w:rsidR="00794AFD" w:rsidRPr="00070ED0" w:rsidRDefault="00794AFD" w:rsidP="00794AFD">
            <w:pPr>
              <w:pStyle w:val="BodyText"/>
              <w:jc w:val="right"/>
              <w:rPr>
                <w:rFonts w:asciiTheme="minorHAnsi" w:hAnsiTheme="minorHAnsi" w:cs="Times New Roman"/>
                <w:b/>
                <w:sz w:val="20"/>
                <w:szCs w:val="20"/>
              </w:rPr>
            </w:pPr>
          </w:p>
        </w:tc>
        <w:tc>
          <w:tcPr>
            <w:tcW w:w="1134" w:type="dxa"/>
            <w:shd w:val="clear" w:color="auto" w:fill="auto"/>
            <w:vAlign w:val="bottom"/>
          </w:tcPr>
          <w:p w14:paraId="4766505B" w14:textId="77777777" w:rsidR="00794AFD" w:rsidRPr="00070ED0" w:rsidRDefault="00794AFD" w:rsidP="00794AFD">
            <w:pPr>
              <w:pStyle w:val="BodyText"/>
              <w:jc w:val="right"/>
              <w:rPr>
                <w:rFonts w:asciiTheme="minorHAnsi" w:hAnsiTheme="minorHAnsi" w:cs="Times New Roman"/>
                <w:b/>
                <w:sz w:val="20"/>
                <w:szCs w:val="20"/>
              </w:rPr>
            </w:pPr>
          </w:p>
        </w:tc>
        <w:tc>
          <w:tcPr>
            <w:tcW w:w="1134" w:type="dxa"/>
            <w:shd w:val="clear" w:color="auto" w:fill="auto"/>
            <w:vAlign w:val="bottom"/>
          </w:tcPr>
          <w:p w14:paraId="3B257BAA" w14:textId="77777777" w:rsidR="00794AFD" w:rsidRPr="00070ED0" w:rsidRDefault="00794AFD" w:rsidP="00794AFD">
            <w:pPr>
              <w:pStyle w:val="BodyText"/>
              <w:jc w:val="right"/>
              <w:rPr>
                <w:rFonts w:asciiTheme="minorHAnsi" w:hAnsiTheme="minorHAnsi" w:cs="Times New Roman"/>
                <w:b/>
                <w:sz w:val="20"/>
                <w:szCs w:val="20"/>
              </w:rPr>
            </w:pPr>
          </w:p>
        </w:tc>
        <w:tc>
          <w:tcPr>
            <w:tcW w:w="1134" w:type="dxa"/>
            <w:vAlign w:val="bottom"/>
          </w:tcPr>
          <w:p w14:paraId="280602F9" w14:textId="77777777" w:rsidR="00794AFD" w:rsidRPr="00070ED0" w:rsidRDefault="00794AFD" w:rsidP="00794AFD">
            <w:pPr>
              <w:pStyle w:val="BodyText"/>
              <w:jc w:val="right"/>
              <w:rPr>
                <w:rFonts w:asciiTheme="minorHAnsi" w:hAnsiTheme="minorHAnsi" w:cs="Times New Roman"/>
                <w:b/>
                <w:sz w:val="20"/>
                <w:szCs w:val="20"/>
              </w:rPr>
            </w:pPr>
          </w:p>
        </w:tc>
        <w:tc>
          <w:tcPr>
            <w:tcW w:w="1134" w:type="dxa"/>
            <w:shd w:val="clear" w:color="auto" w:fill="auto"/>
            <w:vAlign w:val="bottom"/>
          </w:tcPr>
          <w:p w14:paraId="09ACD89C" w14:textId="77777777" w:rsidR="00794AFD" w:rsidRPr="00070ED0" w:rsidRDefault="00794AFD" w:rsidP="00794AFD">
            <w:pPr>
              <w:pStyle w:val="BodyText"/>
              <w:jc w:val="right"/>
              <w:rPr>
                <w:rFonts w:asciiTheme="minorHAnsi" w:hAnsiTheme="minorHAnsi" w:cs="Times New Roman"/>
                <w:b/>
                <w:sz w:val="20"/>
                <w:szCs w:val="20"/>
              </w:rPr>
            </w:pPr>
          </w:p>
        </w:tc>
        <w:tc>
          <w:tcPr>
            <w:tcW w:w="1134" w:type="dxa"/>
            <w:tcBorders>
              <w:top w:val="single" w:sz="4" w:space="0" w:color="auto"/>
              <w:bottom w:val="single" w:sz="4" w:space="0" w:color="auto"/>
            </w:tcBorders>
            <w:shd w:val="clear" w:color="auto" w:fill="auto"/>
            <w:vAlign w:val="bottom"/>
          </w:tcPr>
          <w:p w14:paraId="46FE9D75" w14:textId="77777777" w:rsidR="00794AFD" w:rsidRPr="00070ED0" w:rsidRDefault="00794AFD" w:rsidP="00794AFD">
            <w:pPr>
              <w:pStyle w:val="BodyText"/>
              <w:jc w:val="right"/>
              <w:rPr>
                <w:rFonts w:asciiTheme="minorHAnsi" w:hAnsiTheme="minorHAnsi" w:cs="Times New Roman"/>
                <w:b/>
                <w:sz w:val="20"/>
                <w:szCs w:val="20"/>
              </w:rPr>
            </w:pPr>
            <w:r w:rsidRPr="00070ED0">
              <w:rPr>
                <w:rFonts w:asciiTheme="minorHAnsi" w:hAnsiTheme="minorHAnsi" w:cs="Times New Roman"/>
                <w:b/>
                <w:sz w:val="20"/>
                <w:szCs w:val="20"/>
              </w:rPr>
              <w:t>149.9</w:t>
            </w:r>
          </w:p>
        </w:tc>
      </w:tr>
    </w:tbl>
    <w:p w14:paraId="510C3174" w14:textId="77777777" w:rsidR="00794AFD" w:rsidRPr="005D1B54" w:rsidRDefault="00794AFD" w:rsidP="00794AFD">
      <w:pPr>
        <w:rPr>
          <w:rFonts w:asciiTheme="minorHAnsi" w:hAnsiTheme="minorHAnsi" w:cs="Times New Roman"/>
          <w:sz w:val="12"/>
          <w:szCs w:val="12"/>
          <w:lang w:val="en-IE"/>
        </w:rPr>
      </w:pPr>
    </w:p>
    <w:p w14:paraId="5BD2072E" w14:textId="77777777" w:rsidR="00794AFD" w:rsidRPr="001C5950" w:rsidRDefault="00794AFD" w:rsidP="00794AFD">
      <w:pPr>
        <w:rPr>
          <w:rFonts w:asciiTheme="minorHAnsi" w:hAnsiTheme="minorHAnsi" w:cs="Times New Roman"/>
          <w:sz w:val="20"/>
          <w:szCs w:val="20"/>
          <w:lang w:val="en-IE"/>
        </w:rPr>
      </w:pPr>
      <w:r w:rsidRPr="001C5950">
        <w:rPr>
          <w:rFonts w:asciiTheme="minorHAnsi" w:hAnsiTheme="minorHAnsi" w:cs="Times New Roman"/>
          <w:sz w:val="20"/>
          <w:szCs w:val="20"/>
          <w:lang w:val="en-IE"/>
        </w:rPr>
        <w:t xml:space="preserve">Reportable business segment information for the year ended 31 December </w:t>
      </w:r>
      <w:r>
        <w:rPr>
          <w:rFonts w:asciiTheme="minorHAnsi" w:hAnsiTheme="minorHAnsi" w:cs="Times New Roman"/>
          <w:sz w:val="20"/>
          <w:szCs w:val="20"/>
          <w:lang w:val="en-IE"/>
        </w:rPr>
        <w:t>2018</w:t>
      </w:r>
      <w:r w:rsidRPr="001C5950">
        <w:rPr>
          <w:rFonts w:asciiTheme="minorHAnsi" w:hAnsiTheme="minorHAnsi" w:cs="Times New Roman"/>
          <w:sz w:val="20"/>
          <w:szCs w:val="20"/>
          <w:lang w:val="en-IE"/>
        </w:rPr>
        <w:t>:</w:t>
      </w:r>
    </w:p>
    <w:p w14:paraId="236A59F6" w14:textId="77777777" w:rsidR="00794AFD" w:rsidRDefault="00794AFD" w:rsidP="00794AFD">
      <w:pPr>
        <w:rPr>
          <w:rFonts w:asciiTheme="minorHAnsi" w:hAnsiTheme="minorHAnsi" w:cs="Times New Roman"/>
          <w:sz w:val="20"/>
          <w:szCs w:val="20"/>
          <w:lang w:val="en-IE"/>
        </w:rPr>
      </w:pPr>
    </w:p>
    <w:tbl>
      <w:tblPr>
        <w:tblW w:w="10098" w:type="dxa"/>
        <w:tblInd w:w="108" w:type="dxa"/>
        <w:tblLayout w:type="fixed"/>
        <w:tblLook w:val="01E0" w:firstRow="1" w:lastRow="1" w:firstColumn="1" w:lastColumn="1" w:noHBand="0" w:noVBand="0"/>
      </w:tblPr>
      <w:tblGrid>
        <w:gridCol w:w="3294"/>
        <w:gridCol w:w="1134"/>
        <w:gridCol w:w="1134"/>
        <w:gridCol w:w="1134"/>
        <w:gridCol w:w="1134"/>
        <w:gridCol w:w="1134"/>
        <w:gridCol w:w="1134"/>
      </w:tblGrid>
      <w:tr w:rsidR="00794AFD" w:rsidRPr="001C5950" w14:paraId="31C45EBA" w14:textId="77777777" w:rsidTr="00794AFD">
        <w:trPr>
          <w:trHeight w:val="290"/>
        </w:trPr>
        <w:tc>
          <w:tcPr>
            <w:tcW w:w="3294" w:type="dxa"/>
            <w:tcBorders>
              <w:top w:val="single" w:sz="4" w:space="0" w:color="auto"/>
            </w:tcBorders>
            <w:shd w:val="clear" w:color="auto" w:fill="auto"/>
          </w:tcPr>
          <w:p w14:paraId="4209FB93" w14:textId="77777777" w:rsidR="00794AFD" w:rsidRPr="00FC3D06" w:rsidRDefault="00794AFD" w:rsidP="00794AFD">
            <w:pPr>
              <w:pStyle w:val="BodyText"/>
              <w:ind w:left="-74"/>
              <w:rPr>
                <w:rFonts w:asciiTheme="minorHAnsi" w:hAnsiTheme="minorHAnsi" w:cs="Times New Roman"/>
                <w:b/>
                <w:sz w:val="20"/>
                <w:szCs w:val="20"/>
              </w:rPr>
            </w:pPr>
          </w:p>
        </w:tc>
        <w:tc>
          <w:tcPr>
            <w:tcW w:w="1134" w:type="dxa"/>
            <w:tcBorders>
              <w:top w:val="single" w:sz="4" w:space="0" w:color="auto"/>
            </w:tcBorders>
            <w:shd w:val="clear" w:color="auto" w:fill="auto"/>
          </w:tcPr>
          <w:p w14:paraId="1404FBA4" w14:textId="77777777" w:rsidR="00794AFD" w:rsidRPr="001C5950" w:rsidRDefault="00794AFD" w:rsidP="00794AFD">
            <w:pPr>
              <w:pStyle w:val="BodyText"/>
              <w:ind w:left="-74"/>
              <w:jc w:val="right"/>
              <w:rPr>
                <w:rFonts w:asciiTheme="minorHAnsi" w:hAnsiTheme="minorHAnsi" w:cs="Times New Roman"/>
                <w:b/>
                <w:sz w:val="20"/>
                <w:szCs w:val="20"/>
              </w:rPr>
            </w:pPr>
          </w:p>
          <w:p w14:paraId="1E366FC3" w14:textId="77777777" w:rsidR="00794AFD" w:rsidRPr="001C5950" w:rsidRDefault="00794AFD" w:rsidP="00794AFD">
            <w:pPr>
              <w:pStyle w:val="BodyText"/>
              <w:ind w:left="-74"/>
              <w:jc w:val="right"/>
              <w:rPr>
                <w:rFonts w:asciiTheme="minorHAnsi" w:hAnsiTheme="minorHAnsi" w:cs="Times New Roman"/>
                <w:b/>
                <w:sz w:val="20"/>
                <w:szCs w:val="20"/>
              </w:rPr>
            </w:pPr>
            <w:r>
              <w:rPr>
                <w:rFonts w:asciiTheme="minorHAnsi" w:hAnsiTheme="minorHAnsi" w:cs="Times New Roman"/>
                <w:b/>
                <w:sz w:val="20"/>
                <w:szCs w:val="20"/>
              </w:rPr>
              <w:t>PPB Online</w:t>
            </w:r>
          </w:p>
        </w:tc>
        <w:tc>
          <w:tcPr>
            <w:tcW w:w="1134" w:type="dxa"/>
            <w:tcBorders>
              <w:top w:val="single" w:sz="4" w:space="0" w:color="auto"/>
            </w:tcBorders>
          </w:tcPr>
          <w:p w14:paraId="296A539F" w14:textId="77777777" w:rsidR="00794AFD" w:rsidRPr="001C5950" w:rsidRDefault="00794AFD" w:rsidP="00794AFD">
            <w:pPr>
              <w:pStyle w:val="BodyText"/>
              <w:ind w:left="-74"/>
              <w:jc w:val="right"/>
              <w:rPr>
                <w:rFonts w:asciiTheme="minorHAnsi" w:hAnsiTheme="minorHAnsi" w:cs="Times New Roman"/>
                <w:b/>
                <w:sz w:val="20"/>
                <w:szCs w:val="20"/>
              </w:rPr>
            </w:pPr>
          </w:p>
          <w:p w14:paraId="6F16D50C"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 xml:space="preserve"> Australia</w:t>
            </w:r>
          </w:p>
        </w:tc>
        <w:tc>
          <w:tcPr>
            <w:tcW w:w="1134" w:type="dxa"/>
            <w:tcBorders>
              <w:top w:val="single" w:sz="4" w:space="0" w:color="auto"/>
            </w:tcBorders>
            <w:shd w:val="clear" w:color="auto" w:fill="auto"/>
          </w:tcPr>
          <w:p w14:paraId="59F828D7" w14:textId="77777777" w:rsidR="00794AFD" w:rsidRPr="001C5950" w:rsidRDefault="00794AFD" w:rsidP="00794AFD">
            <w:pPr>
              <w:pStyle w:val="BodyText"/>
              <w:ind w:left="-74"/>
              <w:jc w:val="right"/>
              <w:rPr>
                <w:rFonts w:asciiTheme="minorHAnsi" w:hAnsiTheme="minorHAnsi" w:cs="Times New Roman"/>
                <w:b/>
                <w:sz w:val="20"/>
                <w:szCs w:val="20"/>
              </w:rPr>
            </w:pPr>
          </w:p>
          <w:p w14:paraId="2043A722" w14:textId="77777777" w:rsidR="00794AFD" w:rsidRPr="001C5950" w:rsidRDefault="00794AFD" w:rsidP="00794AFD">
            <w:pPr>
              <w:pStyle w:val="BodyText"/>
              <w:ind w:left="-74"/>
              <w:jc w:val="right"/>
              <w:rPr>
                <w:rFonts w:asciiTheme="minorHAnsi" w:hAnsiTheme="minorHAnsi" w:cs="Times New Roman"/>
                <w:b/>
                <w:sz w:val="20"/>
                <w:szCs w:val="20"/>
              </w:rPr>
            </w:pPr>
            <w:r>
              <w:rPr>
                <w:rFonts w:asciiTheme="minorHAnsi" w:hAnsiTheme="minorHAnsi" w:cs="Times New Roman"/>
                <w:b/>
                <w:sz w:val="20"/>
                <w:szCs w:val="20"/>
              </w:rPr>
              <w:t>PPB Retail</w:t>
            </w:r>
          </w:p>
        </w:tc>
        <w:tc>
          <w:tcPr>
            <w:tcW w:w="1134" w:type="dxa"/>
            <w:tcBorders>
              <w:top w:val="single" w:sz="4" w:space="0" w:color="auto"/>
            </w:tcBorders>
          </w:tcPr>
          <w:p w14:paraId="5E6F93D3" w14:textId="77777777" w:rsidR="00794AFD" w:rsidRPr="001C5950" w:rsidRDefault="00794AFD" w:rsidP="00794AFD">
            <w:pPr>
              <w:pStyle w:val="BodyText"/>
              <w:ind w:left="-74"/>
              <w:jc w:val="right"/>
              <w:rPr>
                <w:rFonts w:asciiTheme="minorHAnsi" w:hAnsiTheme="minorHAnsi" w:cs="Times New Roman"/>
                <w:b/>
                <w:sz w:val="20"/>
                <w:szCs w:val="20"/>
              </w:rPr>
            </w:pPr>
          </w:p>
          <w:p w14:paraId="7986E2A3"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US</w:t>
            </w:r>
          </w:p>
        </w:tc>
        <w:tc>
          <w:tcPr>
            <w:tcW w:w="1134" w:type="dxa"/>
            <w:tcBorders>
              <w:top w:val="single" w:sz="4" w:space="0" w:color="auto"/>
            </w:tcBorders>
            <w:shd w:val="clear" w:color="auto" w:fill="auto"/>
          </w:tcPr>
          <w:p w14:paraId="46B17103" w14:textId="77777777" w:rsidR="00794AFD" w:rsidRPr="001C5950" w:rsidRDefault="00794AFD" w:rsidP="00794AFD">
            <w:pPr>
              <w:pStyle w:val="BodyText"/>
              <w:ind w:left="-74"/>
              <w:jc w:val="right"/>
              <w:rPr>
                <w:rFonts w:asciiTheme="minorHAnsi" w:hAnsiTheme="minorHAnsi" w:cs="Times New Roman"/>
                <w:b/>
                <w:sz w:val="20"/>
                <w:szCs w:val="20"/>
              </w:rPr>
            </w:pPr>
          </w:p>
          <w:p w14:paraId="20496C37"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Corporate</w:t>
            </w:r>
          </w:p>
        </w:tc>
        <w:tc>
          <w:tcPr>
            <w:tcW w:w="1134" w:type="dxa"/>
            <w:tcBorders>
              <w:top w:val="single" w:sz="4" w:space="0" w:color="auto"/>
            </w:tcBorders>
            <w:shd w:val="clear" w:color="auto" w:fill="auto"/>
          </w:tcPr>
          <w:p w14:paraId="3BC93194" w14:textId="77777777" w:rsidR="00794AFD" w:rsidRPr="001C5950" w:rsidRDefault="00794AFD" w:rsidP="00794AFD">
            <w:pPr>
              <w:pStyle w:val="BodyText"/>
              <w:ind w:left="-74"/>
              <w:jc w:val="right"/>
              <w:rPr>
                <w:rFonts w:asciiTheme="minorHAnsi" w:hAnsiTheme="minorHAnsi" w:cs="Times New Roman"/>
                <w:b/>
                <w:sz w:val="20"/>
                <w:szCs w:val="20"/>
              </w:rPr>
            </w:pPr>
          </w:p>
          <w:p w14:paraId="307FCC10"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Total</w:t>
            </w:r>
          </w:p>
        </w:tc>
      </w:tr>
      <w:tr w:rsidR="00794AFD" w:rsidRPr="001C5950" w14:paraId="64D2DDFA" w14:textId="77777777" w:rsidTr="00794AFD">
        <w:trPr>
          <w:trHeight w:val="70"/>
        </w:trPr>
        <w:tc>
          <w:tcPr>
            <w:tcW w:w="3294" w:type="dxa"/>
            <w:tcBorders>
              <w:bottom w:val="single" w:sz="4" w:space="0" w:color="auto"/>
            </w:tcBorders>
            <w:shd w:val="clear" w:color="auto" w:fill="auto"/>
          </w:tcPr>
          <w:p w14:paraId="5572C209" w14:textId="77777777" w:rsidR="00794AFD" w:rsidRPr="00FC3D06" w:rsidRDefault="00794AFD" w:rsidP="00794AFD">
            <w:pPr>
              <w:pStyle w:val="BodyText"/>
              <w:ind w:left="-74"/>
              <w:rPr>
                <w:rFonts w:asciiTheme="minorHAnsi" w:hAnsiTheme="minorHAnsi" w:cs="Times New Roman"/>
                <w:b/>
                <w:sz w:val="20"/>
                <w:szCs w:val="20"/>
              </w:rPr>
            </w:pPr>
          </w:p>
        </w:tc>
        <w:tc>
          <w:tcPr>
            <w:tcW w:w="1134" w:type="dxa"/>
            <w:tcBorders>
              <w:bottom w:val="single" w:sz="4" w:space="0" w:color="auto"/>
            </w:tcBorders>
            <w:shd w:val="clear" w:color="auto" w:fill="auto"/>
          </w:tcPr>
          <w:p w14:paraId="2E8AC383"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£m</w:t>
            </w:r>
          </w:p>
        </w:tc>
        <w:tc>
          <w:tcPr>
            <w:tcW w:w="1134" w:type="dxa"/>
            <w:tcBorders>
              <w:bottom w:val="single" w:sz="4" w:space="0" w:color="auto"/>
            </w:tcBorders>
          </w:tcPr>
          <w:p w14:paraId="1C7B562E"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£m</w:t>
            </w:r>
          </w:p>
        </w:tc>
        <w:tc>
          <w:tcPr>
            <w:tcW w:w="1134" w:type="dxa"/>
            <w:tcBorders>
              <w:bottom w:val="single" w:sz="4" w:space="0" w:color="auto"/>
            </w:tcBorders>
            <w:shd w:val="clear" w:color="auto" w:fill="auto"/>
          </w:tcPr>
          <w:p w14:paraId="42A5D12B"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£m</w:t>
            </w:r>
          </w:p>
        </w:tc>
        <w:tc>
          <w:tcPr>
            <w:tcW w:w="1134" w:type="dxa"/>
            <w:tcBorders>
              <w:bottom w:val="single" w:sz="4" w:space="0" w:color="auto"/>
            </w:tcBorders>
          </w:tcPr>
          <w:p w14:paraId="6E5629C6"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£m</w:t>
            </w:r>
          </w:p>
        </w:tc>
        <w:tc>
          <w:tcPr>
            <w:tcW w:w="1134" w:type="dxa"/>
            <w:tcBorders>
              <w:bottom w:val="single" w:sz="4" w:space="0" w:color="auto"/>
            </w:tcBorders>
            <w:shd w:val="clear" w:color="auto" w:fill="auto"/>
          </w:tcPr>
          <w:p w14:paraId="7A8D71E2"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£m</w:t>
            </w:r>
          </w:p>
        </w:tc>
        <w:tc>
          <w:tcPr>
            <w:tcW w:w="1134" w:type="dxa"/>
            <w:tcBorders>
              <w:bottom w:val="single" w:sz="4" w:space="0" w:color="auto"/>
            </w:tcBorders>
            <w:shd w:val="clear" w:color="auto" w:fill="auto"/>
          </w:tcPr>
          <w:p w14:paraId="1F56ED1B" w14:textId="77777777" w:rsidR="00794AFD" w:rsidRPr="001C5950" w:rsidRDefault="00794AFD" w:rsidP="00794AFD">
            <w:pPr>
              <w:pStyle w:val="BodyText"/>
              <w:ind w:left="-74"/>
              <w:jc w:val="right"/>
              <w:rPr>
                <w:rFonts w:asciiTheme="minorHAnsi" w:hAnsiTheme="minorHAnsi" w:cs="Times New Roman"/>
                <w:b/>
                <w:sz w:val="20"/>
                <w:szCs w:val="20"/>
              </w:rPr>
            </w:pPr>
            <w:r w:rsidRPr="001C5950">
              <w:rPr>
                <w:rFonts w:asciiTheme="minorHAnsi" w:hAnsiTheme="minorHAnsi" w:cs="Times New Roman"/>
                <w:b/>
                <w:sz w:val="20"/>
                <w:szCs w:val="20"/>
              </w:rPr>
              <w:t>£m</w:t>
            </w:r>
          </w:p>
        </w:tc>
      </w:tr>
      <w:tr w:rsidR="00794AFD" w:rsidRPr="001C5950" w14:paraId="01179AF9" w14:textId="77777777" w:rsidTr="00794AFD">
        <w:trPr>
          <w:trHeight w:val="102"/>
        </w:trPr>
        <w:tc>
          <w:tcPr>
            <w:tcW w:w="3294" w:type="dxa"/>
            <w:tcBorders>
              <w:top w:val="single" w:sz="4" w:space="0" w:color="auto"/>
            </w:tcBorders>
          </w:tcPr>
          <w:p w14:paraId="089AB05E" w14:textId="77777777" w:rsidR="00794AFD" w:rsidRPr="001C5950" w:rsidRDefault="00794AFD" w:rsidP="00794AFD">
            <w:pPr>
              <w:pStyle w:val="BodyText"/>
              <w:ind w:left="-74"/>
              <w:jc w:val="left"/>
              <w:rPr>
                <w:rFonts w:asciiTheme="minorHAnsi" w:hAnsiTheme="minorHAnsi" w:cs="Times New Roman"/>
                <w:b/>
                <w:sz w:val="20"/>
                <w:szCs w:val="20"/>
              </w:rPr>
            </w:pPr>
            <w:r w:rsidRPr="001C5950">
              <w:rPr>
                <w:rFonts w:asciiTheme="minorHAnsi" w:hAnsiTheme="minorHAnsi" w:cs="Times New Roman"/>
                <w:sz w:val="20"/>
                <w:szCs w:val="20"/>
              </w:rPr>
              <w:t>Revenue from external customers</w:t>
            </w:r>
          </w:p>
        </w:tc>
        <w:tc>
          <w:tcPr>
            <w:tcW w:w="1134" w:type="dxa"/>
            <w:tcBorders>
              <w:top w:val="single" w:sz="4" w:space="0" w:color="auto"/>
            </w:tcBorders>
            <w:shd w:val="clear" w:color="auto" w:fill="auto"/>
            <w:vAlign w:val="bottom"/>
          </w:tcPr>
          <w:p w14:paraId="316CB2E2"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947.6</w:t>
            </w:r>
          </w:p>
        </w:tc>
        <w:tc>
          <w:tcPr>
            <w:tcW w:w="1134" w:type="dxa"/>
            <w:tcBorders>
              <w:top w:val="single" w:sz="4" w:space="0" w:color="auto"/>
            </w:tcBorders>
            <w:shd w:val="clear" w:color="auto" w:fill="auto"/>
            <w:vAlign w:val="bottom"/>
          </w:tcPr>
          <w:p w14:paraId="32174C70"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402.9</w:t>
            </w:r>
          </w:p>
        </w:tc>
        <w:tc>
          <w:tcPr>
            <w:tcW w:w="1134" w:type="dxa"/>
            <w:tcBorders>
              <w:top w:val="single" w:sz="4" w:space="0" w:color="auto"/>
            </w:tcBorders>
            <w:shd w:val="clear" w:color="auto" w:fill="auto"/>
            <w:vAlign w:val="bottom"/>
          </w:tcPr>
          <w:p w14:paraId="42DC3157"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331.5</w:t>
            </w:r>
          </w:p>
        </w:tc>
        <w:tc>
          <w:tcPr>
            <w:tcW w:w="1134" w:type="dxa"/>
            <w:tcBorders>
              <w:top w:val="single" w:sz="4" w:space="0" w:color="auto"/>
            </w:tcBorders>
            <w:shd w:val="clear" w:color="auto" w:fill="auto"/>
            <w:vAlign w:val="bottom"/>
          </w:tcPr>
          <w:p w14:paraId="145DA97B"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191.4</w:t>
            </w:r>
          </w:p>
        </w:tc>
        <w:tc>
          <w:tcPr>
            <w:tcW w:w="1134" w:type="dxa"/>
            <w:tcBorders>
              <w:top w:val="single" w:sz="4" w:space="0" w:color="auto"/>
            </w:tcBorders>
            <w:shd w:val="clear" w:color="auto" w:fill="auto"/>
            <w:vAlign w:val="bottom"/>
          </w:tcPr>
          <w:p w14:paraId="683B831C"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w:t>
            </w:r>
          </w:p>
        </w:tc>
        <w:tc>
          <w:tcPr>
            <w:tcW w:w="1134" w:type="dxa"/>
            <w:tcBorders>
              <w:top w:val="single" w:sz="4" w:space="0" w:color="auto"/>
            </w:tcBorders>
            <w:shd w:val="clear" w:color="auto" w:fill="auto"/>
            <w:vAlign w:val="bottom"/>
          </w:tcPr>
          <w:p w14:paraId="4E21C88D"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1,873.4</w:t>
            </w:r>
          </w:p>
        </w:tc>
      </w:tr>
      <w:tr w:rsidR="00794AFD" w:rsidRPr="001C5950" w14:paraId="5F4BB72E" w14:textId="77777777" w:rsidTr="00794AFD">
        <w:tc>
          <w:tcPr>
            <w:tcW w:w="3294" w:type="dxa"/>
          </w:tcPr>
          <w:p w14:paraId="01A0FC75" w14:textId="77777777" w:rsidR="00794AFD" w:rsidRPr="001C5950" w:rsidRDefault="00794AFD" w:rsidP="00794AFD">
            <w:pPr>
              <w:pStyle w:val="BodyText"/>
              <w:ind w:left="-74"/>
              <w:jc w:val="left"/>
              <w:rPr>
                <w:rFonts w:asciiTheme="minorHAnsi" w:hAnsiTheme="minorHAnsi" w:cs="Times New Roman"/>
                <w:sz w:val="20"/>
                <w:szCs w:val="20"/>
              </w:rPr>
            </w:pPr>
            <w:r w:rsidRPr="001C5950">
              <w:rPr>
                <w:rFonts w:asciiTheme="minorHAnsi" w:hAnsiTheme="minorHAnsi" w:cs="Times New Roman"/>
                <w:sz w:val="20"/>
                <w:szCs w:val="20"/>
              </w:rPr>
              <w:t>Cost of sales</w:t>
            </w:r>
          </w:p>
        </w:tc>
        <w:tc>
          <w:tcPr>
            <w:tcW w:w="1134" w:type="dxa"/>
            <w:tcBorders>
              <w:bottom w:val="single" w:sz="4" w:space="0" w:color="auto"/>
            </w:tcBorders>
            <w:vAlign w:val="bottom"/>
          </w:tcPr>
          <w:p w14:paraId="1801B840"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(231.0)</w:t>
            </w:r>
          </w:p>
        </w:tc>
        <w:tc>
          <w:tcPr>
            <w:tcW w:w="1134" w:type="dxa"/>
            <w:tcBorders>
              <w:bottom w:val="single" w:sz="4" w:space="0" w:color="auto"/>
            </w:tcBorders>
            <w:shd w:val="clear" w:color="auto" w:fill="auto"/>
            <w:vAlign w:val="bottom"/>
          </w:tcPr>
          <w:p w14:paraId="15062084"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(121.2)</w:t>
            </w:r>
          </w:p>
        </w:tc>
        <w:tc>
          <w:tcPr>
            <w:tcW w:w="1134" w:type="dxa"/>
            <w:tcBorders>
              <w:bottom w:val="single" w:sz="4" w:space="0" w:color="auto"/>
            </w:tcBorders>
            <w:shd w:val="clear" w:color="auto" w:fill="auto"/>
            <w:vAlign w:val="bottom"/>
          </w:tcPr>
          <w:p w14:paraId="271A280E"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(73.1)</w:t>
            </w:r>
          </w:p>
        </w:tc>
        <w:tc>
          <w:tcPr>
            <w:tcW w:w="1134" w:type="dxa"/>
            <w:tcBorders>
              <w:bottom w:val="single" w:sz="4" w:space="0" w:color="auto"/>
            </w:tcBorders>
            <w:vAlign w:val="bottom"/>
          </w:tcPr>
          <w:p w14:paraId="317F76D8" w14:textId="77777777" w:rsidR="00794AFD" w:rsidRPr="001A7299" w:rsidDel="0092481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(44.6)</w:t>
            </w:r>
          </w:p>
        </w:tc>
        <w:tc>
          <w:tcPr>
            <w:tcW w:w="1134" w:type="dxa"/>
            <w:tcBorders>
              <w:bottom w:val="single" w:sz="4" w:space="0" w:color="auto"/>
            </w:tcBorders>
            <w:shd w:val="clear" w:color="auto" w:fill="auto"/>
            <w:vAlign w:val="bottom"/>
          </w:tcPr>
          <w:p w14:paraId="01FEFED2"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w:t>
            </w:r>
          </w:p>
        </w:tc>
        <w:tc>
          <w:tcPr>
            <w:tcW w:w="1134" w:type="dxa"/>
            <w:tcBorders>
              <w:bottom w:val="single" w:sz="4" w:space="0" w:color="auto"/>
            </w:tcBorders>
            <w:shd w:val="clear" w:color="auto" w:fill="auto"/>
            <w:vAlign w:val="bottom"/>
          </w:tcPr>
          <w:p w14:paraId="2E827EEB"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(469.9)</w:t>
            </w:r>
          </w:p>
        </w:tc>
      </w:tr>
      <w:tr w:rsidR="00794AFD" w:rsidRPr="001C5950" w14:paraId="4D38EE21" w14:textId="77777777" w:rsidTr="00794AFD">
        <w:tc>
          <w:tcPr>
            <w:tcW w:w="3294" w:type="dxa"/>
          </w:tcPr>
          <w:p w14:paraId="76BF4293" w14:textId="77777777" w:rsidR="00794AFD" w:rsidRPr="001C5950" w:rsidRDefault="00794AFD" w:rsidP="00794AFD">
            <w:pPr>
              <w:pStyle w:val="BodyText"/>
              <w:ind w:left="-74"/>
              <w:jc w:val="left"/>
              <w:rPr>
                <w:rFonts w:asciiTheme="minorHAnsi" w:hAnsiTheme="minorHAnsi" w:cs="Times New Roman"/>
                <w:sz w:val="20"/>
                <w:szCs w:val="20"/>
              </w:rPr>
            </w:pPr>
            <w:r w:rsidRPr="001C5950">
              <w:rPr>
                <w:rFonts w:asciiTheme="minorHAnsi" w:hAnsiTheme="minorHAnsi" w:cs="Times New Roman"/>
                <w:sz w:val="20"/>
                <w:szCs w:val="20"/>
              </w:rPr>
              <w:t>Gross profit</w:t>
            </w:r>
          </w:p>
        </w:tc>
        <w:tc>
          <w:tcPr>
            <w:tcW w:w="1134" w:type="dxa"/>
            <w:tcBorders>
              <w:top w:val="single" w:sz="4" w:space="0" w:color="auto"/>
            </w:tcBorders>
            <w:vAlign w:val="bottom"/>
          </w:tcPr>
          <w:p w14:paraId="226A0847"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716.6</w:t>
            </w:r>
          </w:p>
        </w:tc>
        <w:tc>
          <w:tcPr>
            <w:tcW w:w="1134" w:type="dxa"/>
            <w:tcBorders>
              <w:top w:val="single" w:sz="4" w:space="0" w:color="auto"/>
            </w:tcBorders>
            <w:shd w:val="clear" w:color="auto" w:fill="auto"/>
            <w:vAlign w:val="bottom"/>
          </w:tcPr>
          <w:p w14:paraId="58CC3D78"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281.7</w:t>
            </w:r>
          </w:p>
        </w:tc>
        <w:tc>
          <w:tcPr>
            <w:tcW w:w="1134" w:type="dxa"/>
            <w:tcBorders>
              <w:top w:val="single" w:sz="4" w:space="0" w:color="auto"/>
            </w:tcBorders>
            <w:shd w:val="clear" w:color="auto" w:fill="auto"/>
            <w:vAlign w:val="bottom"/>
          </w:tcPr>
          <w:p w14:paraId="2E5F0ED8"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258.4</w:t>
            </w:r>
          </w:p>
        </w:tc>
        <w:tc>
          <w:tcPr>
            <w:tcW w:w="1134" w:type="dxa"/>
            <w:tcBorders>
              <w:top w:val="single" w:sz="4" w:space="0" w:color="auto"/>
            </w:tcBorders>
            <w:vAlign w:val="bottom"/>
          </w:tcPr>
          <w:p w14:paraId="0FC93DAD"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146.8</w:t>
            </w:r>
          </w:p>
        </w:tc>
        <w:tc>
          <w:tcPr>
            <w:tcW w:w="1134" w:type="dxa"/>
            <w:tcBorders>
              <w:top w:val="single" w:sz="4" w:space="0" w:color="auto"/>
            </w:tcBorders>
            <w:shd w:val="clear" w:color="auto" w:fill="auto"/>
            <w:vAlign w:val="bottom"/>
          </w:tcPr>
          <w:p w14:paraId="364FDB15"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w:t>
            </w:r>
          </w:p>
        </w:tc>
        <w:tc>
          <w:tcPr>
            <w:tcW w:w="1134" w:type="dxa"/>
            <w:tcBorders>
              <w:top w:val="single" w:sz="4" w:space="0" w:color="auto"/>
            </w:tcBorders>
            <w:shd w:val="clear" w:color="auto" w:fill="auto"/>
            <w:vAlign w:val="bottom"/>
          </w:tcPr>
          <w:p w14:paraId="3094882D"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1,403.5</w:t>
            </w:r>
          </w:p>
        </w:tc>
      </w:tr>
      <w:tr w:rsidR="00794AFD" w:rsidRPr="001C5950" w14:paraId="768E7739" w14:textId="77777777" w:rsidTr="00794AFD">
        <w:tc>
          <w:tcPr>
            <w:tcW w:w="3294" w:type="dxa"/>
          </w:tcPr>
          <w:p w14:paraId="1C144248" w14:textId="77777777" w:rsidR="00794AFD" w:rsidRPr="001C5950" w:rsidRDefault="00794AFD" w:rsidP="00794AFD">
            <w:pPr>
              <w:pStyle w:val="BodyText"/>
              <w:ind w:left="-74"/>
              <w:jc w:val="left"/>
              <w:rPr>
                <w:rFonts w:asciiTheme="minorHAnsi" w:hAnsiTheme="minorHAnsi" w:cs="Times New Roman"/>
                <w:sz w:val="20"/>
                <w:szCs w:val="20"/>
              </w:rPr>
            </w:pPr>
            <w:r w:rsidRPr="001C5950">
              <w:rPr>
                <w:rFonts w:asciiTheme="minorHAnsi" w:hAnsiTheme="minorHAnsi" w:cs="Times New Roman"/>
                <w:sz w:val="20"/>
                <w:szCs w:val="20"/>
              </w:rPr>
              <w:t>Operating costs excluding depreciation, amortisation and impairment</w:t>
            </w:r>
          </w:p>
        </w:tc>
        <w:tc>
          <w:tcPr>
            <w:tcW w:w="1134" w:type="dxa"/>
            <w:tcBorders>
              <w:bottom w:val="single" w:sz="4" w:space="0" w:color="auto"/>
            </w:tcBorders>
            <w:vAlign w:val="bottom"/>
          </w:tcPr>
          <w:p w14:paraId="503F72E9"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(400.5)</w:t>
            </w:r>
          </w:p>
        </w:tc>
        <w:tc>
          <w:tcPr>
            <w:tcW w:w="1134" w:type="dxa"/>
            <w:tcBorders>
              <w:bottom w:val="single" w:sz="4" w:space="0" w:color="auto"/>
            </w:tcBorders>
            <w:shd w:val="clear" w:color="auto" w:fill="auto"/>
            <w:vAlign w:val="bottom"/>
          </w:tcPr>
          <w:p w14:paraId="2D283BAC"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(144.7)</w:t>
            </w:r>
          </w:p>
        </w:tc>
        <w:tc>
          <w:tcPr>
            <w:tcW w:w="1134" w:type="dxa"/>
            <w:tcBorders>
              <w:bottom w:val="single" w:sz="4" w:space="0" w:color="auto"/>
            </w:tcBorders>
            <w:shd w:val="clear" w:color="auto" w:fill="auto"/>
            <w:vAlign w:val="bottom"/>
          </w:tcPr>
          <w:p w14:paraId="7B8605F4"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(186.8)</w:t>
            </w:r>
          </w:p>
        </w:tc>
        <w:tc>
          <w:tcPr>
            <w:tcW w:w="1134" w:type="dxa"/>
            <w:tcBorders>
              <w:bottom w:val="single" w:sz="4" w:space="0" w:color="auto"/>
            </w:tcBorders>
            <w:vAlign w:val="bottom"/>
          </w:tcPr>
          <w:p w14:paraId="5F9F64FD"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(161.3)</w:t>
            </w:r>
          </w:p>
        </w:tc>
        <w:tc>
          <w:tcPr>
            <w:tcW w:w="1134" w:type="dxa"/>
            <w:tcBorders>
              <w:bottom w:val="single" w:sz="4" w:space="0" w:color="auto"/>
            </w:tcBorders>
            <w:shd w:val="clear" w:color="auto" w:fill="auto"/>
            <w:vAlign w:val="bottom"/>
          </w:tcPr>
          <w:p w14:paraId="00F227CA"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(59.2)</w:t>
            </w:r>
          </w:p>
        </w:tc>
        <w:tc>
          <w:tcPr>
            <w:tcW w:w="1134" w:type="dxa"/>
            <w:tcBorders>
              <w:bottom w:val="single" w:sz="4" w:space="0" w:color="auto"/>
            </w:tcBorders>
            <w:shd w:val="clear" w:color="auto" w:fill="auto"/>
            <w:vAlign w:val="bottom"/>
          </w:tcPr>
          <w:p w14:paraId="64ED16BF"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(952.5)</w:t>
            </w:r>
          </w:p>
        </w:tc>
      </w:tr>
      <w:tr w:rsidR="00794AFD" w:rsidRPr="001C5950" w14:paraId="02DCA93D" w14:textId="77777777" w:rsidTr="00794AFD">
        <w:tc>
          <w:tcPr>
            <w:tcW w:w="3294" w:type="dxa"/>
          </w:tcPr>
          <w:p w14:paraId="5280C935" w14:textId="77777777" w:rsidR="00794AFD" w:rsidRPr="001C5950" w:rsidRDefault="00794AFD" w:rsidP="00794AFD">
            <w:pPr>
              <w:pStyle w:val="BodyText"/>
              <w:ind w:left="-74"/>
              <w:jc w:val="left"/>
              <w:rPr>
                <w:rFonts w:asciiTheme="minorHAnsi" w:hAnsiTheme="minorHAnsi" w:cs="Times New Roman"/>
                <w:sz w:val="20"/>
                <w:szCs w:val="20"/>
              </w:rPr>
            </w:pPr>
            <w:r>
              <w:rPr>
                <w:rFonts w:asciiTheme="minorHAnsi" w:hAnsiTheme="minorHAnsi" w:cs="Times New Roman"/>
                <w:sz w:val="20"/>
                <w:szCs w:val="20"/>
              </w:rPr>
              <w:t xml:space="preserve">Underlying </w:t>
            </w:r>
            <w:r w:rsidRPr="001C5950">
              <w:rPr>
                <w:rFonts w:asciiTheme="minorHAnsi" w:hAnsiTheme="minorHAnsi" w:cs="Times New Roman"/>
                <w:sz w:val="20"/>
                <w:szCs w:val="20"/>
              </w:rPr>
              <w:t xml:space="preserve">EBITDA </w:t>
            </w:r>
            <w:r w:rsidRPr="001C5950">
              <w:rPr>
                <w:rFonts w:asciiTheme="minorHAnsi" w:hAnsiTheme="minorHAnsi" w:cs="Times New Roman"/>
                <w:sz w:val="20"/>
                <w:szCs w:val="20"/>
                <w:vertAlign w:val="superscript"/>
              </w:rPr>
              <w:t>1</w:t>
            </w:r>
          </w:p>
        </w:tc>
        <w:tc>
          <w:tcPr>
            <w:tcW w:w="1134" w:type="dxa"/>
            <w:tcBorders>
              <w:top w:val="single" w:sz="4" w:space="0" w:color="auto"/>
            </w:tcBorders>
            <w:vAlign w:val="bottom"/>
          </w:tcPr>
          <w:p w14:paraId="31B3C7B4"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316.1</w:t>
            </w:r>
          </w:p>
        </w:tc>
        <w:tc>
          <w:tcPr>
            <w:tcW w:w="1134" w:type="dxa"/>
            <w:tcBorders>
              <w:top w:val="single" w:sz="4" w:space="0" w:color="auto"/>
            </w:tcBorders>
            <w:shd w:val="clear" w:color="auto" w:fill="auto"/>
            <w:vAlign w:val="bottom"/>
          </w:tcPr>
          <w:p w14:paraId="590108E0"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137.0</w:t>
            </w:r>
          </w:p>
        </w:tc>
        <w:tc>
          <w:tcPr>
            <w:tcW w:w="1134" w:type="dxa"/>
            <w:tcBorders>
              <w:top w:val="single" w:sz="4" w:space="0" w:color="auto"/>
            </w:tcBorders>
            <w:shd w:val="clear" w:color="auto" w:fill="auto"/>
            <w:vAlign w:val="bottom"/>
          </w:tcPr>
          <w:p w14:paraId="17BE53F7"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71.6</w:t>
            </w:r>
          </w:p>
        </w:tc>
        <w:tc>
          <w:tcPr>
            <w:tcW w:w="1134" w:type="dxa"/>
            <w:tcBorders>
              <w:top w:val="single" w:sz="4" w:space="0" w:color="auto"/>
            </w:tcBorders>
            <w:vAlign w:val="bottom"/>
          </w:tcPr>
          <w:p w14:paraId="7BA7F55B"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(14.5)</w:t>
            </w:r>
          </w:p>
        </w:tc>
        <w:tc>
          <w:tcPr>
            <w:tcW w:w="1134" w:type="dxa"/>
            <w:tcBorders>
              <w:top w:val="single" w:sz="4" w:space="0" w:color="auto"/>
            </w:tcBorders>
            <w:shd w:val="clear" w:color="auto" w:fill="auto"/>
            <w:vAlign w:val="bottom"/>
          </w:tcPr>
          <w:p w14:paraId="757CA0F6"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(59.2)</w:t>
            </w:r>
          </w:p>
        </w:tc>
        <w:tc>
          <w:tcPr>
            <w:tcW w:w="1134" w:type="dxa"/>
            <w:tcBorders>
              <w:top w:val="single" w:sz="4" w:space="0" w:color="auto"/>
            </w:tcBorders>
            <w:shd w:val="clear" w:color="auto" w:fill="auto"/>
            <w:vAlign w:val="bottom"/>
          </w:tcPr>
          <w:p w14:paraId="4937F5C7"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451.0</w:t>
            </w:r>
          </w:p>
        </w:tc>
      </w:tr>
      <w:tr w:rsidR="00794AFD" w:rsidRPr="001C5950" w14:paraId="2570CCEA" w14:textId="77777777" w:rsidTr="00794AFD">
        <w:tc>
          <w:tcPr>
            <w:tcW w:w="3294" w:type="dxa"/>
            <w:tcBorders>
              <w:bottom w:val="single" w:sz="4" w:space="0" w:color="auto"/>
            </w:tcBorders>
          </w:tcPr>
          <w:p w14:paraId="665549BF" w14:textId="77777777" w:rsidR="00794AFD" w:rsidRPr="001C5950" w:rsidRDefault="00794AFD" w:rsidP="00794AFD">
            <w:pPr>
              <w:pStyle w:val="BodyText"/>
              <w:ind w:left="-74"/>
              <w:jc w:val="left"/>
              <w:rPr>
                <w:rFonts w:asciiTheme="minorHAnsi" w:hAnsiTheme="minorHAnsi" w:cs="Times New Roman"/>
                <w:b/>
                <w:sz w:val="20"/>
                <w:szCs w:val="20"/>
              </w:rPr>
            </w:pPr>
            <w:r w:rsidRPr="001C5950">
              <w:rPr>
                <w:rFonts w:asciiTheme="minorHAnsi" w:hAnsiTheme="minorHAnsi" w:cs="Times New Roman"/>
                <w:sz w:val="20"/>
                <w:szCs w:val="20"/>
              </w:rPr>
              <w:t>Depreciation and amortisation</w:t>
            </w:r>
          </w:p>
        </w:tc>
        <w:tc>
          <w:tcPr>
            <w:tcW w:w="1134" w:type="dxa"/>
            <w:tcBorders>
              <w:bottom w:val="single" w:sz="4" w:space="0" w:color="auto"/>
            </w:tcBorders>
            <w:vAlign w:val="bottom"/>
          </w:tcPr>
          <w:p w14:paraId="70FB1441"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(41.6)</w:t>
            </w:r>
          </w:p>
        </w:tc>
        <w:tc>
          <w:tcPr>
            <w:tcW w:w="1134" w:type="dxa"/>
            <w:tcBorders>
              <w:bottom w:val="single" w:sz="4" w:space="0" w:color="auto"/>
            </w:tcBorders>
            <w:shd w:val="clear" w:color="auto" w:fill="auto"/>
            <w:vAlign w:val="bottom"/>
          </w:tcPr>
          <w:p w14:paraId="6B44F9B9"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(17.6)</w:t>
            </w:r>
          </w:p>
        </w:tc>
        <w:tc>
          <w:tcPr>
            <w:tcW w:w="1134" w:type="dxa"/>
            <w:tcBorders>
              <w:bottom w:val="single" w:sz="4" w:space="0" w:color="auto"/>
            </w:tcBorders>
            <w:shd w:val="clear" w:color="auto" w:fill="auto"/>
            <w:vAlign w:val="bottom"/>
          </w:tcPr>
          <w:p w14:paraId="502D0EA4"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(20.8)</w:t>
            </w:r>
          </w:p>
        </w:tc>
        <w:tc>
          <w:tcPr>
            <w:tcW w:w="1134" w:type="dxa"/>
            <w:tcBorders>
              <w:bottom w:val="single" w:sz="4" w:space="0" w:color="auto"/>
            </w:tcBorders>
            <w:vAlign w:val="bottom"/>
          </w:tcPr>
          <w:p w14:paraId="6B977AB9"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(10.5)</w:t>
            </w:r>
          </w:p>
        </w:tc>
        <w:tc>
          <w:tcPr>
            <w:tcW w:w="1134" w:type="dxa"/>
            <w:tcBorders>
              <w:bottom w:val="single" w:sz="4" w:space="0" w:color="auto"/>
            </w:tcBorders>
            <w:shd w:val="clear" w:color="auto" w:fill="auto"/>
            <w:vAlign w:val="bottom"/>
          </w:tcPr>
          <w:p w14:paraId="2D4C008C"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w:t>
            </w:r>
          </w:p>
        </w:tc>
        <w:tc>
          <w:tcPr>
            <w:tcW w:w="1134" w:type="dxa"/>
            <w:tcBorders>
              <w:bottom w:val="single" w:sz="4" w:space="0" w:color="auto"/>
            </w:tcBorders>
            <w:shd w:val="clear" w:color="auto" w:fill="auto"/>
            <w:vAlign w:val="bottom"/>
          </w:tcPr>
          <w:p w14:paraId="57BDBFB8"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(90.5)</w:t>
            </w:r>
          </w:p>
        </w:tc>
      </w:tr>
      <w:tr w:rsidR="00794AFD" w:rsidRPr="001C5950" w14:paraId="0F43B5E0" w14:textId="77777777" w:rsidTr="00794AFD">
        <w:trPr>
          <w:trHeight w:val="148"/>
        </w:trPr>
        <w:tc>
          <w:tcPr>
            <w:tcW w:w="3294" w:type="dxa"/>
            <w:tcBorders>
              <w:top w:val="single" w:sz="4" w:space="0" w:color="auto"/>
            </w:tcBorders>
          </w:tcPr>
          <w:p w14:paraId="7371E307" w14:textId="77777777" w:rsidR="00794AFD" w:rsidRPr="001C5950" w:rsidRDefault="00794AFD" w:rsidP="00794AFD">
            <w:pPr>
              <w:pStyle w:val="BodyText"/>
              <w:ind w:left="-74"/>
              <w:jc w:val="left"/>
              <w:rPr>
                <w:rFonts w:asciiTheme="minorHAnsi" w:hAnsiTheme="minorHAnsi" w:cs="Times New Roman"/>
                <w:b/>
                <w:sz w:val="20"/>
                <w:szCs w:val="20"/>
              </w:rPr>
            </w:pPr>
            <w:r w:rsidRPr="001C5950">
              <w:rPr>
                <w:rFonts w:asciiTheme="minorHAnsi" w:hAnsiTheme="minorHAnsi" w:cs="Times New Roman"/>
                <w:sz w:val="20"/>
                <w:szCs w:val="20"/>
              </w:rPr>
              <w:t>Reportable segment profit / (loss) before separately disclosed items</w:t>
            </w:r>
          </w:p>
        </w:tc>
        <w:tc>
          <w:tcPr>
            <w:tcW w:w="1134" w:type="dxa"/>
            <w:tcBorders>
              <w:top w:val="single" w:sz="4" w:space="0" w:color="auto"/>
            </w:tcBorders>
            <w:shd w:val="clear" w:color="auto" w:fill="auto"/>
            <w:vAlign w:val="bottom"/>
          </w:tcPr>
          <w:p w14:paraId="731F8252"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274.5</w:t>
            </w:r>
          </w:p>
        </w:tc>
        <w:tc>
          <w:tcPr>
            <w:tcW w:w="1134" w:type="dxa"/>
            <w:tcBorders>
              <w:top w:val="single" w:sz="4" w:space="0" w:color="auto"/>
            </w:tcBorders>
            <w:shd w:val="clear" w:color="auto" w:fill="auto"/>
            <w:vAlign w:val="bottom"/>
          </w:tcPr>
          <w:p w14:paraId="1AD76A85"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119.4</w:t>
            </w:r>
          </w:p>
        </w:tc>
        <w:tc>
          <w:tcPr>
            <w:tcW w:w="1134" w:type="dxa"/>
            <w:tcBorders>
              <w:top w:val="single" w:sz="4" w:space="0" w:color="auto"/>
            </w:tcBorders>
            <w:shd w:val="clear" w:color="auto" w:fill="auto"/>
            <w:vAlign w:val="bottom"/>
          </w:tcPr>
          <w:p w14:paraId="551E24FD"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50.8</w:t>
            </w:r>
          </w:p>
        </w:tc>
        <w:tc>
          <w:tcPr>
            <w:tcW w:w="1134" w:type="dxa"/>
            <w:tcBorders>
              <w:top w:val="single" w:sz="4" w:space="0" w:color="auto"/>
            </w:tcBorders>
            <w:shd w:val="clear" w:color="auto" w:fill="auto"/>
            <w:vAlign w:val="bottom"/>
          </w:tcPr>
          <w:p w14:paraId="007DF25A"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(25.0)</w:t>
            </w:r>
          </w:p>
        </w:tc>
        <w:tc>
          <w:tcPr>
            <w:tcW w:w="1134" w:type="dxa"/>
            <w:tcBorders>
              <w:top w:val="single" w:sz="4" w:space="0" w:color="auto"/>
            </w:tcBorders>
            <w:shd w:val="clear" w:color="auto" w:fill="auto"/>
            <w:vAlign w:val="bottom"/>
          </w:tcPr>
          <w:p w14:paraId="7AC72482"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(59.2)</w:t>
            </w:r>
          </w:p>
        </w:tc>
        <w:tc>
          <w:tcPr>
            <w:tcW w:w="1134" w:type="dxa"/>
            <w:tcBorders>
              <w:top w:val="single" w:sz="4" w:space="0" w:color="auto"/>
            </w:tcBorders>
            <w:shd w:val="clear" w:color="auto" w:fill="auto"/>
            <w:vAlign w:val="bottom"/>
          </w:tcPr>
          <w:p w14:paraId="44D089CF"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360.5</w:t>
            </w:r>
          </w:p>
        </w:tc>
      </w:tr>
      <w:tr w:rsidR="00794AFD" w:rsidRPr="001C5950" w14:paraId="7DD51999" w14:textId="77777777" w:rsidTr="00794AFD">
        <w:trPr>
          <w:trHeight w:val="148"/>
        </w:trPr>
        <w:tc>
          <w:tcPr>
            <w:tcW w:w="3294" w:type="dxa"/>
          </w:tcPr>
          <w:p w14:paraId="33A50687" w14:textId="77777777" w:rsidR="00794AFD" w:rsidRPr="001C5950" w:rsidRDefault="00794AFD" w:rsidP="00794AFD">
            <w:pPr>
              <w:pStyle w:val="BodyText"/>
              <w:ind w:left="-74"/>
              <w:jc w:val="left"/>
              <w:rPr>
                <w:rFonts w:asciiTheme="minorHAnsi" w:hAnsiTheme="minorHAnsi" w:cs="Times New Roman"/>
                <w:sz w:val="20"/>
                <w:szCs w:val="20"/>
              </w:rPr>
            </w:pPr>
            <w:r w:rsidRPr="001C5950">
              <w:rPr>
                <w:rFonts w:asciiTheme="minorHAnsi" w:hAnsiTheme="minorHAnsi" w:cs="Times New Roman"/>
                <w:sz w:val="20"/>
                <w:szCs w:val="20"/>
              </w:rPr>
              <w:t>Amortisation of acquisition related intangible assets (Note 4)</w:t>
            </w:r>
          </w:p>
        </w:tc>
        <w:tc>
          <w:tcPr>
            <w:tcW w:w="1134" w:type="dxa"/>
            <w:vAlign w:val="bottom"/>
          </w:tcPr>
          <w:p w14:paraId="5CF82CB4"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(79.9)</w:t>
            </w:r>
          </w:p>
        </w:tc>
        <w:tc>
          <w:tcPr>
            <w:tcW w:w="1134" w:type="dxa"/>
            <w:shd w:val="clear" w:color="auto" w:fill="auto"/>
            <w:vAlign w:val="bottom"/>
          </w:tcPr>
          <w:p w14:paraId="37D7D00E"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w:t>
            </w:r>
          </w:p>
        </w:tc>
        <w:tc>
          <w:tcPr>
            <w:tcW w:w="1134" w:type="dxa"/>
            <w:shd w:val="clear" w:color="auto" w:fill="auto"/>
            <w:vAlign w:val="bottom"/>
          </w:tcPr>
          <w:p w14:paraId="6D557AAE"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w:t>
            </w:r>
          </w:p>
        </w:tc>
        <w:tc>
          <w:tcPr>
            <w:tcW w:w="1134" w:type="dxa"/>
            <w:vAlign w:val="bottom"/>
          </w:tcPr>
          <w:p w14:paraId="03505E00"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(20.8)</w:t>
            </w:r>
          </w:p>
        </w:tc>
        <w:tc>
          <w:tcPr>
            <w:tcW w:w="1134" w:type="dxa"/>
            <w:shd w:val="clear" w:color="auto" w:fill="auto"/>
            <w:vAlign w:val="bottom"/>
          </w:tcPr>
          <w:p w14:paraId="3D32D1FC"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w:t>
            </w:r>
          </w:p>
        </w:tc>
        <w:tc>
          <w:tcPr>
            <w:tcW w:w="1134" w:type="dxa"/>
            <w:shd w:val="clear" w:color="auto" w:fill="auto"/>
            <w:vAlign w:val="bottom"/>
          </w:tcPr>
          <w:p w14:paraId="61AE7BED"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(100.7)</w:t>
            </w:r>
          </w:p>
        </w:tc>
      </w:tr>
      <w:tr w:rsidR="00794AFD" w:rsidRPr="001C5950" w14:paraId="2A778826" w14:textId="77777777" w:rsidTr="00794AFD">
        <w:trPr>
          <w:trHeight w:val="148"/>
        </w:trPr>
        <w:tc>
          <w:tcPr>
            <w:tcW w:w="3294" w:type="dxa"/>
            <w:tcBorders>
              <w:bottom w:val="single" w:sz="4" w:space="0" w:color="auto"/>
            </w:tcBorders>
          </w:tcPr>
          <w:p w14:paraId="7343EF00" w14:textId="77777777" w:rsidR="00794AFD" w:rsidRPr="001C5950" w:rsidRDefault="00794AFD" w:rsidP="00794AFD">
            <w:pPr>
              <w:pStyle w:val="BodyText"/>
              <w:ind w:left="-74"/>
              <w:jc w:val="left"/>
              <w:rPr>
                <w:rFonts w:asciiTheme="minorHAnsi" w:hAnsiTheme="minorHAnsi" w:cs="Times New Roman"/>
                <w:sz w:val="20"/>
                <w:szCs w:val="20"/>
              </w:rPr>
            </w:pPr>
            <w:r w:rsidRPr="001C5950">
              <w:rPr>
                <w:rFonts w:asciiTheme="minorHAnsi" w:hAnsiTheme="minorHAnsi" w:cs="Times New Roman"/>
                <w:sz w:val="20"/>
                <w:szCs w:val="20"/>
              </w:rPr>
              <w:t>Impairment of goodwill and intangible assets (Note 4)</w:t>
            </w:r>
          </w:p>
        </w:tc>
        <w:tc>
          <w:tcPr>
            <w:tcW w:w="1134" w:type="dxa"/>
            <w:tcBorders>
              <w:bottom w:val="single" w:sz="4" w:space="0" w:color="auto"/>
            </w:tcBorders>
            <w:vAlign w:val="bottom"/>
          </w:tcPr>
          <w:p w14:paraId="1034CCE9"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w:t>
            </w:r>
          </w:p>
        </w:tc>
        <w:tc>
          <w:tcPr>
            <w:tcW w:w="1134" w:type="dxa"/>
            <w:tcBorders>
              <w:bottom w:val="single" w:sz="4" w:space="0" w:color="auto"/>
            </w:tcBorders>
            <w:shd w:val="clear" w:color="auto" w:fill="auto"/>
            <w:vAlign w:val="bottom"/>
          </w:tcPr>
          <w:p w14:paraId="54A5CE80"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w:t>
            </w:r>
          </w:p>
        </w:tc>
        <w:tc>
          <w:tcPr>
            <w:tcW w:w="1134" w:type="dxa"/>
            <w:tcBorders>
              <w:bottom w:val="single" w:sz="4" w:space="0" w:color="auto"/>
            </w:tcBorders>
            <w:shd w:val="clear" w:color="auto" w:fill="auto"/>
            <w:vAlign w:val="bottom"/>
          </w:tcPr>
          <w:p w14:paraId="77EFE5C1"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w:t>
            </w:r>
          </w:p>
        </w:tc>
        <w:tc>
          <w:tcPr>
            <w:tcW w:w="1134" w:type="dxa"/>
            <w:tcBorders>
              <w:bottom w:val="single" w:sz="4" w:space="0" w:color="auto"/>
            </w:tcBorders>
            <w:vAlign w:val="bottom"/>
          </w:tcPr>
          <w:p w14:paraId="494E1479"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(27.2)</w:t>
            </w:r>
          </w:p>
        </w:tc>
        <w:tc>
          <w:tcPr>
            <w:tcW w:w="1134" w:type="dxa"/>
            <w:tcBorders>
              <w:bottom w:val="single" w:sz="4" w:space="0" w:color="auto"/>
            </w:tcBorders>
            <w:shd w:val="clear" w:color="auto" w:fill="auto"/>
            <w:vAlign w:val="bottom"/>
          </w:tcPr>
          <w:p w14:paraId="53744D6F"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w:t>
            </w:r>
          </w:p>
        </w:tc>
        <w:tc>
          <w:tcPr>
            <w:tcW w:w="1134" w:type="dxa"/>
            <w:tcBorders>
              <w:bottom w:val="single" w:sz="4" w:space="0" w:color="auto"/>
            </w:tcBorders>
            <w:shd w:val="clear" w:color="auto" w:fill="auto"/>
            <w:vAlign w:val="bottom"/>
          </w:tcPr>
          <w:p w14:paraId="2FCB6F3F" w14:textId="77777777" w:rsidR="00794AFD" w:rsidRPr="001A7299" w:rsidRDefault="00794AFD" w:rsidP="00794AFD">
            <w:pPr>
              <w:pStyle w:val="BodyText"/>
              <w:ind w:left="-74"/>
              <w:jc w:val="right"/>
              <w:rPr>
                <w:rFonts w:asciiTheme="minorHAnsi" w:hAnsiTheme="minorHAnsi" w:cs="Times New Roman"/>
                <w:sz w:val="20"/>
                <w:szCs w:val="20"/>
              </w:rPr>
            </w:pPr>
            <w:r w:rsidRPr="001A7299">
              <w:rPr>
                <w:rFonts w:asciiTheme="minorHAnsi" w:hAnsiTheme="minorHAnsi" w:cs="Times New Roman"/>
                <w:sz w:val="20"/>
                <w:szCs w:val="20"/>
              </w:rPr>
              <w:t>(27.2)</w:t>
            </w:r>
          </w:p>
        </w:tc>
      </w:tr>
      <w:tr w:rsidR="00794AFD" w:rsidRPr="001C5950" w14:paraId="600E3FE8" w14:textId="77777777" w:rsidTr="00794AFD">
        <w:trPr>
          <w:trHeight w:val="148"/>
        </w:trPr>
        <w:tc>
          <w:tcPr>
            <w:tcW w:w="3294" w:type="dxa"/>
            <w:tcBorders>
              <w:top w:val="single" w:sz="4" w:space="0" w:color="auto"/>
            </w:tcBorders>
          </w:tcPr>
          <w:p w14:paraId="46AEDF7D" w14:textId="77777777" w:rsidR="00794AFD" w:rsidRPr="001C5950" w:rsidRDefault="00794AFD" w:rsidP="00794AFD">
            <w:pPr>
              <w:pStyle w:val="BodyText"/>
              <w:ind w:left="-74"/>
              <w:jc w:val="left"/>
              <w:rPr>
                <w:rFonts w:asciiTheme="minorHAnsi" w:hAnsiTheme="minorHAnsi" w:cs="Times New Roman"/>
                <w:sz w:val="20"/>
                <w:szCs w:val="20"/>
              </w:rPr>
            </w:pPr>
            <w:r w:rsidRPr="001C5950">
              <w:rPr>
                <w:rFonts w:asciiTheme="minorHAnsi" w:hAnsiTheme="minorHAnsi" w:cs="Times New Roman"/>
                <w:sz w:val="20"/>
                <w:szCs w:val="20"/>
              </w:rPr>
              <w:t>Reportable segment profit / (loss) after amortisation of acquisition related intangible assets and impairment of goodwill and intangible assets</w:t>
            </w:r>
          </w:p>
        </w:tc>
        <w:tc>
          <w:tcPr>
            <w:tcW w:w="1134" w:type="dxa"/>
            <w:tcBorders>
              <w:top w:val="single" w:sz="4" w:space="0" w:color="auto"/>
            </w:tcBorders>
            <w:vAlign w:val="bottom"/>
          </w:tcPr>
          <w:p w14:paraId="3DC09567" w14:textId="77777777" w:rsidR="00794AFD" w:rsidRPr="001A7299" w:rsidRDefault="00794AFD" w:rsidP="00794AFD">
            <w:pPr>
              <w:pStyle w:val="BodyText"/>
              <w:jc w:val="right"/>
              <w:rPr>
                <w:rFonts w:asciiTheme="minorHAnsi" w:hAnsiTheme="minorHAnsi" w:cs="Times New Roman"/>
                <w:sz w:val="20"/>
                <w:szCs w:val="20"/>
              </w:rPr>
            </w:pPr>
            <w:r w:rsidRPr="001A7299">
              <w:rPr>
                <w:rFonts w:asciiTheme="minorHAnsi" w:hAnsiTheme="minorHAnsi" w:cs="Times New Roman"/>
                <w:sz w:val="20"/>
                <w:szCs w:val="20"/>
              </w:rPr>
              <w:t>194.6</w:t>
            </w:r>
          </w:p>
        </w:tc>
        <w:tc>
          <w:tcPr>
            <w:tcW w:w="1134" w:type="dxa"/>
            <w:tcBorders>
              <w:top w:val="single" w:sz="4" w:space="0" w:color="auto"/>
            </w:tcBorders>
            <w:shd w:val="clear" w:color="auto" w:fill="auto"/>
            <w:vAlign w:val="bottom"/>
          </w:tcPr>
          <w:p w14:paraId="203065D7" w14:textId="77777777" w:rsidR="00794AFD" w:rsidRPr="001A7299" w:rsidRDefault="00794AFD" w:rsidP="00794AFD">
            <w:pPr>
              <w:pStyle w:val="BodyText"/>
              <w:jc w:val="right"/>
              <w:rPr>
                <w:rFonts w:asciiTheme="minorHAnsi" w:hAnsiTheme="minorHAnsi" w:cs="Times New Roman"/>
                <w:sz w:val="20"/>
                <w:szCs w:val="20"/>
              </w:rPr>
            </w:pPr>
            <w:r w:rsidRPr="001A7299">
              <w:rPr>
                <w:rFonts w:asciiTheme="minorHAnsi" w:hAnsiTheme="minorHAnsi" w:cs="Times New Roman"/>
                <w:sz w:val="20"/>
                <w:szCs w:val="20"/>
              </w:rPr>
              <w:t>119.4</w:t>
            </w:r>
          </w:p>
        </w:tc>
        <w:tc>
          <w:tcPr>
            <w:tcW w:w="1134" w:type="dxa"/>
            <w:tcBorders>
              <w:top w:val="single" w:sz="4" w:space="0" w:color="auto"/>
            </w:tcBorders>
            <w:shd w:val="clear" w:color="auto" w:fill="auto"/>
            <w:vAlign w:val="bottom"/>
          </w:tcPr>
          <w:p w14:paraId="7BBF9F46" w14:textId="77777777" w:rsidR="00794AFD" w:rsidRPr="001A7299" w:rsidRDefault="00794AFD" w:rsidP="00794AFD">
            <w:pPr>
              <w:pStyle w:val="BodyText"/>
              <w:jc w:val="right"/>
              <w:rPr>
                <w:rFonts w:asciiTheme="minorHAnsi" w:hAnsiTheme="minorHAnsi" w:cs="Times New Roman"/>
                <w:sz w:val="20"/>
                <w:szCs w:val="20"/>
              </w:rPr>
            </w:pPr>
            <w:r w:rsidRPr="001A7299">
              <w:rPr>
                <w:rFonts w:asciiTheme="minorHAnsi" w:hAnsiTheme="minorHAnsi" w:cs="Times New Roman"/>
                <w:sz w:val="20"/>
                <w:szCs w:val="20"/>
              </w:rPr>
              <w:t>50.8</w:t>
            </w:r>
          </w:p>
        </w:tc>
        <w:tc>
          <w:tcPr>
            <w:tcW w:w="1134" w:type="dxa"/>
            <w:tcBorders>
              <w:top w:val="single" w:sz="4" w:space="0" w:color="auto"/>
            </w:tcBorders>
            <w:vAlign w:val="bottom"/>
          </w:tcPr>
          <w:p w14:paraId="014E4D26" w14:textId="77777777" w:rsidR="00794AFD" w:rsidRPr="001A7299" w:rsidRDefault="00794AFD" w:rsidP="00794AFD">
            <w:pPr>
              <w:pStyle w:val="BodyText"/>
              <w:jc w:val="right"/>
              <w:rPr>
                <w:rFonts w:asciiTheme="minorHAnsi" w:hAnsiTheme="minorHAnsi" w:cs="Times New Roman"/>
                <w:sz w:val="20"/>
                <w:szCs w:val="20"/>
              </w:rPr>
            </w:pPr>
            <w:r w:rsidRPr="001A7299">
              <w:rPr>
                <w:rFonts w:asciiTheme="minorHAnsi" w:hAnsiTheme="minorHAnsi" w:cs="Times New Roman"/>
                <w:sz w:val="20"/>
                <w:szCs w:val="20"/>
              </w:rPr>
              <w:t>(73.0)</w:t>
            </w:r>
          </w:p>
        </w:tc>
        <w:tc>
          <w:tcPr>
            <w:tcW w:w="1134" w:type="dxa"/>
            <w:tcBorders>
              <w:top w:val="single" w:sz="4" w:space="0" w:color="auto"/>
            </w:tcBorders>
            <w:shd w:val="clear" w:color="auto" w:fill="auto"/>
            <w:vAlign w:val="bottom"/>
          </w:tcPr>
          <w:p w14:paraId="33F26314" w14:textId="77777777" w:rsidR="00794AFD" w:rsidRPr="001A7299" w:rsidRDefault="00794AFD" w:rsidP="00794AFD">
            <w:pPr>
              <w:pStyle w:val="BodyText"/>
              <w:jc w:val="right"/>
              <w:rPr>
                <w:rFonts w:asciiTheme="minorHAnsi" w:hAnsiTheme="minorHAnsi" w:cs="Times New Roman"/>
                <w:sz w:val="20"/>
                <w:szCs w:val="20"/>
              </w:rPr>
            </w:pPr>
            <w:r w:rsidRPr="001A7299">
              <w:rPr>
                <w:rFonts w:asciiTheme="minorHAnsi" w:hAnsiTheme="minorHAnsi" w:cs="Times New Roman"/>
                <w:sz w:val="20"/>
                <w:szCs w:val="20"/>
              </w:rPr>
              <w:t>(59.2)</w:t>
            </w:r>
          </w:p>
        </w:tc>
        <w:tc>
          <w:tcPr>
            <w:tcW w:w="1134" w:type="dxa"/>
            <w:tcBorders>
              <w:top w:val="single" w:sz="4" w:space="0" w:color="auto"/>
            </w:tcBorders>
            <w:shd w:val="clear" w:color="auto" w:fill="auto"/>
            <w:vAlign w:val="bottom"/>
          </w:tcPr>
          <w:p w14:paraId="74CFB98D" w14:textId="77777777" w:rsidR="00794AFD" w:rsidRPr="001A7299" w:rsidRDefault="00794AFD" w:rsidP="00794AFD">
            <w:pPr>
              <w:pStyle w:val="BodyText"/>
              <w:jc w:val="right"/>
              <w:rPr>
                <w:rFonts w:asciiTheme="minorHAnsi" w:hAnsiTheme="minorHAnsi" w:cs="Times New Roman"/>
                <w:sz w:val="20"/>
                <w:szCs w:val="20"/>
              </w:rPr>
            </w:pPr>
            <w:r w:rsidRPr="001A7299">
              <w:rPr>
                <w:rFonts w:asciiTheme="minorHAnsi" w:hAnsiTheme="minorHAnsi" w:cs="Times New Roman"/>
                <w:sz w:val="20"/>
                <w:szCs w:val="20"/>
              </w:rPr>
              <w:t>232.6</w:t>
            </w:r>
          </w:p>
        </w:tc>
      </w:tr>
      <w:tr w:rsidR="00794AFD" w:rsidRPr="001C5950" w14:paraId="3F07CB23" w14:textId="77777777" w:rsidTr="00794AFD">
        <w:trPr>
          <w:trHeight w:val="148"/>
        </w:trPr>
        <w:tc>
          <w:tcPr>
            <w:tcW w:w="3294" w:type="dxa"/>
            <w:tcBorders>
              <w:top w:val="single" w:sz="4" w:space="0" w:color="auto"/>
            </w:tcBorders>
          </w:tcPr>
          <w:p w14:paraId="1DB69C3F" w14:textId="77777777" w:rsidR="00794AFD" w:rsidRPr="001C5950" w:rsidRDefault="00794AFD" w:rsidP="00794AFD">
            <w:pPr>
              <w:pStyle w:val="BodyText"/>
              <w:ind w:left="-74"/>
              <w:jc w:val="left"/>
              <w:rPr>
                <w:rFonts w:asciiTheme="minorHAnsi" w:hAnsiTheme="minorHAnsi" w:cs="Times New Roman"/>
                <w:sz w:val="20"/>
                <w:szCs w:val="20"/>
              </w:rPr>
            </w:pPr>
            <w:r w:rsidRPr="001C5950">
              <w:rPr>
                <w:rFonts w:asciiTheme="minorHAnsi" w:hAnsiTheme="minorHAnsi" w:cs="Times New Roman"/>
                <w:sz w:val="20"/>
                <w:szCs w:val="20"/>
              </w:rPr>
              <w:t xml:space="preserve">Restructuring and strategic initiatives </w:t>
            </w:r>
            <w:r w:rsidRPr="001C5950">
              <w:rPr>
                <w:rFonts w:asciiTheme="minorHAnsi" w:hAnsiTheme="minorHAnsi" w:cs="Times New Roman"/>
                <w:sz w:val="20"/>
                <w:szCs w:val="20"/>
                <w:vertAlign w:val="superscript"/>
              </w:rPr>
              <w:t>2</w:t>
            </w:r>
            <w:r w:rsidRPr="001C5950">
              <w:rPr>
                <w:rFonts w:asciiTheme="minorHAnsi" w:hAnsiTheme="minorHAnsi" w:cs="Times New Roman"/>
                <w:sz w:val="20"/>
                <w:szCs w:val="20"/>
              </w:rPr>
              <w:t xml:space="preserve"> (Note 4)</w:t>
            </w:r>
          </w:p>
        </w:tc>
        <w:tc>
          <w:tcPr>
            <w:tcW w:w="1134" w:type="dxa"/>
            <w:tcBorders>
              <w:top w:val="single" w:sz="4" w:space="0" w:color="auto"/>
            </w:tcBorders>
            <w:vAlign w:val="bottom"/>
          </w:tcPr>
          <w:p w14:paraId="0194E51F" w14:textId="77777777" w:rsidR="00794AFD" w:rsidRPr="001A7299" w:rsidRDefault="00794AFD" w:rsidP="00794AFD">
            <w:pPr>
              <w:pStyle w:val="BodyText"/>
              <w:jc w:val="right"/>
              <w:rPr>
                <w:rFonts w:asciiTheme="minorHAnsi" w:hAnsiTheme="minorHAnsi" w:cs="Times New Roman"/>
                <w:sz w:val="20"/>
                <w:szCs w:val="20"/>
              </w:rPr>
            </w:pPr>
          </w:p>
        </w:tc>
        <w:tc>
          <w:tcPr>
            <w:tcW w:w="1134" w:type="dxa"/>
            <w:tcBorders>
              <w:top w:val="single" w:sz="4" w:space="0" w:color="auto"/>
            </w:tcBorders>
            <w:shd w:val="clear" w:color="auto" w:fill="auto"/>
            <w:vAlign w:val="bottom"/>
          </w:tcPr>
          <w:p w14:paraId="48268DA2" w14:textId="77777777" w:rsidR="00794AFD" w:rsidRPr="001A7299" w:rsidRDefault="00794AFD" w:rsidP="00794AFD">
            <w:pPr>
              <w:pStyle w:val="BodyText"/>
              <w:jc w:val="right"/>
              <w:rPr>
                <w:rFonts w:asciiTheme="minorHAnsi" w:hAnsiTheme="minorHAnsi" w:cs="Times New Roman"/>
                <w:sz w:val="20"/>
                <w:szCs w:val="20"/>
              </w:rPr>
            </w:pPr>
          </w:p>
        </w:tc>
        <w:tc>
          <w:tcPr>
            <w:tcW w:w="1134" w:type="dxa"/>
            <w:tcBorders>
              <w:top w:val="single" w:sz="4" w:space="0" w:color="auto"/>
            </w:tcBorders>
            <w:shd w:val="clear" w:color="auto" w:fill="auto"/>
            <w:vAlign w:val="bottom"/>
          </w:tcPr>
          <w:p w14:paraId="0A14629D" w14:textId="77777777" w:rsidR="00794AFD" w:rsidRPr="001A7299" w:rsidRDefault="00794AFD" w:rsidP="00794AFD">
            <w:pPr>
              <w:pStyle w:val="BodyText"/>
              <w:jc w:val="right"/>
              <w:rPr>
                <w:rFonts w:asciiTheme="minorHAnsi" w:hAnsiTheme="minorHAnsi" w:cs="Times New Roman"/>
                <w:sz w:val="20"/>
                <w:szCs w:val="20"/>
              </w:rPr>
            </w:pPr>
          </w:p>
        </w:tc>
        <w:tc>
          <w:tcPr>
            <w:tcW w:w="1134" w:type="dxa"/>
            <w:tcBorders>
              <w:top w:val="single" w:sz="4" w:space="0" w:color="auto"/>
            </w:tcBorders>
            <w:vAlign w:val="bottom"/>
          </w:tcPr>
          <w:p w14:paraId="4B17C90C" w14:textId="77777777" w:rsidR="00794AFD" w:rsidRPr="001A7299" w:rsidRDefault="00794AFD" w:rsidP="00794AFD">
            <w:pPr>
              <w:pStyle w:val="BodyText"/>
              <w:jc w:val="right"/>
              <w:rPr>
                <w:rFonts w:asciiTheme="minorHAnsi" w:hAnsiTheme="minorHAnsi" w:cs="Times New Roman"/>
                <w:sz w:val="20"/>
                <w:szCs w:val="20"/>
              </w:rPr>
            </w:pPr>
          </w:p>
        </w:tc>
        <w:tc>
          <w:tcPr>
            <w:tcW w:w="1134" w:type="dxa"/>
            <w:tcBorders>
              <w:top w:val="single" w:sz="4" w:space="0" w:color="auto"/>
            </w:tcBorders>
            <w:shd w:val="clear" w:color="auto" w:fill="auto"/>
            <w:vAlign w:val="bottom"/>
          </w:tcPr>
          <w:p w14:paraId="6A88AB0C" w14:textId="77777777" w:rsidR="00794AFD" w:rsidRPr="001A7299" w:rsidRDefault="00794AFD" w:rsidP="00794AFD">
            <w:pPr>
              <w:pStyle w:val="BodyText"/>
              <w:jc w:val="right"/>
              <w:rPr>
                <w:rFonts w:asciiTheme="minorHAnsi" w:hAnsiTheme="minorHAnsi" w:cs="Times New Roman"/>
                <w:sz w:val="20"/>
                <w:szCs w:val="20"/>
              </w:rPr>
            </w:pPr>
          </w:p>
        </w:tc>
        <w:tc>
          <w:tcPr>
            <w:tcW w:w="1134" w:type="dxa"/>
            <w:shd w:val="clear" w:color="auto" w:fill="auto"/>
            <w:vAlign w:val="bottom"/>
          </w:tcPr>
          <w:p w14:paraId="1816D576" w14:textId="77777777" w:rsidR="00794AFD" w:rsidRPr="001A7299" w:rsidRDefault="00794AFD" w:rsidP="00794AFD">
            <w:pPr>
              <w:pStyle w:val="BodyText"/>
              <w:jc w:val="right"/>
              <w:rPr>
                <w:rFonts w:asciiTheme="minorHAnsi" w:hAnsiTheme="minorHAnsi" w:cs="Times New Roman"/>
                <w:sz w:val="20"/>
                <w:szCs w:val="20"/>
              </w:rPr>
            </w:pPr>
            <w:r w:rsidRPr="001A7299">
              <w:rPr>
                <w:rFonts w:asciiTheme="minorHAnsi" w:hAnsiTheme="minorHAnsi" w:cs="Times New Roman"/>
                <w:sz w:val="20"/>
                <w:szCs w:val="20"/>
              </w:rPr>
              <w:t>(28.0)</w:t>
            </w:r>
          </w:p>
        </w:tc>
      </w:tr>
      <w:tr w:rsidR="00794AFD" w:rsidRPr="001C5950" w14:paraId="1617199E" w14:textId="77777777" w:rsidTr="00794AFD">
        <w:trPr>
          <w:trHeight w:val="148"/>
        </w:trPr>
        <w:tc>
          <w:tcPr>
            <w:tcW w:w="3294" w:type="dxa"/>
          </w:tcPr>
          <w:p w14:paraId="2908CB31" w14:textId="77777777" w:rsidR="00794AFD" w:rsidRPr="001C5950" w:rsidRDefault="00794AFD" w:rsidP="00794AFD">
            <w:pPr>
              <w:pStyle w:val="BodyText"/>
              <w:ind w:left="-74"/>
              <w:jc w:val="left"/>
              <w:rPr>
                <w:rFonts w:asciiTheme="minorHAnsi" w:hAnsiTheme="minorHAnsi" w:cs="Times New Roman"/>
                <w:sz w:val="20"/>
                <w:szCs w:val="20"/>
              </w:rPr>
            </w:pPr>
            <w:r w:rsidRPr="001C5950">
              <w:rPr>
                <w:rFonts w:asciiTheme="minorHAnsi" w:hAnsiTheme="minorHAnsi" w:cs="Times New Roman"/>
                <w:sz w:val="20"/>
                <w:szCs w:val="20"/>
              </w:rPr>
              <w:t>Operating profit</w:t>
            </w:r>
          </w:p>
        </w:tc>
        <w:tc>
          <w:tcPr>
            <w:tcW w:w="1134" w:type="dxa"/>
            <w:vAlign w:val="bottom"/>
          </w:tcPr>
          <w:p w14:paraId="5167E999" w14:textId="77777777" w:rsidR="00794AFD" w:rsidRPr="001A7299" w:rsidRDefault="00794AFD" w:rsidP="00794AFD">
            <w:pPr>
              <w:pStyle w:val="BodyText"/>
              <w:jc w:val="right"/>
              <w:rPr>
                <w:rFonts w:asciiTheme="minorHAnsi" w:hAnsiTheme="minorHAnsi" w:cs="Times New Roman"/>
                <w:sz w:val="20"/>
                <w:szCs w:val="20"/>
              </w:rPr>
            </w:pPr>
          </w:p>
        </w:tc>
        <w:tc>
          <w:tcPr>
            <w:tcW w:w="1134" w:type="dxa"/>
            <w:shd w:val="clear" w:color="auto" w:fill="auto"/>
            <w:vAlign w:val="bottom"/>
          </w:tcPr>
          <w:p w14:paraId="1A796169" w14:textId="77777777" w:rsidR="00794AFD" w:rsidRPr="001A7299" w:rsidRDefault="00794AFD" w:rsidP="00794AFD">
            <w:pPr>
              <w:pStyle w:val="BodyText"/>
              <w:jc w:val="right"/>
              <w:rPr>
                <w:rFonts w:asciiTheme="minorHAnsi" w:hAnsiTheme="minorHAnsi" w:cs="Times New Roman"/>
                <w:sz w:val="20"/>
                <w:szCs w:val="20"/>
              </w:rPr>
            </w:pPr>
          </w:p>
        </w:tc>
        <w:tc>
          <w:tcPr>
            <w:tcW w:w="1134" w:type="dxa"/>
            <w:shd w:val="clear" w:color="auto" w:fill="auto"/>
            <w:vAlign w:val="bottom"/>
          </w:tcPr>
          <w:p w14:paraId="3D9AAFEB" w14:textId="77777777" w:rsidR="00794AFD" w:rsidRPr="001A7299" w:rsidRDefault="00794AFD" w:rsidP="00794AFD">
            <w:pPr>
              <w:pStyle w:val="BodyText"/>
              <w:jc w:val="right"/>
              <w:rPr>
                <w:rFonts w:asciiTheme="minorHAnsi" w:hAnsiTheme="minorHAnsi" w:cs="Times New Roman"/>
                <w:sz w:val="20"/>
                <w:szCs w:val="20"/>
              </w:rPr>
            </w:pPr>
          </w:p>
        </w:tc>
        <w:tc>
          <w:tcPr>
            <w:tcW w:w="1134" w:type="dxa"/>
            <w:vAlign w:val="bottom"/>
          </w:tcPr>
          <w:p w14:paraId="725B9BBE" w14:textId="77777777" w:rsidR="00794AFD" w:rsidRPr="001A7299" w:rsidRDefault="00794AFD" w:rsidP="00794AFD">
            <w:pPr>
              <w:pStyle w:val="BodyText"/>
              <w:jc w:val="right"/>
              <w:rPr>
                <w:rFonts w:asciiTheme="minorHAnsi" w:hAnsiTheme="minorHAnsi" w:cs="Times New Roman"/>
                <w:sz w:val="20"/>
                <w:szCs w:val="20"/>
              </w:rPr>
            </w:pPr>
          </w:p>
        </w:tc>
        <w:tc>
          <w:tcPr>
            <w:tcW w:w="1134" w:type="dxa"/>
            <w:shd w:val="clear" w:color="auto" w:fill="auto"/>
            <w:vAlign w:val="bottom"/>
          </w:tcPr>
          <w:p w14:paraId="3F72ABE7" w14:textId="77777777" w:rsidR="00794AFD" w:rsidRPr="001A7299" w:rsidRDefault="00794AFD" w:rsidP="00794AFD">
            <w:pPr>
              <w:pStyle w:val="BodyText"/>
              <w:jc w:val="right"/>
              <w:rPr>
                <w:rFonts w:asciiTheme="minorHAnsi" w:hAnsiTheme="minorHAnsi" w:cs="Times New Roman"/>
                <w:sz w:val="20"/>
                <w:szCs w:val="20"/>
              </w:rPr>
            </w:pPr>
          </w:p>
        </w:tc>
        <w:tc>
          <w:tcPr>
            <w:tcW w:w="1134" w:type="dxa"/>
            <w:tcBorders>
              <w:top w:val="single" w:sz="4" w:space="0" w:color="auto"/>
              <w:bottom w:val="single" w:sz="4" w:space="0" w:color="auto"/>
            </w:tcBorders>
            <w:shd w:val="clear" w:color="auto" w:fill="auto"/>
            <w:vAlign w:val="bottom"/>
          </w:tcPr>
          <w:p w14:paraId="2D399BB4" w14:textId="77777777" w:rsidR="00794AFD" w:rsidRPr="001A7299" w:rsidRDefault="00794AFD" w:rsidP="00794AFD">
            <w:pPr>
              <w:pStyle w:val="BodyText"/>
              <w:jc w:val="right"/>
              <w:rPr>
                <w:rFonts w:asciiTheme="minorHAnsi" w:hAnsiTheme="minorHAnsi" w:cs="Times New Roman"/>
                <w:sz w:val="20"/>
                <w:szCs w:val="20"/>
              </w:rPr>
            </w:pPr>
            <w:r w:rsidRPr="001A7299">
              <w:rPr>
                <w:rFonts w:asciiTheme="minorHAnsi" w:hAnsiTheme="minorHAnsi" w:cs="Times New Roman"/>
                <w:sz w:val="20"/>
                <w:szCs w:val="20"/>
              </w:rPr>
              <w:t>204.6</w:t>
            </w:r>
          </w:p>
        </w:tc>
      </w:tr>
    </w:tbl>
    <w:p w14:paraId="0F3E71FB" w14:textId="77777777" w:rsidR="00794AFD" w:rsidRDefault="00794AFD" w:rsidP="00794AFD">
      <w:pPr>
        <w:widowControl/>
        <w:autoSpaceDE/>
        <w:autoSpaceDN/>
        <w:adjustRightInd/>
        <w:rPr>
          <w:rFonts w:asciiTheme="minorHAnsi" w:hAnsiTheme="minorHAnsi" w:cs="Times New Roman"/>
          <w:b/>
          <w:sz w:val="20"/>
          <w:szCs w:val="20"/>
        </w:rPr>
      </w:pPr>
    </w:p>
    <w:p w14:paraId="69A76AC5" w14:textId="77777777" w:rsidR="00794AFD" w:rsidRDefault="00794AFD" w:rsidP="00794AFD">
      <w:pPr>
        <w:widowControl/>
        <w:autoSpaceDE/>
        <w:autoSpaceDN/>
        <w:adjustRightInd/>
        <w:rPr>
          <w:rFonts w:asciiTheme="minorHAnsi" w:hAnsiTheme="minorHAnsi" w:cs="Times New Roman"/>
          <w:b/>
          <w:sz w:val="20"/>
          <w:szCs w:val="20"/>
        </w:rPr>
      </w:pPr>
      <w:r>
        <w:rPr>
          <w:rFonts w:asciiTheme="minorHAnsi" w:hAnsiTheme="minorHAnsi" w:cs="Times New Roman"/>
          <w:b/>
          <w:sz w:val="20"/>
          <w:szCs w:val="20"/>
        </w:rPr>
        <w:br w:type="page"/>
      </w:r>
    </w:p>
    <w:p w14:paraId="56B7F76F" w14:textId="77777777" w:rsidR="00794AFD" w:rsidRPr="001C5950" w:rsidRDefault="00794AFD" w:rsidP="00794AFD">
      <w:pPr>
        <w:widowControl/>
        <w:autoSpaceDE/>
        <w:autoSpaceDN/>
        <w:adjustRightInd/>
        <w:rPr>
          <w:rFonts w:asciiTheme="minorHAnsi" w:hAnsiTheme="minorHAnsi" w:cs="Times New Roman"/>
          <w:b/>
          <w:sz w:val="20"/>
          <w:szCs w:val="20"/>
        </w:rPr>
      </w:pPr>
      <w:r w:rsidRPr="001C5950">
        <w:rPr>
          <w:rFonts w:asciiTheme="minorHAnsi" w:hAnsiTheme="minorHAnsi" w:cs="Times New Roman"/>
          <w:b/>
          <w:sz w:val="20"/>
          <w:szCs w:val="20"/>
        </w:rPr>
        <w:lastRenderedPageBreak/>
        <w:t>3.  Operating segments (continued)</w:t>
      </w:r>
    </w:p>
    <w:p w14:paraId="6A9C3E6E" w14:textId="77777777" w:rsidR="00794AFD" w:rsidRPr="00FC3D06" w:rsidRDefault="00794AFD" w:rsidP="00794AFD">
      <w:pPr>
        <w:rPr>
          <w:rFonts w:asciiTheme="minorHAnsi" w:hAnsiTheme="minorHAnsi" w:cs="Times New Roman"/>
          <w:b/>
          <w:sz w:val="20"/>
          <w:szCs w:val="20"/>
        </w:rPr>
      </w:pPr>
    </w:p>
    <w:tbl>
      <w:tblPr>
        <w:tblW w:w="5375" w:type="pct"/>
        <w:tblLook w:val="01E0" w:firstRow="1" w:lastRow="1" w:firstColumn="1" w:lastColumn="1" w:noHBand="0" w:noVBand="0"/>
      </w:tblPr>
      <w:tblGrid>
        <w:gridCol w:w="222"/>
        <w:gridCol w:w="9966"/>
      </w:tblGrid>
      <w:tr w:rsidR="00794AFD" w:rsidRPr="001C5950" w14:paraId="25DB8317" w14:textId="77777777" w:rsidTr="00794AFD">
        <w:trPr>
          <w:trHeight w:val="1107"/>
        </w:trPr>
        <w:tc>
          <w:tcPr>
            <w:tcW w:w="109" w:type="pct"/>
            <w:shd w:val="clear" w:color="auto" w:fill="auto"/>
          </w:tcPr>
          <w:p w14:paraId="0713EB64" w14:textId="77777777" w:rsidR="00794AFD" w:rsidRPr="001C5950" w:rsidRDefault="00794AFD" w:rsidP="00794AFD">
            <w:pPr>
              <w:ind w:hanging="108"/>
              <w:rPr>
                <w:rFonts w:asciiTheme="minorHAnsi" w:hAnsiTheme="minorHAnsi"/>
                <w:sz w:val="18"/>
              </w:rPr>
            </w:pPr>
            <w:r w:rsidRPr="001C5950">
              <w:rPr>
                <w:rFonts w:asciiTheme="minorHAnsi" w:hAnsiTheme="minorHAnsi"/>
                <w:sz w:val="18"/>
              </w:rPr>
              <w:t>1</w:t>
            </w:r>
          </w:p>
        </w:tc>
        <w:tc>
          <w:tcPr>
            <w:tcW w:w="4891" w:type="pct"/>
            <w:shd w:val="clear" w:color="auto" w:fill="auto"/>
          </w:tcPr>
          <w:p w14:paraId="2239FE3F" w14:textId="77777777" w:rsidR="00794AFD" w:rsidRPr="001C5950" w:rsidRDefault="00794AFD" w:rsidP="00794AFD">
            <w:pPr>
              <w:ind w:left="-108"/>
              <w:rPr>
                <w:rFonts w:asciiTheme="minorHAnsi" w:hAnsiTheme="minorHAnsi"/>
                <w:sz w:val="18"/>
              </w:rPr>
            </w:pPr>
            <w:r>
              <w:rPr>
                <w:rFonts w:asciiTheme="minorHAnsi" w:hAnsiTheme="minorHAnsi"/>
                <w:sz w:val="18"/>
                <w:lang w:val="en-IE" w:eastAsia="en-IE"/>
              </w:rPr>
              <w:t xml:space="preserve">Underlying </w:t>
            </w:r>
            <w:r w:rsidRPr="00FF6377">
              <w:rPr>
                <w:rFonts w:asciiTheme="minorHAnsi" w:hAnsiTheme="minorHAnsi"/>
                <w:sz w:val="18"/>
                <w:lang w:val="en-IE" w:eastAsia="en-IE"/>
              </w:rPr>
              <w:t>EBITDA</w:t>
            </w:r>
            <w:r>
              <w:rPr>
                <w:rFonts w:asciiTheme="minorHAnsi" w:hAnsiTheme="minorHAnsi"/>
                <w:sz w:val="18"/>
                <w:lang w:val="en-IE" w:eastAsia="en-IE"/>
              </w:rPr>
              <w:t xml:space="preserve"> in the above segment note</w:t>
            </w:r>
            <w:r w:rsidRPr="00FF6377">
              <w:rPr>
                <w:rFonts w:asciiTheme="minorHAnsi" w:hAnsiTheme="minorHAnsi"/>
                <w:sz w:val="18"/>
                <w:lang w:val="en-IE" w:eastAsia="en-IE"/>
              </w:rPr>
              <w:t xml:space="preserve"> is defined as profit for the period before</w:t>
            </w:r>
            <w:r>
              <w:rPr>
                <w:rFonts w:asciiTheme="minorHAnsi" w:hAnsiTheme="minorHAnsi"/>
                <w:sz w:val="18"/>
                <w:lang w:val="en-IE" w:eastAsia="en-IE"/>
              </w:rPr>
              <w:t xml:space="preserve"> separately disclosed items,</w:t>
            </w:r>
            <w:r w:rsidRPr="00FF6377">
              <w:rPr>
                <w:rFonts w:asciiTheme="minorHAnsi" w:hAnsiTheme="minorHAnsi"/>
                <w:sz w:val="18"/>
                <w:lang w:val="en-IE" w:eastAsia="en-IE"/>
              </w:rPr>
              <w:t xml:space="preserve"> depreciation, amortisation and impairment, financial income, financial expense and tax expense / credit. It is considered by the Directors to be a key measure of the Group’s financial performance. Note</w:t>
            </w:r>
            <w:r>
              <w:rPr>
                <w:rFonts w:asciiTheme="minorHAnsi" w:hAnsiTheme="minorHAnsi"/>
                <w:sz w:val="18"/>
                <w:lang w:val="en-IE" w:eastAsia="en-IE"/>
              </w:rPr>
              <w:t xml:space="preserve"> as a result of the adoption of </w:t>
            </w:r>
            <w:r w:rsidRPr="00DB1D07">
              <w:rPr>
                <w:rFonts w:asciiTheme="minorHAnsi" w:hAnsiTheme="minorHAnsi"/>
                <w:sz w:val="18"/>
                <w:szCs w:val="18"/>
                <w:lang w:val="en-IE"/>
              </w:rPr>
              <w:t>IFRS</w:t>
            </w:r>
            <w:r>
              <w:rPr>
                <w:rFonts w:asciiTheme="minorHAnsi" w:hAnsiTheme="minorHAnsi"/>
                <w:sz w:val="18"/>
                <w:szCs w:val="18"/>
                <w:lang w:val="en-IE"/>
              </w:rPr>
              <w:t xml:space="preserve"> </w:t>
            </w:r>
            <w:r w:rsidRPr="00DB1D07">
              <w:rPr>
                <w:rFonts w:asciiTheme="minorHAnsi" w:hAnsiTheme="minorHAnsi"/>
                <w:sz w:val="18"/>
                <w:szCs w:val="18"/>
                <w:lang w:val="en-IE"/>
              </w:rPr>
              <w:t>16 Leases from 1 January 2019</w:t>
            </w:r>
            <w:r>
              <w:rPr>
                <w:rFonts w:asciiTheme="minorHAnsi" w:hAnsiTheme="minorHAnsi"/>
                <w:sz w:val="18"/>
                <w:szCs w:val="18"/>
                <w:lang w:val="en-IE"/>
              </w:rPr>
              <w:t>, under the modified retrospective approach</w:t>
            </w:r>
            <w:r w:rsidRPr="00DB1D07">
              <w:rPr>
                <w:rFonts w:asciiTheme="minorHAnsi" w:hAnsiTheme="minorHAnsi"/>
                <w:sz w:val="18"/>
                <w:szCs w:val="18"/>
                <w:lang w:val="en-IE"/>
              </w:rPr>
              <w:t xml:space="preserve">, the rent expense which in 2018 was reflected in operating </w:t>
            </w:r>
            <w:r w:rsidRPr="00DB1D07">
              <w:rPr>
                <w:rFonts w:asciiTheme="minorHAnsi" w:hAnsiTheme="minorHAnsi"/>
                <w:sz w:val="18"/>
                <w:szCs w:val="18"/>
              </w:rPr>
              <w:t>costs excluding</w:t>
            </w:r>
            <w:r w:rsidRPr="007169C9">
              <w:rPr>
                <w:rFonts w:asciiTheme="minorHAnsi" w:hAnsiTheme="minorHAnsi"/>
                <w:sz w:val="18"/>
              </w:rPr>
              <w:t xml:space="preserve"> depreciation,</w:t>
            </w:r>
            <w:r>
              <w:rPr>
                <w:rFonts w:asciiTheme="minorHAnsi" w:hAnsiTheme="minorHAnsi"/>
                <w:sz w:val="18"/>
              </w:rPr>
              <w:t xml:space="preserve"> amortisation and impairment, is no longer recorded as an expense</w:t>
            </w:r>
            <w:r w:rsidRPr="007169C9">
              <w:rPr>
                <w:rFonts w:asciiTheme="minorHAnsi" w:hAnsiTheme="minorHAnsi"/>
                <w:sz w:val="18"/>
              </w:rPr>
              <w:t xml:space="preserve"> in 2019</w:t>
            </w:r>
            <w:r>
              <w:rPr>
                <w:rFonts w:asciiTheme="minorHAnsi" w:hAnsiTheme="minorHAnsi"/>
                <w:sz w:val="18"/>
              </w:rPr>
              <w:t xml:space="preserve"> but is replaced by a depreciation charge and finance expense which are recorded after EBITDA. There is no restatement of comparative information. </w:t>
            </w:r>
            <w:r w:rsidRPr="00070ED0">
              <w:rPr>
                <w:rFonts w:asciiTheme="minorHAnsi" w:hAnsiTheme="minorHAnsi"/>
                <w:sz w:val="18"/>
              </w:rPr>
              <w:t>See Note 2 for further detail on the impact of IFRS 16.</w:t>
            </w:r>
          </w:p>
        </w:tc>
      </w:tr>
      <w:tr w:rsidR="00794AFD" w:rsidRPr="001C5950" w14:paraId="45955A68" w14:textId="77777777" w:rsidTr="00794AFD">
        <w:tc>
          <w:tcPr>
            <w:tcW w:w="109" w:type="pct"/>
            <w:shd w:val="clear" w:color="auto" w:fill="auto"/>
          </w:tcPr>
          <w:p w14:paraId="7140D8C7" w14:textId="77777777" w:rsidR="00794AFD" w:rsidRPr="001C5950" w:rsidRDefault="00794AFD" w:rsidP="00794AFD">
            <w:pPr>
              <w:ind w:hanging="108"/>
              <w:rPr>
                <w:rFonts w:asciiTheme="minorHAnsi" w:hAnsiTheme="minorHAnsi"/>
                <w:sz w:val="18"/>
              </w:rPr>
            </w:pPr>
            <w:r w:rsidRPr="001C5950">
              <w:rPr>
                <w:rFonts w:asciiTheme="minorHAnsi" w:hAnsiTheme="minorHAnsi"/>
                <w:sz w:val="18"/>
              </w:rPr>
              <w:t>2</w:t>
            </w:r>
          </w:p>
        </w:tc>
        <w:tc>
          <w:tcPr>
            <w:tcW w:w="4891" w:type="pct"/>
            <w:shd w:val="clear" w:color="auto" w:fill="auto"/>
          </w:tcPr>
          <w:p w14:paraId="5FC938D0" w14:textId="77777777" w:rsidR="00794AFD" w:rsidRPr="001C5950" w:rsidRDefault="00794AFD" w:rsidP="00794AFD">
            <w:pPr>
              <w:ind w:left="-108"/>
              <w:rPr>
                <w:rFonts w:asciiTheme="minorHAnsi" w:hAnsiTheme="minorHAnsi"/>
                <w:sz w:val="18"/>
                <w:lang w:val="en-IE" w:eastAsia="en-IE"/>
              </w:rPr>
            </w:pPr>
            <w:r w:rsidRPr="001C5950">
              <w:rPr>
                <w:rFonts w:asciiTheme="minorHAnsi" w:hAnsiTheme="minorHAnsi"/>
                <w:sz w:val="18"/>
                <w:lang w:val="en-IE" w:eastAsia="en-IE"/>
              </w:rPr>
              <w:t>The Group does not allocate</w:t>
            </w:r>
            <w:r>
              <w:rPr>
                <w:rFonts w:asciiTheme="minorHAnsi" w:hAnsiTheme="minorHAnsi"/>
                <w:sz w:val="18"/>
                <w:lang w:val="en-IE" w:eastAsia="en-IE"/>
              </w:rPr>
              <w:t xml:space="preserve"> transaction fees and</w:t>
            </w:r>
            <w:r w:rsidRPr="001C5950">
              <w:rPr>
                <w:rFonts w:asciiTheme="minorHAnsi" w:hAnsiTheme="minorHAnsi"/>
                <w:sz w:val="18"/>
                <w:lang w:val="en-IE" w:eastAsia="en-IE"/>
              </w:rPr>
              <w:t xml:space="preserve"> restructuring and strategic initiatives to reportable segments.</w:t>
            </w:r>
          </w:p>
        </w:tc>
      </w:tr>
    </w:tbl>
    <w:p w14:paraId="0DBA0F44" w14:textId="77777777" w:rsidR="00794AFD" w:rsidRPr="00FC3D06" w:rsidRDefault="00794AFD" w:rsidP="00794AFD">
      <w:pPr>
        <w:rPr>
          <w:rFonts w:asciiTheme="minorHAnsi" w:hAnsiTheme="minorHAnsi" w:cs="Times New Roman"/>
          <w:b/>
          <w:sz w:val="20"/>
          <w:szCs w:val="20"/>
        </w:rPr>
      </w:pPr>
    </w:p>
    <w:p w14:paraId="35E8621F" w14:textId="77777777" w:rsidR="00794AFD" w:rsidRPr="001C5950" w:rsidRDefault="00794AFD" w:rsidP="00794AFD">
      <w:pPr>
        <w:pStyle w:val="body"/>
        <w:rPr>
          <w:rFonts w:asciiTheme="minorHAnsi" w:hAnsiTheme="minorHAnsi" w:cs="Times New Roman"/>
          <w:sz w:val="20"/>
          <w:szCs w:val="20"/>
        </w:rPr>
      </w:pPr>
      <w:r w:rsidRPr="001C5950">
        <w:rPr>
          <w:rFonts w:asciiTheme="minorHAnsi" w:hAnsiTheme="minorHAnsi" w:cs="Times New Roman"/>
          <w:sz w:val="20"/>
          <w:szCs w:val="20"/>
        </w:rPr>
        <w:t>Reconciliation of reportable segments to Group totals:</w:t>
      </w:r>
    </w:p>
    <w:p w14:paraId="2F08FE81" w14:textId="77777777" w:rsidR="00794AFD" w:rsidRPr="00FC3D06" w:rsidRDefault="00794AFD" w:rsidP="00794AFD">
      <w:pPr>
        <w:pStyle w:val="body"/>
        <w:rPr>
          <w:rFonts w:asciiTheme="minorHAnsi" w:hAnsiTheme="minorHAnsi" w:cs="Times New Roman"/>
          <w:b/>
          <w:sz w:val="20"/>
          <w:szCs w:val="20"/>
        </w:rPr>
      </w:pPr>
    </w:p>
    <w:tbl>
      <w:tblPr>
        <w:tblW w:w="10017" w:type="dxa"/>
        <w:tblInd w:w="108" w:type="dxa"/>
        <w:tblLayout w:type="fixed"/>
        <w:tblLook w:val="01E0" w:firstRow="1" w:lastRow="1" w:firstColumn="1" w:lastColumn="1" w:noHBand="0" w:noVBand="0"/>
      </w:tblPr>
      <w:tblGrid>
        <w:gridCol w:w="5846"/>
        <w:gridCol w:w="2551"/>
        <w:gridCol w:w="1620"/>
      </w:tblGrid>
      <w:tr w:rsidR="00794AFD" w:rsidRPr="001C5950" w14:paraId="1F109AEF" w14:textId="77777777" w:rsidTr="00794AFD">
        <w:trPr>
          <w:trHeight w:val="169"/>
        </w:trPr>
        <w:tc>
          <w:tcPr>
            <w:tcW w:w="5846" w:type="dxa"/>
            <w:tcBorders>
              <w:top w:val="single" w:sz="4" w:space="0" w:color="auto"/>
            </w:tcBorders>
            <w:shd w:val="clear" w:color="auto" w:fill="auto"/>
          </w:tcPr>
          <w:p w14:paraId="07185A08" w14:textId="77777777" w:rsidR="00794AFD" w:rsidRPr="00FC3D06" w:rsidRDefault="00794AFD" w:rsidP="00794AFD">
            <w:pPr>
              <w:rPr>
                <w:rFonts w:asciiTheme="minorHAnsi" w:hAnsiTheme="minorHAnsi" w:cs="Times New Roman"/>
                <w:sz w:val="20"/>
                <w:szCs w:val="20"/>
              </w:rPr>
            </w:pPr>
          </w:p>
        </w:tc>
        <w:tc>
          <w:tcPr>
            <w:tcW w:w="2551" w:type="dxa"/>
            <w:tcBorders>
              <w:top w:val="single" w:sz="4" w:space="0" w:color="auto"/>
            </w:tcBorders>
            <w:shd w:val="clear" w:color="auto" w:fill="auto"/>
          </w:tcPr>
          <w:p w14:paraId="4C429D1A" w14:textId="77777777" w:rsidR="00794AFD" w:rsidRPr="001C5950" w:rsidRDefault="00794AFD" w:rsidP="00794AFD">
            <w:pPr>
              <w:jc w:val="right"/>
              <w:rPr>
                <w:rFonts w:asciiTheme="minorHAnsi" w:hAnsiTheme="minorHAnsi" w:cs="Times New Roman"/>
                <w:b/>
                <w:sz w:val="20"/>
                <w:szCs w:val="20"/>
              </w:rPr>
            </w:pPr>
            <w:r>
              <w:rPr>
                <w:rFonts w:asciiTheme="minorHAnsi" w:hAnsiTheme="minorHAnsi" w:cs="Times New Roman"/>
                <w:b/>
                <w:sz w:val="20"/>
                <w:szCs w:val="20"/>
              </w:rPr>
              <w:t>2019</w:t>
            </w:r>
          </w:p>
        </w:tc>
        <w:tc>
          <w:tcPr>
            <w:tcW w:w="1620" w:type="dxa"/>
            <w:tcBorders>
              <w:top w:val="single" w:sz="4" w:space="0" w:color="auto"/>
            </w:tcBorders>
          </w:tcPr>
          <w:p w14:paraId="3291D121" w14:textId="77777777" w:rsidR="00794AFD" w:rsidRPr="001C5950" w:rsidRDefault="00794AFD" w:rsidP="00794AFD">
            <w:pPr>
              <w:jc w:val="right"/>
              <w:rPr>
                <w:rFonts w:asciiTheme="minorHAnsi" w:hAnsiTheme="minorHAnsi" w:cs="Times New Roman"/>
                <w:sz w:val="20"/>
                <w:szCs w:val="20"/>
              </w:rPr>
            </w:pPr>
            <w:r>
              <w:rPr>
                <w:rFonts w:asciiTheme="minorHAnsi" w:hAnsiTheme="minorHAnsi" w:cs="Times New Roman"/>
                <w:sz w:val="20"/>
                <w:szCs w:val="20"/>
              </w:rPr>
              <w:t>2018</w:t>
            </w:r>
          </w:p>
        </w:tc>
      </w:tr>
      <w:tr w:rsidR="00794AFD" w:rsidRPr="001C5950" w14:paraId="4728D38C" w14:textId="77777777" w:rsidTr="00794AFD">
        <w:trPr>
          <w:trHeight w:val="188"/>
        </w:trPr>
        <w:tc>
          <w:tcPr>
            <w:tcW w:w="5846" w:type="dxa"/>
            <w:tcBorders>
              <w:bottom w:val="single" w:sz="4" w:space="0" w:color="auto"/>
            </w:tcBorders>
            <w:shd w:val="clear" w:color="auto" w:fill="auto"/>
          </w:tcPr>
          <w:p w14:paraId="5B14824A" w14:textId="77777777" w:rsidR="00794AFD" w:rsidRPr="00FC3D06" w:rsidRDefault="00794AFD" w:rsidP="00794AFD">
            <w:pPr>
              <w:rPr>
                <w:rFonts w:asciiTheme="minorHAnsi" w:hAnsiTheme="minorHAnsi" w:cs="Times New Roman"/>
                <w:sz w:val="20"/>
                <w:szCs w:val="20"/>
              </w:rPr>
            </w:pPr>
          </w:p>
        </w:tc>
        <w:tc>
          <w:tcPr>
            <w:tcW w:w="2551" w:type="dxa"/>
            <w:tcBorders>
              <w:bottom w:val="single" w:sz="4" w:space="0" w:color="auto"/>
            </w:tcBorders>
            <w:shd w:val="clear" w:color="auto" w:fill="auto"/>
          </w:tcPr>
          <w:p w14:paraId="3CD724F4" w14:textId="77777777" w:rsidR="00794AFD" w:rsidRPr="001C5950" w:rsidRDefault="00794AFD" w:rsidP="00794AFD">
            <w:pPr>
              <w:jc w:val="right"/>
              <w:rPr>
                <w:rFonts w:asciiTheme="minorHAnsi" w:hAnsiTheme="minorHAnsi" w:cs="Times New Roman"/>
                <w:b/>
                <w:sz w:val="20"/>
                <w:szCs w:val="20"/>
              </w:rPr>
            </w:pPr>
            <w:r w:rsidRPr="001C5950">
              <w:rPr>
                <w:rFonts w:asciiTheme="minorHAnsi" w:hAnsiTheme="minorHAnsi" w:cs="Times New Roman"/>
                <w:b/>
                <w:sz w:val="20"/>
                <w:szCs w:val="20"/>
              </w:rPr>
              <w:t>£m</w:t>
            </w:r>
          </w:p>
        </w:tc>
        <w:tc>
          <w:tcPr>
            <w:tcW w:w="1620" w:type="dxa"/>
            <w:tcBorders>
              <w:bottom w:val="single" w:sz="4" w:space="0" w:color="auto"/>
            </w:tcBorders>
          </w:tcPr>
          <w:p w14:paraId="24B176D7" w14:textId="77777777" w:rsidR="00794AFD" w:rsidRPr="001C5950" w:rsidRDefault="00794AFD" w:rsidP="00794AFD">
            <w:pPr>
              <w:jc w:val="right"/>
              <w:rPr>
                <w:rFonts w:asciiTheme="minorHAnsi" w:hAnsiTheme="minorHAnsi" w:cs="Times New Roman"/>
                <w:sz w:val="20"/>
                <w:szCs w:val="20"/>
              </w:rPr>
            </w:pPr>
            <w:r w:rsidRPr="001C5950">
              <w:rPr>
                <w:rFonts w:asciiTheme="minorHAnsi" w:hAnsiTheme="minorHAnsi" w:cs="Times New Roman"/>
                <w:sz w:val="20"/>
                <w:szCs w:val="20"/>
              </w:rPr>
              <w:t>£m</w:t>
            </w:r>
          </w:p>
        </w:tc>
      </w:tr>
      <w:tr w:rsidR="00794AFD" w:rsidRPr="001C5950" w14:paraId="086BB87F" w14:textId="77777777" w:rsidTr="00794AFD">
        <w:trPr>
          <w:trHeight w:val="196"/>
        </w:trPr>
        <w:tc>
          <w:tcPr>
            <w:tcW w:w="5846" w:type="dxa"/>
            <w:tcBorders>
              <w:top w:val="single" w:sz="4" w:space="0" w:color="auto"/>
            </w:tcBorders>
            <w:shd w:val="clear" w:color="auto" w:fill="auto"/>
          </w:tcPr>
          <w:p w14:paraId="0448799B" w14:textId="77777777" w:rsidR="00794AFD" w:rsidRPr="001C5950" w:rsidRDefault="00794AFD" w:rsidP="00794AFD">
            <w:pPr>
              <w:pStyle w:val="BodyText"/>
              <w:ind w:left="-90"/>
              <w:rPr>
                <w:rFonts w:asciiTheme="minorHAnsi" w:hAnsiTheme="minorHAnsi" w:cs="Times New Roman"/>
                <w:b/>
                <w:sz w:val="20"/>
                <w:szCs w:val="20"/>
              </w:rPr>
            </w:pPr>
            <w:r w:rsidRPr="001C5950">
              <w:rPr>
                <w:rFonts w:asciiTheme="minorHAnsi" w:hAnsiTheme="minorHAnsi" w:cs="Times New Roman"/>
                <w:b/>
                <w:sz w:val="20"/>
                <w:szCs w:val="20"/>
              </w:rPr>
              <w:t>Revenue</w:t>
            </w:r>
          </w:p>
        </w:tc>
        <w:tc>
          <w:tcPr>
            <w:tcW w:w="2551" w:type="dxa"/>
            <w:tcBorders>
              <w:top w:val="single" w:sz="4" w:space="0" w:color="auto"/>
            </w:tcBorders>
            <w:shd w:val="clear" w:color="auto" w:fill="auto"/>
          </w:tcPr>
          <w:p w14:paraId="6B6DD751" w14:textId="77777777" w:rsidR="00794AFD" w:rsidRPr="00FC3D06" w:rsidRDefault="00794AFD" w:rsidP="00794AFD">
            <w:pPr>
              <w:pStyle w:val="BodyText"/>
              <w:jc w:val="right"/>
              <w:rPr>
                <w:rFonts w:asciiTheme="minorHAnsi" w:hAnsiTheme="minorHAnsi" w:cs="Times New Roman"/>
                <w:b/>
                <w:sz w:val="20"/>
                <w:szCs w:val="20"/>
              </w:rPr>
            </w:pPr>
          </w:p>
        </w:tc>
        <w:tc>
          <w:tcPr>
            <w:tcW w:w="1620" w:type="dxa"/>
            <w:tcBorders>
              <w:top w:val="single" w:sz="4" w:space="0" w:color="auto"/>
            </w:tcBorders>
          </w:tcPr>
          <w:p w14:paraId="6FEA3E7A" w14:textId="77777777" w:rsidR="00794AFD" w:rsidRPr="00FC3D06" w:rsidRDefault="00794AFD" w:rsidP="00794AFD">
            <w:pPr>
              <w:pStyle w:val="BodyText"/>
              <w:jc w:val="right"/>
              <w:rPr>
                <w:rFonts w:asciiTheme="minorHAnsi" w:hAnsiTheme="minorHAnsi" w:cs="Times New Roman"/>
                <w:sz w:val="20"/>
                <w:szCs w:val="20"/>
              </w:rPr>
            </w:pPr>
          </w:p>
        </w:tc>
      </w:tr>
      <w:tr w:rsidR="00794AFD" w:rsidRPr="001C5950" w14:paraId="6AC4CDD0" w14:textId="77777777" w:rsidTr="00794AFD">
        <w:trPr>
          <w:trHeight w:val="207"/>
        </w:trPr>
        <w:tc>
          <w:tcPr>
            <w:tcW w:w="5846" w:type="dxa"/>
            <w:tcBorders>
              <w:bottom w:val="single" w:sz="4" w:space="0" w:color="auto"/>
            </w:tcBorders>
            <w:shd w:val="clear" w:color="auto" w:fill="auto"/>
          </w:tcPr>
          <w:p w14:paraId="2791A273" w14:textId="77777777" w:rsidR="00794AFD" w:rsidRPr="001C5950" w:rsidRDefault="00794AFD" w:rsidP="00794AFD">
            <w:pPr>
              <w:pStyle w:val="body"/>
              <w:spacing w:line="240" w:lineRule="auto"/>
              <w:ind w:left="-90"/>
              <w:rPr>
                <w:rFonts w:asciiTheme="minorHAnsi" w:hAnsiTheme="minorHAnsi" w:cs="Times New Roman"/>
                <w:sz w:val="20"/>
                <w:szCs w:val="20"/>
              </w:rPr>
            </w:pPr>
            <w:r w:rsidRPr="001C5950">
              <w:rPr>
                <w:rFonts w:asciiTheme="minorHAnsi" w:hAnsiTheme="minorHAnsi" w:cs="Times New Roman"/>
                <w:sz w:val="20"/>
                <w:szCs w:val="20"/>
              </w:rPr>
              <w:t>Total revenue from reportable segments, being total Group revenue</w:t>
            </w:r>
          </w:p>
        </w:tc>
        <w:tc>
          <w:tcPr>
            <w:tcW w:w="2551" w:type="dxa"/>
            <w:tcBorders>
              <w:bottom w:val="single" w:sz="4" w:space="0" w:color="auto"/>
            </w:tcBorders>
            <w:shd w:val="clear" w:color="auto" w:fill="auto"/>
          </w:tcPr>
          <w:p w14:paraId="1911E61A" w14:textId="77777777" w:rsidR="00794AFD" w:rsidRPr="009852A5" w:rsidRDefault="00794AFD" w:rsidP="00794AFD">
            <w:pPr>
              <w:pStyle w:val="BodyText"/>
              <w:jc w:val="right"/>
              <w:rPr>
                <w:rFonts w:asciiTheme="minorHAnsi" w:hAnsiTheme="minorHAnsi" w:cs="Times New Roman"/>
                <w:b/>
                <w:sz w:val="20"/>
                <w:szCs w:val="20"/>
                <w:highlight w:val="yellow"/>
              </w:rPr>
            </w:pPr>
            <w:r w:rsidRPr="00070ED0">
              <w:rPr>
                <w:rFonts w:asciiTheme="minorHAnsi" w:hAnsiTheme="minorHAnsi" w:cs="Times New Roman"/>
                <w:b/>
                <w:sz w:val="20"/>
                <w:szCs w:val="20"/>
              </w:rPr>
              <w:t>2,140.0</w:t>
            </w:r>
          </w:p>
        </w:tc>
        <w:tc>
          <w:tcPr>
            <w:tcW w:w="1620" w:type="dxa"/>
          </w:tcPr>
          <w:p w14:paraId="5EB5427E" w14:textId="77777777" w:rsidR="00794AFD" w:rsidRPr="005D1B54" w:rsidRDefault="00794AFD" w:rsidP="00794AFD">
            <w:pPr>
              <w:pStyle w:val="BodyText"/>
              <w:jc w:val="right"/>
              <w:rPr>
                <w:rFonts w:asciiTheme="minorHAnsi" w:hAnsiTheme="minorHAnsi" w:cs="Times New Roman"/>
                <w:sz w:val="20"/>
                <w:szCs w:val="20"/>
              </w:rPr>
            </w:pPr>
            <w:r w:rsidRPr="005D1B54">
              <w:rPr>
                <w:rFonts w:asciiTheme="minorHAnsi" w:hAnsiTheme="minorHAnsi" w:cs="Times New Roman"/>
                <w:sz w:val="20"/>
                <w:szCs w:val="20"/>
              </w:rPr>
              <w:t>1,873.4</w:t>
            </w:r>
          </w:p>
        </w:tc>
      </w:tr>
      <w:tr w:rsidR="00794AFD" w:rsidRPr="001C5950" w14:paraId="7554E4F2" w14:textId="77777777" w:rsidTr="00794AFD">
        <w:trPr>
          <w:trHeight w:val="349"/>
        </w:trPr>
        <w:tc>
          <w:tcPr>
            <w:tcW w:w="5846" w:type="dxa"/>
            <w:tcBorders>
              <w:top w:val="single" w:sz="4" w:space="0" w:color="auto"/>
            </w:tcBorders>
            <w:shd w:val="clear" w:color="auto" w:fill="auto"/>
          </w:tcPr>
          <w:p w14:paraId="1B188FF0" w14:textId="77777777" w:rsidR="00794AFD" w:rsidRPr="001C5950" w:rsidRDefault="00794AFD" w:rsidP="00794AFD">
            <w:pPr>
              <w:pStyle w:val="body"/>
              <w:spacing w:line="240" w:lineRule="auto"/>
              <w:ind w:left="-90"/>
              <w:rPr>
                <w:rFonts w:asciiTheme="minorHAnsi" w:hAnsiTheme="minorHAnsi" w:cs="Times New Roman"/>
                <w:sz w:val="20"/>
                <w:szCs w:val="20"/>
              </w:rPr>
            </w:pPr>
          </w:p>
        </w:tc>
        <w:tc>
          <w:tcPr>
            <w:tcW w:w="2551" w:type="dxa"/>
            <w:tcBorders>
              <w:top w:val="single" w:sz="4" w:space="0" w:color="auto"/>
            </w:tcBorders>
            <w:shd w:val="clear" w:color="auto" w:fill="auto"/>
          </w:tcPr>
          <w:p w14:paraId="1856A8E8" w14:textId="77777777" w:rsidR="00794AFD" w:rsidRPr="009852A5" w:rsidRDefault="00794AFD" w:rsidP="00794AFD">
            <w:pPr>
              <w:pStyle w:val="BodyText"/>
              <w:jc w:val="right"/>
              <w:rPr>
                <w:rFonts w:asciiTheme="minorHAnsi" w:hAnsiTheme="minorHAnsi" w:cs="Times New Roman"/>
                <w:b/>
                <w:sz w:val="20"/>
                <w:szCs w:val="20"/>
                <w:highlight w:val="yellow"/>
              </w:rPr>
            </w:pPr>
          </w:p>
        </w:tc>
        <w:tc>
          <w:tcPr>
            <w:tcW w:w="1620" w:type="dxa"/>
            <w:tcBorders>
              <w:top w:val="single" w:sz="4" w:space="0" w:color="auto"/>
            </w:tcBorders>
          </w:tcPr>
          <w:p w14:paraId="4F9A8108" w14:textId="77777777" w:rsidR="00794AFD" w:rsidRPr="005D1B54" w:rsidRDefault="00794AFD" w:rsidP="00794AFD">
            <w:pPr>
              <w:pStyle w:val="BodyText"/>
              <w:jc w:val="right"/>
              <w:rPr>
                <w:rFonts w:asciiTheme="minorHAnsi" w:hAnsiTheme="minorHAnsi" w:cs="Times New Roman"/>
                <w:sz w:val="20"/>
                <w:szCs w:val="20"/>
              </w:rPr>
            </w:pPr>
          </w:p>
        </w:tc>
      </w:tr>
      <w:tr w:rsidR="00794AFD" w:rsidRPr="001C5950" w14:paraId="4869F8CC" w14:textId="77777777" w:rsidTr="00794AFD">
        <w:trPr>
          <w:trHeight w:val="207"/>
        </w:trPr>
        <w:tc>
          <w:tcPr>
            <w:tcW w:w="5846" w:type="dxa"/>
            <w:shd w:val="clear" w:color="auto" w:fill="auto"/>
          </w:tcPr>
          <w:p w14:paraId="54E01E56" w14:textId="77777777" w:rsidR="00794AFD" w:rsidRPr="001C5950" w:rsidRDefault="00794AFD" w:rsidP="00794AFD">
            <w:pPr>
              <w:pStyle w:val="body"/>
              <w:spacing w:line="240" w:lineRule="auto"/>
              <w:ind w:left="-90"/>
              <w:rPr>
                <w:rFonts w:asciiTheme="minorHAnsi" w:hAnsiTheme="minorHAnsi" w:cs="Times New Roman"/>
                <w:b/>
                <w:sz w:val="20"/>
                <w:szCs w:val="20"/>
              </w:rPr>
            </w:pPr>
            <w:r w:rsidRPr="001C5950">
              <w:rPr>
                <w:rFonts w:asciiTheme="minorHAnsi" w:hAnsiTheme="minorHAnsi" w:cs="Times New Roman"/>
                <w:b/>
                <w:sz w:val="20"/>
                <w:szCs w:val="20"/>
              </w:rPr>
              <w:t>Profit and loss</w:t>
            </w:r>
          </w:p>
        </w:tc>
        <w:tc>
          <w:tcPr>
            <w:tcW w:w="2551" w:type="dxa"/>
            <w:shd w:val="clear" w:color="auto" w:fill="auto"/>
          </w:tcPr>
          <w:p w14:paraId="34F89DFD" w14:textId="77777777" w:rsidR="00794AFD" w:rsidRPr="009852A5" w:rsidRDefault="00794AFD" w:rsidP="00794AFD">
            <w:pPr>
              <w:pStyle w:val="BodyText"/>
              <w:jc w:val="right"/>
              <w:rPr>
                <w:rFonts w:asciiTheme="minorHAnsi" w:hAnsiTheme="minorHAnsi" w:cs="Times New Roman"/>
                <w:b/>
                <w:sz w:val="20"/>
                <w:szCs w:val="20"/>
                <w:highlight w:val="yellow"/>
              </w:rPr>
            </w:pPr>
          </w:p>
        </w:tc>
        <w:tc>
          <w:tcPr>
            <w:tcW w:w="1620" w:type="dxa"/>
          </w:tcPr>
          <w:p w14:paraId="40D1B718" w14:textId="77777777" w:rsidR="00794AFD" w:rsidRPr="005D1B54" w:rsidRDefault="00794AFD" w:rsidP="00794AFD">
            <w:pPr>
              <w:pStyle w:val="BodyText"/>
              <w:jc w:val="right"/>
              <w:rPr>
                <w:rFonts w:asciiTheme="minorHAnsi" w:hAnsiTheme="minorHAnsi" w:cs="Times New Roman"/>
                <w:sz w:val="20"/>
                <w:szCs w:val="20"/>
              </w:rPr>
            </w:pPr>
          </w:p>
        </w:tc>
      </w:tr>
      <w:tr w:rsidR="00794AFD" w:rsidRPr="001C5950" w14:paraId="2101FACC" w14:textId="77777777" w:rsidTr="00794AFD">
        <w:trPr>
          <w:trHeight w:val="206"/>
        </w:trPr>
        <w:tc>
          <w:tcPr>
            <w:tcW w:w="5846" w:type="dxa"/>
            <w:shd w:val="clear" w:color="auto" w:fill="auto"/>
          </w:tcPr>
          <w:p w14:paraId="247A8539" w14:textId="77777777" w:rsidR="00794AFD" w:rsidRPr="001C5950" w:rsidRDefault="00794AFD" w:rsidP="00794AFD">
            <w:pPr>
              <w:pStyle w:val="body"/>
              <w:spacing w:line="240" w:lineRule="auto"/>
              <w:ind w:left="-90"/>
              <w:rPr>
                <w:rFonts w:asciiTheme="minorHAnsi" w:hAnsiTheme="minorHAnsi" w:cs="Times New Roman"/>
                <w:sz w:val="20"/>
                <w:szCs w:val="20"/>
              </w:rPr>
            </w:pPr>
            <w:r w:rsidRPr="001C5950">
              <w:rPr>
                <w:rFonts w:asciiTheme="minorHAnsi" w:hAnsiTheme="minorHAnsi" w:cs="Times New Roman"/>
                <w:sz w:val="20"/>
                <w:szCs w:val="20"/>
              </w:rPr>
              <w:t>Operating profit</w:t>
            </w:r>
          </w:p>
        </w:tc>
        <w:tc>
          <w:tcPr>
            <w:tcW w:w="2551" w:type="dxa"/>
            <w:shd w:val="clear" w:color="auto" w:fill="auto"/>
          </w:tcPr>
          <w:p w14:paraId="0B55B0C1" w14:textId="77777777" w:rsidR="00794AFD" w:rsidRPr="00070ED0" w:rsidRDefault="00794AFD" w:rsidP="00794AFD">
            <w:pPr>
              <w:pStyle w:val="BodyText"/>
              <w:jc w:val="right"/>
              <w:rPr>
                <w:rFonts w:asciiTheme="minorHAnsi" w:hAnsiTheme="minorHAnsi" w:cs="Times New Roman"/>
                <w:b/>
                <w:sz w:val="20"/>
                <w:szCs w:val="20"/>
              </w:rPr>
            </w:pPr>
            <w:r w:rsidRPr="00070ED0">
              <w:rPr>
                <w:rFonts w:asciiTheme="minorHAnsi" w:hAnsiTheme="minorHAnsi" w:cs="Times New Roman"/>
                <w:b/>
                <w:sz w:val="20"/>
                <w:szCs w:val="20"/>
              </w:rPr>
              <w:t>149.9</w:t>
            </w:r>
          </w:p>
        </w:tc>
        <w:tc>
          <w:tcPr>
            <w:tcW w:w="1620" w:type="dxa"/>
          </w:tcPr>
          <w:p w14:paraId="716A95CE" w14:textId="77777777" w:rsidR="00794AFD" w:rsidRPr="005D1B54" w:rsidRDefault="00794AFD" w:rsidP="00794AFD">
            <w:pPr>
              <w:pStyle w:val="BodyText"/>
              <w:jc w:val="right"/>
              <w:rPr>
                <w:rFonts w:asciiTheme="minorHAnsi" w:hAnsiTheme="minorHAnsi" w:cs="Times New Roman"/>
                <w:sz w:val="20"/>
                <w:szCs w:val="20"/>
              </w:rPr>
            </w:pPr>
            <w:r w:rsidRPr="005D1B54">
              <w:rPr>
                <w:rFonts w:asciiTheme="minorHAnsi" w:hAnsiTheme="minorHAnsi" w:cs="Times New Roman"/>
                <w:sz w:val="20"/>
                <w:szCs w:val="20"/>
              </w:rPr>
              <w:t>204.6</w:t>
            </w:r>
          </w:p>
        </w:tc>
      </w:tr>
      <w:tr w:rsidR="00794AFD" w:rsidRPr="001C5950" w14:paraId="0A8BC93D" w14:textId="77777777" w:rsidTr="00794AFD">
        <w:trPr>
          <w:trHeight w:val="123"/>
        </w:trPr>
        <w:tc>
          <w:tcPr>
            <w:tcW w:w="5846" w:type="dxa"/>
            <w:shd w:val="clear" w:color="auto" w:fill="auto"/>
          </w:tcPr>
          <w:p w14:paraId="63FF1A6E" w14:textId="77777777" w:rsidR="00794AFD" w:rsidRPr="001C5950" w:rsidRDefault="00794AFD" w:rsidP="00794AFD">
            <w:pPr>
              <w:pStyle w:val="body"/>
              <w:spacing w:line="240" w:lineRule="auto"/>
              <w:ind w:left="-90"/>
              <w:rPr>
                <w:rFonts w:asciiTheme="minorHAnsi" w:hAnsiTheme="minorHAnsi" w:cs="Times New Roman"/>
                <w:i/>
                <w:sz w:val="20"/>
                <w:szCs w:val="20"/>
              </w:rPr>
            </w:pPr>
            <w:r w:rsidRPr="001C5950">
              <w:rPr>
                <w:rFonts w:asciiTheme="minorHAnsi" w:hAnsiTheme="minorHAnsi" w:cs="Times New Roman"/>
                <w:i/>
                <w:sz w:val="20"/>
                <w:szCs w:val="20"/>
              </w:rPr>
              <w:t>Unallocated amounts:</w:t>
            </w:r>
          </w:p>
        </w:tc>
        <w:tc>
          <w:tcPr>
            <w:tcW w:w="2551" w:type="dxa"/>
            <w:shd w:val="clear" w:color="auto" w:fill="auto"/>
          </w:tcPr>
          <w:p w14:paraId="4CA5E240" w14:textId="77777777" w:rsidR="00794AFD" w:rsidRPr="00070ED0" w:rsidRDefault="00794AFD" w:rsidP="00794AFD">
            <w:pPr>
              <w:pStyle w:val="BodyText"/>
              <w:jc w:val="right"/>
              <w:rPr>
                <w:rFonts w:asciiTheme="minorHAnsi" w:hAnsiTheme="minorHAnsi" w:cs="Times New Roman"/>
                <w:b/>
                <w:sz w:val="20"/>
                <w:szCs w:val="20"/>
              </w:rPr>
            </w:pPr>
          </w:p>
        </w:tc>
        <w:tc>
          <w:tcPr>
            <w:tcW w:w="1620" w:type="dxa"/>
          </w:tcPr>
          <w:p w14:paraId="12E5877F" w14:textId="77777777" w:rsidR="00794AFD" w:rsidRPr="005D1B54" w:rsidRDefault="00794AFD" w:rsidP="00794AFD">
            <w:pPr>
              <w:pStyle w:val="BodyText"/>
              <w:jc w:val="right"/>
              <w:rPr>
                <w:rFonts w:asciiTheme="minorHAnsi" w:hAnsiTheme="minorHAnsi" w:cs="Times New Roman"/>
                <w:sz w:val="20"/>
                <w:szCs w:val="20"/>
              </w:rPr>
            </w:pPr>
          </w:p>
        </w:tc>
      </w:tr>
      <w:tr w:rsidR="00794AFD" w:rsidRPr="001C5950" w14:paraId="3B7811CA" w14:textId="77777777" w:rsidTr="00794AFD">
        <w:trPr>
          <w:trHeight w:val="225"/>
        </w:trPr>
        <w:tc>
          <w:tcPr>
            <w:tcW w:w="5846" w:type="dxa"/>
            <w:shd w:val="clear" w:color="auto" w:fill="auto"/>
          </w:tcPr>
          <w:p w14:paraId="2FB3E22F" w14:textId="77777777" w:rsidR="00794AFD" w:rsidRPr="001C5950" w:rsidRDefault="00794AFD" w:rsidP="00794AFD">
            <w:pPr>
              <w:pStyle w:val="body"/>
              <w:spacing w:line="240" w:lineRule="auto"/>
              <w:ind w:left="-90"/>
              <w:rPr>
                <w:rFonts w:asciiTheme="minorHAnsi" w:hAnsiTheme="minorHAnsi" w:cs="Times New Roman"/>
                <w:sz w:val="20"/>
                <w:szCs w:val="20"/>
                <w:lang w:val="it-IT"/>
              </w:rPr>
            </w:pPr>
            <w:r w:rsidRPr="001C5950">
              <w:rPr>
                <w:rFonts w:asciiTheme="minorHAnsi" w:hAnsiTheme="minorHAnsi" w:cs="Times New Roman"/>
                <w:sz w:val="20"/>
                <w:szCs w:val="20"/>
                <w:lang w:val="it-IT"/>
              </w:rPr>
              <w:t xml:space="preserve">Financial income </w:t>
            </w:r>
          </w:p>
        </w:tc>
        <w:tc>
          <w:tcPr>
            <w:tcW w:w="2551" w:type="dxa"/>
            <w:shd w:val="clear" w:color="auto" w:fill="auto"/>
          </w:tcPr>
          <w:p w14:paraId="22F8E152" w14:textId="77777777" w:rsidR="00794AFD" w:rsidRPr="00070ED0" w:rsidRDefault="00794AFD" w:rsidP="00794AFD">
            <w:pPr>
              <w:pStyle w:val="BodyText"/>
              <w:jc w:val="right"/>
              <w:rPr>
                <w:rFonts w:asciiTheme="minorHAnsi" w:hAnsiTheme="minorHAnsi" w:cs="Times New Roman"/>
                <w:b/>
                <w:sz w:val="20"/>
                <w:szCs w:val="20"/>
              </w:rPr>
            </w:pPr>
            <w:r w:rsidRPr="00070ED0">
              <w:rPr>
                <w:rFonts w:asciiTheme="minorHAnsi" w:hAnsiTheme="minorHAnsi" w:cs="Times New Roman"/>
                <w:b/>
                <w:sz w:val="20"/>
                <w:szCs w:val="20"/>
              </w:rPr>
              <w:t>1.0</w:t>
            </w:r>
          </w:p>
        </w:tc>
        <w:tc>
          <w:tcPr>
            <w:tcW w:w="1620" w:type="dxa"/>
          </w:tcPr>
          <w:p w14:paraId="40E8BBC3" w14:textId="77777777" w:rsidR="00794AFD" w:rsidRPr="005D1B54" w:rsidRDefault="00794AFD" w:rsidP="00794AFD">
            <w:pPr>
              <w:pStyle w:val="BodyText"/>
              <w:jc w:val="right"/>
              <w:rPr>
                <w:rFonts w:asciiTheme="minorHAnsi" w:hAnsiTheme="minorHAnsi" w:cs="Times New Roman"/>
                <w:sz w:val="20"/>
                <w:szCs w:val="20"/>
              </w:rPr>
            </w:pPr>
            <w:r w:rsidRPr="005D1B54">
              <w:rPr>
                <w:rFonts w:asciiTheme="minorHAnsi" w:hAnsiTheme="minorHAnsi" w:cs="Times New Roman"/>
                <w:sz w:val="20"/>
                <w:szCs w:val="20"/>
              </w:rPr>
              <w:t>21.6</w:t>
            </w:r>
          </w:p>
        </w:tc>
      </w:tr>
      <w:tr w:rsidR="00794AFD" w:rsidRPr="001C5950" w14:paraId="63CF9016" w14:textId="77777777" w:rsidTr="00794AFD">
        <w:trPr>
          <w:trHeight w:val="123"/>
        </w:trPr>
        <w:tc>
          <w:tcPr>
            <w:tcW w:w="5846" w:type="dxa"/>
            <w:shd w:val="clear" w:color="auto" w:fill="auto"/>
          </w:tcPr>
          <w:p w14:paraId="084F4615" w14:textId="77777777" w:rsidR="00794AFD" w:rsidRPr="001C5950" w:rsidRDefault="00794AFD" w:rsidP="00794AFD">
            <w:pPr>
              <w:pStyle w:val="body"/>
              <w:spacing w:line="240" w:lineRule="auto"/>
              <w:ind w:left="-90"/>
              <w:rPr>
                <w:rFonts w:asciiTheme="minorHAnsi" w:hAnsiTheme="minorHAnsi" w:cs="Times New Roman"/>
                <w:sz w:val="20"/>
                <w:szCs w:val="20"/>
              </w:rPr>
            </w:pPr>
            <w:r w:rsidRPr="001C5950">
              <w:rPr>
                <w:rFonts w:asciiTheme="minorHAnsi" w:hAnsiTheme="minorHAnsi" w:cs="Times New Roman"/>
                <w:sz w:val="20"/>
                <w:szCs w:val="20"/>
              </w:rPr>
              <w:t xml:space="preserve">Financial expense </w:t>
            </w:r>
          </w:p>
        </w:tc>
        <w:tc>
          <w:tcPr>
            <w:tcW w:w="2551" w:type="dxa"/>
            <w:shd w:val="clear" w:color="auto" w:fill="auto"/>
          </w:tcPr>
          <w:p w14:paraId="644042FB" w14:textId="77777777" w:rsidR="00794AFD" w:rsidRPr="00070ED0" w:rsidRDefault="00794AFD" w:rsidP="00794AFD">
            <w:pPr>
              <w:pStyle w:val="BodyText"/>
              <w:jc w:val="right"/>
              <w:rPr>
                <w:rFonts w:asciiTheme="minorHAnsi" w:hAnsiTheme="minorHAnsi" w:cs="Times New Roman"/>
                <w:b/>
                <w:sz w:val="20"/>
                <w:szCs w:val="20"/>
              </w:rPr>
            </w:pPr>
            <w:r w:rsidRPr="00070ED0">
              <w:rPr>
                <w:rFonts w:asciiTheme="minorHAnsi" w:hAnsiTheme="minorHAnsi" w:cs="Times New Roman"/>
                <w:b/>
                <w:sz w:val="20"/>
                <w:szCs w:val="20"/>
              </w:rPr>
              <w:t>(15.2)</w:t>
            </w:r>
          </w:p>
        </w:tc>
        <w:tc>
          <w:tcPr>
            <w:tcW w:w="1620" w:type="dxa"/>
          </w:tcPr>
          <w:p w14:paraId="10568F99" w14:textId="77777777" w:rsidR="00794AFD" w:rsidRPr="005D1B54" w:rsidRDefault="00794AFD" w:rsidP="00794AFD">
            <w:pPr>
              <w:pStyle w:val="BodyText"/>
              <w:jc w:val="right"/>
              <w:rPr>
                <w:rFonts w:asciiTheme="minorHAnsi" w:hAnsiTheme="minorHAnsi" w:cs="Times New Roman"/>
                <w:sz w:val="20"/>
                <w:szCs w:val="20"/>
              </w:rPr>
            </w:pPr>
            <w:r w:rsidRPr="005D1B54">
              <w:rPr>
                <w:rFonts w:asciiTheme="minorHAnsi" w:hAnsiTheme="minorHAnsi" w:cs="Times New Roman"/>
                <w:sz w:val="20"/>
                <w:szCs w:val="20"/>
              </w:rPr>
              <w:t>(7.5)</w:t>
            </w:r>
          </w:p>
        </w:tc>
      </w:tr>
      <w:tr w:rsidR="00794AFD" w:rsidRPr="001C5950" w14:paraId="3371A163" w14:textId="77777777" w:rsidTr="00794AFD">
        <w:trPr>
          <w:trHeight w:val="123"/>
        </w:trPr>
        <w:tc>
          <w:tcPr>
            <w:tcW w:w="5846" w:type="dxa"/>
            <w:tcBorders>
              <w:top w:val="single" w:sz="4" w:space="0" w:color="auto"/>
              <w:bottom w:val="single" w:sz="4" w:space="0" w:color="auto"/>
            </w:tcBorders>
            <w:shd w:val="clear" w:color="auto" w:fill="auto"/>
          </w:tcPr>
          <w:p w14:paraId="2CD77BFA" w14:textId="77777777" w:rsidR="00794AFD" w:rsidRPr="001C5950" w:rsidRDefault="00794AFD" w:rsidP="00794AFD">
            <w:pPr>
              <w:pStyle w:val="body"/>
              <w:spacing w:line="240" w:lineRule="auto"/>
              <w:ind w:left="-90"/>
              <w:rPr>
                <w:rFonts w:asciiTheme="minorHAnsi" w:hAnsiTheme="minorHAnsi" w:cs="Times New Roman"/>
                <w:sz w:val="20"/>
                <w:szCs w:val="20"/>
              </w:rPr>
            </w:pPr>
            <w:r w:rsidRPr="001C5950">
              <w:rPr>
                <w:rFonts w:asciiTheme="minorHAnsi" w:hAnsiTheme="minorHAnsi" w:cs="Times New Roman"/>
                <w:sz w:val="20"/>
                <w:szCs w:val="20"/>
              </w:rPr>
              <w:t>Profit before tax</w:t>
            </w:r>
          </w:p>
        </w:tc>
        <w:tc>
          <w:tcPr>
            <w:tcW w:w="2551" w:type="dxa"/>
            <w:tcBorders>
              <w:top w:val="single" w:sz="4" w:space="0" w:color="auto"/>
              <w:bottom w:val="single" w:sz="4" w:space="0" w:color="auto"/>
            </w:tcBorders>
            <w:shd w:val="clear" w:color="auto" w:fill="auto"/>
          </w:tcPr>
          <w:p w14:paraId="61BBF372" w14:textId="77777777" w:rsidR="00794AFD" w:rsidRPr="00070ED0" w:rsidRDefault="00794AFD" w:rsidP="00794AFD">
            <w:pPr>
              <w:pStyle w:val="BodyText"/>
              <w:jc w:val="right"/>
              <w:rPr>
                <w:rFonts w:asciiTheme="minorHAnsi" w:hAnsiTheme="minorHAnsi" w:cs="Times New Roman"/>
                <w:b/>
                <w:sz w:val="20"/>
                <w:szCs w:val="20"/>
              </w:rPr>
            </w:pPr>
            <w:r w:rsidRPr="00070ED0">
              <w:rPr>
                <w:rFonts w:asciiTheme="minorHAnsi" w:hAnsiTheme="minorHAnsi" w:cs="Times New Roman"/>
                <w:b/>
                <w:sz w:val="20"/>
                <w:szCs w:val="20"/>
              </w:rPr>
              <w:t>135.7</w:t>
            </w:r>
          </w:p>
        </w:tc>
        <w:tc>
          <w:tcPr>
            <w:tcW w:w="1620" w:type="dxa"/>
            <w:tcBorders>
              <w:top w:val="single" w:sz="4" w:space="0" w:color="auto"/>
              <w:bottom w:val="single" w:sz="4" w:space="0" w:color="auto"/>
            </w:tcBorders>
          </w:tcPr>
          <w:p w14:paraId="02773D27" w14:textId="77777777" w:rsidR="00794AFD" w:rsidRPr="005D1B54" w:rsidRDefault="00794AFD" w:rsidP="00794AFD">
            <w:pPr>
              <w:pStyle w:val="BodyText"/>
              <w:jc w:val="right"/>
              <w:rPr>
                <w:rFonts w:asciiTheme="minorHAnsi" w:hAnsiTheme="minorHAnsi" w:cs="Times New Roman"/>
                <w:sz w:val="20"/>
                <w:szCs w:val="20"/>
              </w:rPr>
            </w:pPr>
            <w:r w:rsidRPr="005D1B54">
              <w:rPr>
                <w:rFonts w:asciiTheme="minorHAnsi" w:hAnsiTheme="minorHAnsi" w:cs="Times New Roman"/>
                <w:sz w:val="20"/>
                <w:szCs w:val="20"/>
              </w:rPr>
              <w:t>218.7</w:t>
            </w:r>
          </w:p>
        </w:tc>
      </w:tr>
    </w:tbl>
    <w:p w14:paraId="294930DB" w14:textId="77777777" w:rsidR="00794AFD" w:rsidRPr="00FC3D06" w:rsidRDefault="00794AFD" w:rsidP="00794AFD">
      <w:pPr>
        <w:rPr>
          <w:rFonts w:asciiTheme="minorHAnsi" w:hAnsiTheme="minorHAnsi" w:cs="Times New Roman"/>
          <w:sz w:val="20"/>
          <w:szCs w:val="20"/>
        </w:rPr>
      </w:pPr>
    </w:p>
    <w:p w14:paraId="77E3FC86" w14:textId="77777777" w:rsidR="00794AFD" w:rsidRPr="001C5950" w:rsidRDefault="00794AFD" w:rsidP="00794AFD">
      <w:pPr>
        <w:pStyle w:val="BodyText"/>
        <w:rPr>
          <w:rFonts w:asciiTheme="minorHAnsi" w:hAnsiTheme="minorHAnsi" w:cs="Times New Roman"/>
          <w:b/>
          <w:sz w:val="20"/>
          <w:szCs w:val="20"/>
        </w:rPr>
      </w:pPr>
      <w:bookmarkStart w:id="31" w:name="_Hlk2072781"/>
      <w:r w:rsidRPr="001C5950">
        <w:rPr>
          <w:rFonts w:asciiTheme="minorHAnsi" w:hAnsiTheme="minorHAnsi" w:cs="Times New Roman"/>
          <w:b/>
          <w:sz w:val="20"/>
          <w:szCs w:val="20"/>
        </w:rPr>
        <w:t>Disaggregation of revenue under IFRS 15</w:t>
      </w:r>
    </w:p>
    <w:p w14:paraId="005B9F03" w14:textId="77777777" w:rsidR="00794AFD" w:rsidRPr="00FC3D06" w:rsidRDefault="00794AFD" w:rsidP="00794AFD">
      <w:pPr>
        <w:pStyle w:val="BodyText"/>
        <w:rPr>
          <w:rFonts w:asciiTheme="minorHAnsi" w:hAnsiTheme="minorHAnsi" w:cs="Times New Roman"/>
          <w:b/>
          <w:sz w:val="20"/>
          <w:szCs w:val="20"/>
        </w:rPr>
      </w:pPr>
    </w:p>
    <w:p w14:paraId="55EFF328" w14:textId="77777777" w:rsidR="00794AFD" w:rsidRPr="001C5950" w:rsidRDefault="00794AFD" w:rsidP="00794AFD">
      <w:pPr>
        <w:rPr>
          <w:rFonts w:asciiTheme="minorHAnsi" w:hAnsiTheme="minorHAnsi"/>
          <w:sz w:val="20"/>
          <w:lang w:val="en-IE"/>
        </w:rPr>
      </w:pPr>
      <w:r w:rsidRPr="001C5950">
        <w:rPr>
          <w:rFonts w:asciiTheme="minorHAnsi" w:hAnsiTheme="minorHAnsi"/>
          <w:sz w:val="20"/>
          <w:lang w:val="en-IE"/>
        </w:rPr>
        <w:t xml:space="preserve">Group revenue disaggregated by product line for the year ended 31 December </w:t>
      </w:r>
      <w:r>
        <w:rPr>
          <w:rFonts w:asciiTheme="minorHAnsi" w:hAnsiTheme="minorHAnsi"/>
          <w:sz w:val="20"/>
          <w:lang w:val="en-IE"/>
        </w:rPr>
        <w:t>2019</w:t>
      </w:r>
      <w:r w:rsidRPr="001C5950">
        <w:rPr>
          <w:rFonts w:asciiTheme="minorHAnsi" w:hAnsiTheme="minorHAnsi"/>
          <w:sz w:val="20"/>
          <w:lang w:val="en-IE"/>
        </w:rPr>
        <w:t>:</w:t>
      </w:r>
    </w:p>
    <w:p w14:paraId="715020CB" w14:textId="77777777" w:rsidR="00794AFD" w:rsidRPr="001C5950" w:rsidRDefault="00794AFD" w:rsidP="00794AFD">
      <w:pPr>
        <w:rPr>
          <w:rFonts w:asciiTheme="minorHAnsi" w:hAnsiTheme="minorHAnsi"/>
          <w:b/>
          <w:sz w:val="20"/>
          <w:lang w:val="en-IE"/>
        </w:rPr>
      </w:pPr>
    </w:p>
    <w:tbl>
      <w:tblPr>
        <w:tblW w:w="10098" w:type="dxa"/>
        <w:tblInd w:w="108" w:type="dxa"/>
        <w:tblLayout w:type="fixed"/>
        <w:tblLook w:val="01E0" w:firstRow="1" w:lastRow="1" w:firstColumn="1" w:lastColumn="1" w:noHBand="0" w:noVBand="0"/>
      </w:tblPr>
      <w:tblGrid>
        <w:gridCol w:w="4287"/>
        <w:gridCol w:w="1272"/>
        <w:gridCol w:w="1086"/>
        <w:gridCol w:w="1085"/>
        <w:gridCol w:w="1036"/>
        <w:gridCol w:w="1332"/>
      </w:tblGrid>
      <w:tr w:rsidR="00794AFD" w:rsidRPr="001C5950" w14:paraId="6FD1474C" w14:textId="77777777" w:rsidTr="00794AFD">
        <w:trPr>
          <w:trHeight w:val="147"/>
        </w:trPr>
        <w:tc>
          <w:tcPr>
            <w:tcW w:w="4287" w:type="dxa"/>
            <w:tcBorders>
              <w:top w:val="single" w:sz="4" w:space="0" w:color="auto"/>
            </w:tcBorders>
            <w:shd w:val="clear" w:color="auto" w:fill="auto"/>
          </w:tcPr>
          <w:p w14:paraId="2A06FD1D" w14:textId="77777777" w:rsidR="00794AFD" w:rsidRPr="001C5950" w:rsidRDefault="00794AFD" w:rsidP="00794AFD">
            <w:pPr>
              <w:ind w:left="-108"/>
              <w:jc w:val="both"/>
              <w:rPr>
                <w:rFonts w:asciiTheme="minorHAnsi" w:hAnsiTheme="minorHAnsi"/>
                <w:b/>
                <w:sz w:val="20"/>
              </w:rPr>
            </w:pPr>
          </w:p>
        </w:tc>
        <w:tc>
          <w:tcPr>
            <w:tcW w:w="1272" w:type="dxa"/>
            <w:tcBorders>
              <w:top w:val="single" w:sz="4" w:space="0" w:color="auto"/>
            </w:tcBorders>
            <w:shd w:val="clear" w:color="auto" w:fill="auto"/>
          </w:tcPr>
          <w:p w14:paraId="692914A1" w14:textId="77777777" w:rsidR="00794AFD" w:rsidRPr="00070ED0" w:rsidRDefault="00794AFD" w:rsidP="00794AFD">
            <w:pPr>
              <w:jc w:val="right"/>
              <w:rPr>
                <w:rFonts w:asciiTheme="minorHAnsi" w:hAnsiTheme="minorHAnsi"/>
                <w:b/>
                <w:sz w:val="20"/>
              </w:rPr>
            </w:pPr>
            <w:r>
              <w:rPr>
                <w:rFonts w:asciiTheme="minorHAnsi" w:hAnsiTheme="minorHAnsi"/>
                <w:b/>
                <w:sz w:val="20"/>
              </w:rPr>
              <w:t>PPB Online</w:t>
            </w:r>
          </w:p>
        </w:tc>
        <w:tc>
          <w:tcPr>
            <w:tcW w:w="1086" w:type="dxa"/>
            <w:tcBorders>
              <w:top w:val="single" w:sz="4" w:space="0" w:color="auto"/>
            </w:tcBorders>
          </w:tcPr>
          <w:p w14:paraId="68094F2F"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Australia</w:t>
            </w:r>
          </w:p>
        </w:tc>
        <w:tc>
          <w:tcPr>
            <w:tcW w:w="1085" w:type="dxa"/>
            <w:tcBorders>
              <w:top w:val="single" w:sz="4" w:space="0" w:color="auto"/>
            </w:tcBorders>
            <w:shd w:val="clear" w:color="auto" w:fill="auto"/>
          </w:tcPr>
          <w:p w14:paraId="482FB117" w14:textId="77777777" w:rsidR="00794AFD" w:rsidRPr="00070ED0" w:rsidRDefault="00794AFD" w:rsidP="00794AFD">
            <w:pPr>
              <w:jc w:val="right"/>
              <w:rPr>
                <w:rFonts w:asciiTheme="minorHAnsi" w:hAnsiTheme="minorHAnsi"/>
                <w:b/>
                <w:sz w:val="20"/>
              </w:rPr>
            </w:pPr>
            <w:r>
              <w:rPr>
                <w:rFonts w:asciiTheme="minorHAnsi" w:hAnsiTheme="minorHAnsi"/>
                <w:b/>
                <w:sz w:val="20"/>
              </w:rPr>
              <w:t>PPB Retail</w:t>
            </w:r>
          </w:p>
        </w:tc>
        <w:tc>
          <w:tcPr>
            <w:tcW w:w="1036" w:type="dxa"/>
            <w:tcBorders>
              <w:top w:val="single" w:sz="4" w:space="0" w:color="auto"/>
            </w:tcBorders>
          </w:tcPr>
          <w:p w14:paraId="68A99239"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US</w:t>
            </w:r>
          </w:p>
        </w:tc>
        <w:tc>
          <w:tcPr>
            <w:tcW w:w="1332" w:type="dxa"/>
            <w:tcBorders>
              <w:top w:val="single" w:sz="4" w:space="0" w:color="auto"/>
            </w:tcBorders>
            <w:shd w:val="clear" w:color="auto" w:fill="auto"/>
          </w:tcPr>
          <w:p w14:paraId="4C5B90DD"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Total</w:t>
            </w:r>
          </w:p>
        </w:tc>
      </w:tr>
      <w:tr w:rsidR="00794AFD" w:rsidRPr="001C5950" w14:paraId="5A16CCC8" w14:textId="77777777" w:rsidTr="00794AFD">
        <w:trPr>
          <w:trHeight w:val="70"/>
        </w:trPr>
        <w:tc>
          <w:tcPr>
            <w:tcW w:w="4287" w:type="dxa"/>
            <w:tcBorders>
              <w:bottom w:val="single" w:sz="4" w:space="0" w:color="auto"/>
            </w:tcBorders>
            <w:shd w:val="clear" w:color="auto" w:fill="auto"/>
          </w:tcPr>
          <w:p w14:paraId="4AA926B8" w14:textId="77777777" w:rsidR="00794AFD" w:rsidRPr="001C5950" w:rsidRDefault="00794AFD" w:rsidP="00794AFD">
            <w:pPr>
              <w:ind w:left="-108"/>
              <w:jc w:val="both"/>
              <w:rPr>
                <w:rFonts w:asciiTheme="minorHAnsi" w:hAnsiTheme="minorHAnsi"/>
                <w:b/>
                <w:sz w:val="20"/>
              </w:rPr>
            </w:pPr>
          </w:p>
        </w:tc>
        <w:tc>
          <w:tcPr>
            <w:tcW w:w="1272" w:type="dxa"/>
            <w:tcBorders>
              <w:bottom w:val="single" w:sz="4" w:space="0" w:color="auto"/>
            </w:tcBorders>
            <w:shd w:val="clear" w:color="auto" w:fill="auto"/>
          </w:tcPr>
          <w:p w14:paraId="563F4147"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£m</w:t>
            </w:r>
          </w:p>
        </w:tc>
        <w:tc>
          <w:tcPr>
            <w:tcW w:w="1086" w:type="dxa"/>
            <w:tcBorders>
              <w:bottom w:val="single" w:sz="4" w:space="0" w:color="auto"/>
            </w:tcBorders>
          </w:tcPr>
          <w:p w14:paraId="53B811DD"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£m</w:t>
            </w:r>
          </w:p>
        </w:tc>
        <w:tc>
          <w:tcPr>
            <w:tcW w:w="1085" w:type="dxa"/>
            <w:tcBorders>
              <w:bottom w:val="single" w:sz="4" w:space="0" w:color="auto"/>
            </w:tcBorders>
            <w:shd w:val="clear" w:color="auto" w:fill="auto"/>
          </w:tcPr>
          <w:p w14:paraId="579239A7"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£m</w:t>
            </w:r>
          </w:p>
        </w:tc>
        <w:tc>
          <w:tcPr>
            <w:tcW w:w="1036" w:type="dxa"/>
            <w:tcBorders>
              <w:bottom w:val="single" w:sz="4" w:space="0" w:color="auto"/>
            </w:tcBorders>
          </w:tcPr>
          <w:p w14:paraId="1FBAAADD"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£m</w:t>
            </w:r>
          </w:p>
        </w:tc>
        <w:tc>
          <w:tcPr>
            <w:tcW w:w="1332" w:type="dxa"/>
            <w:tcBorders>
              <w:bottom w:val="single" w:sz="4" w:space="0" w:color="auto"/>
            </w:tcBorders>
            <w:shd w:val="clear" w:color="auto" w:fill="auto"/>
          </w:tcPr>
          <w:p w14:paraId="5739A90A"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£m</w:t>
            </w:r>
          </w:p>
        </w:tc>
      </w:tr>
      <w:tr w:rsidR="00794AFD" w:rsidRPr="001C5950" w14:paraId="3D53FC6D" w14:textId="77777777" w:rsidTr="00794AFD">
        <w:trPr>
          <w:trHeight w:val="102"/>
        </w:trPr>
        <w:tc>
          <w:tcPr>
            <w:tcW w:w="4287" w:type="dxa"/>
            <w:tcBorders>
              <w:top w:val="single" w:sz="4" w:space="0" w:color="auto"/>
            </w:tcBorders>
          </w:tcPr>
          <w:p w14:paraId="37BB00EE" w14:textId="77777777" w:rsidR="00794AFD" w:rsidRPr="001C5950" w:rsidRDefault="00794AFD" w:rsidP="00794AFD">
            <w:pPr>
              <w:ind w:left="-108"/>
              <w:rPr>
                <w:rFonts w:asciiTheme="minorHAnsi" w:hAnsiTheme="minorHAnsi"/>
                <w:b/>
                <w:sz w:val="20"/>
              </w:rPr>
            </w:pPr>
            <w:r w:rsidRPr="001C5950">
              <w:rPr>
                <w:rFonts w:asciiTheme="minorHAnsi" w:hAnsiTheme="minorHAnsi"/>
                <w:sz w:val="20"/>
              </w:rPr>
              <w:t>Sports revenue</w:t>
            </w:r>
            <w:r w:rsidRPr="001C5950">
              <w:rPr>
                <w:rFonts w:asciiTheme="minorHAnsi" w:hAnsiTheme="minorHAnsi"/>
                <w:sz w:val="20"/>
                <w:vertAlign w:val="superscript"/>
              </w:rPr>
              <w:t>1</w:t>
            </w:r>
          </w:p>
        </w:tc>
        <w:tc>
          <w:tcPr>
            <w:tcW w:w="1272" w:type="dxa"/>
            <w:tcBorders>
              <w:top w:val="single" w:sz="4" w:space="0" w:color="auto"/>
            </w:tcBorders>
            <w:shd w:val="clear" w:color="auto" w:fill="auto"/>
            <w:vAlign w:val="bottom"/>
          </w:tcPr>
          <w:p w14:paraId="1C1F6FFF"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666.3</w:t>
            </w:r>
          </w:p>
        </w:tc>
        <w:tc>
          <w:tcPr>
            <w:tcW w:w="1086" w:type="dxa"/>
            <w:tcBorders>
              <w:top w:val="single" w:sz="4" w:space="0" w:color="auto"/>
            </w:tcBorders>
            <w:shd w:val="clear" w:color="auto" w:fill="auto"/>
            <w:vAlign w:val="bottom"/>
          </w:tcPr>
          <w:p w14:paraId="7D1852B0"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445.8</w:t>
            </w:r>
          </w:p>
        </w:tc>
        <w:tc>
          <w:tcPr>
            <w:tcW w:w="1085" w:type="dxa"/>
            <w:tcBorders>
              <w:top w:val="single" w:sz="4" w:space="0" w:color="auto"/>
            </w:tcBorders>
            <w:shd w:val="clear" w:color="auto" w:fill="auto"/>
            <w:vAlign w:val="bottom"/>
          </w:tcPr>
          <w:p w14:paraId="29292DF6"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229.6</w:t>
            </w:r>
          </w:p>
        </w:tc>
        <w:tc>
          <w:tcPr>
            <w:tcW w:w="1036" w:type="dxa"/>
            <w:tcBorders>
              <w:top w:val="single" w:sz="4" w:space="0" w:color="auto"/>
            </w:tcBorders>
            <w:shd w:val="clear" w:color="auto" w:fill="auto"/>
            <w:vAlign w:val="bottom"/>
          </w:tcPr>
          <w:p w14:paraId="2BD5124E"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325.0</w:t>
            </w:r>
          </w:p>
        </w:tc>
        <w:tc>
          <w:tcPr>
            <w:tcW w:w="1332" w:type="dxa"/>
            <w:tcBorders>
              <w:top w:val="single" w:sz="4" w:space="0" w:color="auto"/>
            </w:tcBorders>
            <w:shd w:val="clear" w:color="auto" w:fill="auto"/>
            <w:vAlign w:val="bottom"/>
          </w:tcPr>
          <w:p w14:paraId="282C0F4E"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1,666.7</w:t>
            </w:r>
          </w:p>
        </w:tc>
      </w:tr>
      <w:tr w:rsidR="00794AFD" w:rsidRPr="001C5950" w14:paraId="3070B459" w14:textId="77777777" w:rsidTr="00794AFD">
        <w:tc>
          <w:tcPr>
            <w:tcW w:w="4287" w:type="dxa"/>
          </w:tcPr>
          <w:p w14:paraId="5A07BA50"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Gaming revenue</w:t>
            </w:r>
          </w:p>
        </w:tc>
        <w:tc>
          <w:tcPr>
            <w:tcW w:w="1272" w:type="dxa"/>
            <w:shd w:val="clear" w:color="auto" w:fill="auto"/>
            <w:vAlign w:val="bottom"/>
          </w:tcPr>
          <w:p w14:paraId="75836B4C"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339.9</w:t>
            </w:r>
          </w:p>
        </w:tc>
        <w:tc>
          <w:tcPr>
            <w:tcW w:w="1086" w:type="dxa"/>
            <w:shd w:val="clear" w:color="auto" w:fill="auto"/>
            <w:vAlign w:val="bottom"/>
          </w:tcPr>
          <w:p w14:paraId="4DB83373"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w:t>
            </w:r>
          </w:p>
        </w:tc>
        <w:tc>
          <w:tcPr>
            <w:tcW w:w="1085" w:type="dxa"/>
            <w:shd w:val="clear" w:color="auto" w:fill="auto"/>
            <w:vAlign w:val="bottom"/>
          </w:tcPr>
          <w:p w14:paraId="2E9AB1E6"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82.1</w:t>
            </w:r>
          </w:p>
        </w:tc>
        <w:tc>
          <w:tcPr>
            <w:tcW w:w="1036" w:type="dxa"/>
            <w:shd w:val="clear" w:color="auto" w:fill="auto"/>
            <w:vAlign w:val="bottom"/>
          </w:tcPr>
          <w:p w14:paraId="7FA78657"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51.3</w:t>
            </w:r>
          </w:p>
        </w:tc>
        <w:tc>
          <w:tcPr>
            <w:tcW w:w="1332" w:type="dxa"/>
            <w:shd w:val="clear" w:color="auto" w:fill="auto"/>
            <w:vAlign w:val="bottom"/>
          </w:tcPr>
          <w:p w14:paraId="58D9A3E0"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473.3</w:t>
            </w:r>
          </w:p>
        </w:tc>
      </w:tr>
      <w:tr w:rsidR="00794AFD" w:rsidRPr="001C5950" w14:paraId="7B2EC3AD" w14:textId="77777777" w:rsidTr="00794AFD">
        <w:tc>
          <w:tcPr>
            <w:tcW w:w="4287" w:type="dxa"/>
            <w:tcBorders>
              <w:top w:val="single" w:sz="4" w:space="0" w:color="auto"/>
              <w:bottom w:val="single" w:sz="4" w:space="0" w:color="auto"/>
            </w:tcBorders>
          </w:tcPr>
          <w:p w14:paraId="6EC38A5A"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Total Group revenue</w:t>
            </w:r>
          </w:p>
        </w:tc>
        <w:tc>
          <w:tcPr>
            <w:tcW w:w="1272" w:type="dxa"/>
            <w:tcBorders>
              <w:top w:val="single" w:sz="4" w:space="0" w:color="auto"/>
              <w:bottom w:val="single" w:sz="4" w:space="0" w:color="auto"/>
            </w:tcBorders>
            <w:shd w:val="clear" w:color="auto" w:fill="auto"/>
            <w:vAlign w:val="bottom"/>
          </w:tcPr>
          <w:p w14:paraId="5E9F9E99"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1,006.2</w:t>
            </w:r>
          </w:p>
        </w:tc>
        <w:tc>
          <w:tcPr>
            <w:tcW w:w="1086" w:type="dxa"/>
            <w:tcBorders>
              <w:top w:val="single" w:sz="4" w:space="0" w:color="auto"/>
              <w:bottom w:val="single" w:sz="4" w:space="0" w:color="auto"/>
            </w:tcBorders>
            <w:shd w:val="clear" w:color="auto" w:fill="auto"/>
            <w:vAlign w:val="bottom"/>
          </w:tcPr>
          <w:p w14:paraId="2C942FD2"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445.8</w:t>
            </w:r>
          </w:p>
        </w:tc>
        <w:tc>
          <w:tcPr>
            <w:tcW w:w="1085" w:type="dxa"/>
            <w:tcBorders>
              <w:top w:val="single" w:sz="4" w:space="0" w:color="auto"/>
              <w:bottom w:val="single" w:sz="4" w:space="0" w:color="auto"/>
            </w:tcBorders>
            <w:shd w:val="clear" w:color="auto" w:fill="auto"/>
            <w:vAlign w:val="bottom"/>
          </w:tcPr>
          <w:p w14:paraId="4BFB55C4"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311.7</w:t>
            </w:r>
          </w:p>
        </w:tc>
        <w:tc>
          <w:tcPr>
            <w:tcW w:w="1036" w:type="dxa"/>
            <w:tcBorders>
              <w:top w:val="single" w:sz="4" w:space="0" w:color="auto"/>
              <w:bottom w:val="single" w:sz="4" w:space="0" w:color="auto"/>
            </w:tcBorders>
            <w:shd w:val="clear" w:color="auto" w:fill="auto"/>
            <w:vAlign w:val="bottom"/>
          </w:tcPr>
          <w:p w14:paraId="04162F2D"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376.3</w:t>
            </w:r>
          </w:p>
        </w:tc>
        <w:tc>
          <w:tcPr>
            <w:tcW w:w="1332" w:type="dxa"/>
            <w:tcBorders>
              <w:top w:val="single" w:sz="4" w:space="0" w:color="auto"/>
              <w:bottom w:val="single" w:sz="4" w:space="0" w:color="auto"/>
            </w:tcBorders>
            <w:shd w:val="clear" w:color="auto" w:fill="auto"/>
            <w:vAlign w:val="bottom"/>
          </w:tcPr>
          <w:p w14:paraId="621C8532"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2,140.0</w:t>
            </w:r>
          </w:p>
        </w:tc>
      </w:tr>
    </w:tbl>
    <w:p w14:paraId="4C15AEFF" w14:textId="77777777" w:rsidR="00794AFD" w:rsidRPr="001C5950" w:rsidRDefault="00794AFD" w:rsidP="00794AFD">
      <w:pPr>
        <w:rPr>
          <w:rFonts w:asciiTheme="minorHAnsi" w:hAnsiTheme="minorHAnsi"/>
          <w:sz w:val="20"/>
          <w:lang w:val="en-IE"/>
        </w:rPr>
      </w:pPr>
    </w:p>
    <w:p w14:paraId="76E73CE2" w14:textId="77777777" w:rsidR="00794AFD" w:rsidRPr="001C5950" w:rsidRDefault="00794AFD" w:rsidP="00794AFD">
      <w:pPr>
        <w:rPr>
          <w:rFonts w:asciiTheme="minorHAnsi" w:hAnsiTheme="minorHAnsi"/>
          <w:sz w:val="20"/>
          <w:lang w:val="en-IE"/>
        </w:rPr>
      </w:pPr>
      <w:r w:rsidRPr="001C5950">
        <w:rPr>
          <w:rFonts w:asciiTheme="minorHAnsi" w:hAnsiTheme="minorHAnsi"/>
          <w:sz w:val="20"/>
          <w:lang w:val="en-IE"/>
        </w:rPr>
        <w:t xml:space="preserve">Group revenue disaggregated by product line for the year ended 31 December </w:t>
      </w:r>
      <w:r>
        <w:rPr>
          <w:rFonts w:asciiTheme="minorHAnsi" w:hAnsiTheme="minorHAnsi"/>
          <w:sz w:val="20"/>
          <w:lang w:val="en-IE"/>
        </w:rPr>
        <w:t>2018</w:t>
      </w:r>
      <w:r w:rsidRPr="001C5950">
        <w:rPr>
          <w:rFonts w:asciiTheme="minorHAnsi" w:hAnsiTheme="minorHAnsi"/>
          <w:sz w:val="20"/>
          <w:lang w:val="en-IE"/>
        </w:rPr>
        <w:t>:</w:t>
      </w:r>
    </w:p>
    <w:p w14:paraId="2017988C" w14:textId="77777777" w:rsidR="00794AFD" w:rsidRPr="001C5950" w:rsidRDefault="00794AFD" w:rsidP="00794AFD">
      <w:pPr>
        <w:rPr>
          <w:rFonts w:asciiTheme="minorHAnsi" w:hAnsiTheme="minorHAnsi"/>
          <w:b/>
          <w:sz w:val="20"/>
          <w:lang w:val="en-IE"/>
        </w:rPr>
      </w:pPr>
    </w:p>
    <w:tbl>
      <w:tblPr>
        <w:tblW w:w="10098" w:type="dxa"/>
        <w:tblInd w:w="108" w:type="dxa"/>
        <w:tblLayout w:type="fixed"/>
        <w:tblLook w:val="01E0" w:firstRow="1" w:lastRow="1" w:firstColumn="1" w:lastColumn="1" w:noHBand="0" w:noVBand="0"/>
      </w:tblPr>
      <w:tblGrid>
        <w:gridCol w:w="4287"/>
        <w:gridCol w:w="1272"/>
        <w:gridCol w:w="1086"/>
        <w:gridCol w:w="1085"/>
        <w:gridCol w:w="1036"/>
        <w:gridCol w:w="1332"/>
      </w:tblGrid>
      <w:tr w:rsidR="00794AFD" w:rsidRPr="001C5950" w14:paraId="1BE7EC38" w14:textId="77777777" w:rsidTr="00794AFD">
        <w:trPr>
          <w:trHeight w:val="147"/>
        </w:trPr>
        <w:tc>
          <w:tcPr>
            <w:tcW w:w="4287" w:type="dxa"/>
            <w:tcBorders>
              <w:top w:val="single" w:sz="4" w:space="0" w:color="auto"/>
            </w:tcBorders>
            <w:shd w:val="clear" w:color="auto" w:fill="auto"/>
          </w:tcPr>
          <w:p w14:paraId="444402CF" w14:textId="77777777" w:rsidR="00794AFD" w:rsidRPr="001C5950" w:rsidRDefault="00794AFD" w:rsidP="00794AFD">
            <w:pPr>
              <w:ind w:left="-108"/>
              <w:jc w:val="both"/>
              <w:rPr>
                <w:rFonts w:asciiTheme="minorHAnsi" w:hAnsiTheme="minorHAnsi"/>
                <w:b/>
                <w:sz w:val="20"/>
              </w:rPr>
            </w:pPr>
          </w:p>
        </w:tc>
        <w:tc>
          <w:tcPr>
            <w:tcW w:w="1272" w:type="dxa"/>
            <w:tcBorders>
              <w:top w:val="single" w:sz="4" w:space="0" w:color="auto"/>
            </w:tcBorders>
            <w:shd w:val="clear" w:color="auto" w:fill="auto"/>
          </w:tcPr>
          <w:p w14:paraId="002C91C6" w14:textId="77777777" w:rsidR="00794AFD" w:rsidRPr="001C5950" w:rsidRDefault="00794AFD" w:rsidP="00794AFD">
            <w:pPr>
              <w:jc w:val="right"/>
              <w:rPr>
                <w:rFonts w:asciiTheme="minorHAnsi" w:hAnsiTheme="minorHAnsi"/>
                <w:sz w:val="20"/>
              </w:rPr>
            </w:pPr>
            <w:r>
              <w:rPr>
                <w:rFonts w:asciiTheme="minorHAnsi" w:hAnsiTheme="minorHAnsi"/>
                <w:sz w:val="20"/>
              </w:rPr>
              <w:t>PPB Online</w:t>
            </w:r>
          </w:p>
        </w:tc>
        <w:tc>
          <w:tcPr>
            <w:tcW w:w="1086" w:type="dxa"/>
            <w:tcBorders>
              <w:top w:val="single" w:sz="4" w:space="0" w:color="auto"/>
            </w:tcBorders>
          </w:tcPr>
          <w:p w14:paraId="48E112D9"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Australia</w:t>
            </w:r>
          </w:p>
        </w:tc>
        <w:tc>
          <w:tcPr>
            <w:tcW w:w="1085" w:type="dxa"/>
            <w:tcBorders>
              <w:top w:val="single" w:sz="4" w:space="0" w:color="auto"/>
            </w:tcBorders>
            <w:shd w:val="clear" w:color="auto" w:fill="auto"/>
          </w:tcPr>
          <w:p w14:paraId="7D9CF854" w14:textId="77777777" w:rsidR="00794AFD" w:rsidRPr="001C5950" w:rsidRDefault="00794AFD" w:rsidP="00794AFD">
            <w:pPr>
              <w:jc w:val="right"/>
              <w:rPr>
                <w:rFonts w:asciiTheme="minorHAnsi" w:hAnsiTheme="minorHAnsi"/>
                <w:sz w:val="20"/>
              </w:rPr>
            </w:pPr>
            <w:r>
              <w:rPr>
                <w:rFonts w:asciiTheme="minorHAnsi" w:hAnsiTheme="minorHAnsi"/>
                <w:sz w:val="20"/>
              </w:rPr>
              <w:t>PPB Retail</w:t>
            </w:r>
          </w:p>
        </w:tc>
        <w:tc>
          <w:tcPr>
            <w:tcW w:w="1036" w:type="dxa"/>
            <w:tcBorders>
              <w:top w:val="single" w:sz="4" w:space="0" w:color="auto"/>
            </w:tcBorders>
          </w:tcPr>
          <w:p w14:paraId="09EFB384"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US</w:t>
            </w:r>
          </w:p>
        </w:tc>
        <w:tc>
          <w:tcPr>
            <w:tcW w:w="1332" w:type="dxa"/>
            <w:tcBorders>
              <w:top w:val="single" w:sz="4" w:space="0" w:color="auto"/>
            </w:tcBorders>
            <w:shd w:val="clear" w:color="auto" w:fill="auto"/>
          </w:tcPr>
          <w:p w14:paraId="4BC69250"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Total</w:t>
            </w:r>
          </w:p>
        </w:tc>
      </w:tr>
      <w:tr w:rsidR="00794AFD" w:rsidRPr="001C5950" w14:paraId="6B1BE8BE" w14:textId="77777777" w:rsidTr="00794AFD">
        <w:trPr>
          <w:trHeight w:val="70"/>
        </w:trPr>
        <w:tc>
          <w:tcPr>
            <w:tcW w:w="4287" w:type="dxa"/>
            <w:tcBorders>
              <w:bottom w:val="single" w:sz="4" w:space="0" w:color="auto"/>
            </w:tcBorders>
            <w:shd w:val="clear" w:color="auto" w:fill="auto"/>
          </w:tcPr>
          <w:p w14:paraId="2B5DDC10" w14:textId="77777777" w:rsidR="00794AFD" w:rsidRPr="001C5950" w:rsidRDefault="00794AFD" w:rsidP="00794AFD">
            <w:pPr>
              <w:ind w:left="-108"/>
              <w:jc w:val="both"/>
              <w:rPr>
                <w:rFonts w:asciiTheme="minorHAnsi" w:hAnsiTheme="minorHAnsi"/>
                <w:b/>
                <w:sz w:val="20"/>
              </w:rPr>
            </w:pPr>
          </w:p>
        </w:tc>
        <w:tc>
          <w:tcPr>
            <w:tcW w:w="1272" w:type="dxa"/>
            <w:tcBorders>
              <w:bottom w:val="single" w:sz="4" w:space="0" w:color="auto"/>
            </w:tcBorders>
            <w:shd w:val="clear" w:color="auto" w:fill="auto"/>
          </w:tcPr>
          <w:p w14:paraId="4AD022BC"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£m</w:t>
            </w:r>
          </w:p>
        </w:tc>
        <w:tc>
          <w:tcPr>
            <w:tcW w:w="1086" w:type="dxa"/>
            <w:tcBorders>
              <w:bottom w:val="single" w:sz="4" w:space="0" w:color="auto"/>
            </w:tcBorders>
          </w:tcPr>
          <w:p w14:paraId="2DD166BB"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£m</w:t>
            </w:r>
          </w:p>
        </w:tc>
        <w:tc>
          <w:tcPr>
            <w:tcW w:w="1085" w:type="dxa"/>
            <w:tcBorders>
              <w:bottom w:val="single" w:sz="4" w:space="0" w:color="auto"/>
            </w:tcBorders>
            <w:shd w:val="clear" w:color="auto" w:fill="auto"/>
          </w:tcPr>
          <w:p w14:paraId="555EE501"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£m</w:t>
            </w:r>
          </w:p>
        </w:tc>
        <w:tc>
          <w:tcPr>
            <w:tcW w:w="1036" w:type="dxa"/>
            <w:tcBorders>
              <w:bottom w:val="single" w:sz="4" w:space="0" w:color="auto"/>
            </w:tcBorders>
          </w:tcPr>
          <w:p w14:paraId="348445BC"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£m</w:t>
            </w:r>
          </w:p>
        </w:tc>
        <w:tc>
          <w:tcPr>
            <w:tcW w:w="1332" w:type="dxa"/>
            <w:tcBorders>
              <w:bottom w:val="single" w:sz="4" w:space="0" w:color="auto"/>
            </w:tcBorders>
            <w:shd w:val="clear" w:color="auto" w:fill="auto"/>
          </w:tcPr>
          <w:p w14:paraId="51740620"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£m</w:t>
            </w:r>
          </w:p>
        </w:tc>
      </w:tr>
      <w:tr w:rsidR="00794AFD" w:rsidRPr="005D1B54" w14:paraId="5A2A9B24" w14:textId="77777777" w:rsidTr="00794AFD">
        <w:trPr>
          <w:trHeight w:val="102"/>
        </w:trPr>
        <w:tc>
          <w:tcPr>
            <w:tcW w:w="4287" w:type="dxa"/>
            <w:tcBorders>
              <w:top w:val="single" w:sz="4" w:space="0" w:color="auto"/>
            </w:tcBorders>
          </w:tcPr>
          <w:p w14:paraId="28BCA92D" w14:textId="77777777" w:rsidR="00794AFD" w:rsidRPr="001C5950" w:rsidRDefault="00794AFD" w:rsidP="00794AFD">
            <w:pPr>
              <w:ind w:left="-108"/>
              <w:rPr>
                <w:rFonts w:asciiTheme="minorHAnsi" w:hAnsiTheme="minorHAnsi"/>
                <w:b/>
                <w:sz w:val="20"/>
              </w:rPr>
            </w:pPr>
            <w:r w:rsidRPr="001C5950">
              <w:rPr>
                <w:rFonts w:asciiTheme="minorHAnsi" w:hAnsiTheme="minorHAnsi"/>
                <w:sz w:val="20"/>
              </w:rPr>
              <w:t>Sports revenue</w:t>
            </w:r>
            <w:r w:rsidRPr="00FC3D06">
              <w:rPr>
                <w:rFonts w:asciiTheme="minorHAnsi" w:hAnsiTheme="minorHAnsi"/>
                <w:sz w:val="20"/>
                <w:vertAlign w:val="superscript"/>
              </w:rPr>
              <w:t>1</w:t>
            </w:r>
          </w:p>
        </w:tc>
        <w:tc>
          <w:tcPr>
            <w:tcW w:w="1272" w:type="dxa"/>
            <w:tcBorders>
              <w:top w:val="single" w:sz="4" w:space="0" w:color="auto"/>
            </w:tcBorders>
            <w:shd w:val="clear" w:color="auto" w:fill="auto"/>
            <w:vAlign w:val="bottom"/>
          </w:tcPr>
          <w:p w14:paraId="68B2E967"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677.8</w:t>
            </w:r>
          </w:p>
        </w:tc>
        <w:tc>
          <w:tcPr>
            <w:tcW w:w="1086" w:type="dxa"/>
            <w:tcBorders>
              <w:top w:val="single" w:sz="4" w:space="0" w:color="auto"/>
            </w:tcBorders>
            <w:shd w:val="clear" w:color="auto" w:fill="auto"/>
            <w:vAlign w:val="bottom"/>
          </w:tcPr>
          <w:p w14:paraId="32B10E41"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402.9</w:t>
            </w:r>
          </w:p>
        </w:tc>
        <w:tc>
          <w:tcPr>
            <w:tcW w:w="1085" w:type="dxa"/>
            <w:tcBorders>
              <w:top w:val="single" w:sz="4" w:space="0" w:color="auto"/>
            </w:tcBorders>
            <w:shd w:val="clear" w:color="auto" w:fill="auto"/>
            <w:vAlign w:val="bottom"/>
          </w:tcPr>
          <w:p w14:paraId="4D7C946D"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221.7</w:t>
            </w:r>
          </w:p>
        </w:tc>
        <w:tc>
          <w:tcPr>
            <w:tcW w:w="1036" w:type="dxa"/>
            <w:tcBorders>
              <w:top w:val="single" w:sz="4" w:space="0" w:color="auto"/>
            </w:tcBorders>
            <w:shd w:val="clear" w:color="auto" w:fill="auto"/>
            <w:vAlign w:val="bottom"/>
          </w:tcPr>
          <w:p w14:paraId="3F56F802"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171.7</w:t>
            </w:r>
          </w:p>
        </w:tc>
        <w:tc>
          <w:tcPr>
            <w:tcW w:w="1332" w:type="dxa"/>
            <w:tcBorders>
              <w:top w:val="single" w:sz="4" w:space="0" w:color="auto"/>
            </w:tcBorders>
            <w:shd w:val="clear" w:color="auto" w:fill="auto"/>
            <w:vAlign w:val="bottom"/>
          </w:tcPr>
          <w:p w14:paraId="06753979"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1,474.1</w:t>
            </w:r>
          </w:p>
        </w:tc>
      </w:tr>
      <w:tr w:rsidR="00794AFD" w:rsidRPr="005D1B54" w14:paraId="44BFE3BC" w14:textId="77777777" w:rsidTr="00794AFD">
        <w:tc>
          <w:tcPr>
            <w:tcW w:w="4287" w:type="dxa"/>
          </w:tcPr>
          <w:p w14:paraId="2F8E9928"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Gaming revenue</w:t>
            </w:r>
          </w:p>
        </w:tc>
        <w:tc>
          <w:tcPr>
            <w:tcW w:w="1272" w:type="dxa"/>
            <w:shd w:val="clear" w:color="auto" w:fill="auto"/>
            <w:vAlign w:val="bottom"/>
          </w:tcPr>
          <w:p w14:paraId="0C966EA6"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269.8</w:t>
            </w:r>
          </w:p>
        </w:tc>
        <w:tc>
          <w:tcPr>
            <w:tcW w:w="1086" w:type="dxa"/>
            <w:shd w:val="clear" w:color="auto" w:fill="auto"/>
            <w:vAlign w:val="bottom"/>
          </w:tcPr>
          <w:p w14:paraId="021F84FD"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w:t>
            </w:r>
          </w:p>
        </w:tc>
        <w:tc>
          <w:tcPr>
            <w:tcW w:w="1085" w:type="dxa"/>
            <w:shd w:val="clear" w:color="auto" w:fill="auto"/>
            <w:vAlign w:val="bottom"/>
          </w:tcPr>
          <w:p w14:paraId="0E3D979C"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109.8</w:t>
            </w:r>
          </w:p>
        </w:tc>
        <w:tc>
          <w:tcPr>
            <w:tcW w:w="1036" w:type="dxa"/>
            <w:shd w:val="clear" w:color="auto" w:fill="auto"/>
            <w:vAlign w:val="bottom"/>
          </w:tcPr>
          <w:p w14:paraId="6BEDE9E7"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19.7</w:t>
            </w:r>
          </w:p>
        </w:tc>
        <w:tc>
          <w:tcPr>
            <w:tcW w:w="1332" w:type="dxa"/>
            <w:shd w:val="clear" w:color="auto" w:fill="auto"/>
            <w:vAlign w:val="bottom"/>
          </w:tcPr>
          <w:p w14:paraId="21333689"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399.3</w:t>
            </w:r>
          </w:p>
        </w:tc>
      </w:tr>
      <w:tr w:rsidR="00794AFD" w:rsidRPr="005D1B54" w14:paraId="74CA01CE" w14:textId="77777777" w:rsidTr="00794AFD">
        <w:tc>
          <w:tcPr>
            <w:tcW w:w="4287" w:type="dxa"/>
            <w:tcBorders>
              <w:top w:val="single" w:sz="4" w:space="0" w:color="auto"/>
              <w:bottom w:val="single" w:sz="4" w:space="0" w:color="auto"/>
            </w:tcBorders>
          </w:tcPr>
          <w:p w14:paraId="10908575"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Total Group revenue</w:t>
            </w:r>
          </w:p>
        </w:tc>
        <w:tc>
          <w:tcPr>
            <w:tcW w:w="1272" w:type="dxa"/>
            <w:tcBorders>
              <w:top w:val="single" w:sz="4" w:space="0" w:color="auto"/>
              <w:bottom w:val="single" w:sz="4" w:space="0" w:color="auto"/>
            </w:tcBorders>
            <w:shd w:val="clear" w:color="auto" w:fill="auto"/>
            <w:vAlign w:val="bottom"/>
          </w:tcPr>
          <w:p w14:paraId="135C8B09"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947.6</w:t>
            </w:r>
          </w:p>
        </w:tc>
        <w:tc>
          <w:tcPr>
            <w:tcW w:w="1086" w:type="dxa"/>
            <w:tcBorders>
              <w:top w:val="single" w:sz="4" w:space="0" w:color="auto"/>
              <w:bottom w:val="single" w:sz="4" w:space="0" w:color="auto"/>
            </w:tcBorders>
            <w:shd w:val="clear" w:color="auto" w:fill="auto"/>
            <w:vAlign w:val="bottom"/>
          </w:tcPr>
          <w:p w14:paraId="604E8E37"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402.9</w:t>
            </w:r>
          </w:p>
        </w:tc>
        <w:tc>
          <w:tcPr>
            <w:tcW w:w="1085" w:type="dxa"/>
            <w:tcBorders>
              <w:top w:val="single" w:sz="4" w:space="0" w:color="auto"/>
              <w:bottom w:val="single" w:sz="4" w:space="0" w:color="auto"/>
            </w:tcBorders>
            <w:shd w:val="clear" w:color="auto" w:fill="auto"/>
            <w:vAlign w:val="bottom"/>
          </w:tcPr>
          <w:p w14:paraId="40B2CBCB"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331.5</w:t>
            </w:r>
          </w:p>
        </w:tc>
        <w:tc>
          <w:tcPr>
            <w:tcW w:w="1036" w:type="dxa"/>
            <w:tcBorders>
              <w:top w:val="single" w:sz="4" w:space="0" w:color="auto"/>
              <w:bottom w:val="single" w:sz="4" w:space="0" w:color="auto"/>
            </w:tcBorders>
            <w:shd w:val="clear" w:color="auto" w:fill="auto"/>
            <w:vAlign w:val="bottom"/>
          </w:tcPr>
          <w:p w14:paraId="2640EF3C"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191.4</w:t>
            </w:r>
          </w:p>
        </w:tc>
        <w:tc>
          <w:tcPr>
            <w:tcW w:w="1332" w:type="dxa"/>
            <w:tcBorders>
              <w:top w:val="single" w:sz="4" w:space="0" w:color="auto"/>
              <w:bottom w:val="single" w:sz="4" w:space="0" w:color="auto"/>
            </w:tcBorders>
            <w:shd w:val="clear" w:color="auto" w:fill="auto"/>
            <w:vAlign w:val="bottom"/>
          </w:tcPr>
          <w:p w14:paraId="24268506"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1,873.4</w:t>
            </w:r>
          </w:p>
        </w:tc>
      </w:tr>
    </w:tbl>
    <w:p w14:paraId="04B438BF" w14:textId="77777777" w:rsidR="00794AFD" w:rsidRPr="00FC3D06" w:rsidRDefault="00794AFD" w:rsidP="00794AFD">
      <w:pPr>
        <w:pStyle w:val="BodyText"/>
        <w:rPr>
          <w:rFonts w:asciiTheme="minorHAnsi" w:hAnsiTheme="minorHAnsi" w:cs="Times New Roman"/>
          <w:b/>
          <w:sz w:val="20"/>
          <w:szCs w:val="20"/>
        </w:rPr>
      </w:pPr>
    </w:p>
    <w:p w14:paraId="10F1A313" w14:textId="77777777" w:rsidR="00794AFD" w:rsidRPr="00FC3D06" w:rsidRDefault="00794AFD" w:rsidP="00794AFD">
      <w:pPr>
        <w:pStyle w:val="BodyText"/>
        <w:rPr>
          <w:rFonts w:asciiTheme="minorHAnsi" w:hAnsiTheme="minorHAnsi" w:cs="Times New Roman"/>
          <w:b/>
        </w:rPr>
      </w:pPr>
      <w:r w:rsidRPr="00FC3D06">
        <w:rPr>
          <w:rFonts w:asciiTheme="minorHAnsi" w:hAnsiTheme="minorHAnsi"/>
          <w:vertAlign w:val="superscript"/>
        </w:rPr>
        <w:t>1</w:t>
      </w:r>
      <w:r w:rsidRPr="001C5950">
        <w:rPr>
          <w:rFonts w:asciiTheme="minorHAnsi" w:hAnsiTheme="minorHAnsi"/>
          <w:vertAlign w:val="superscript"/>
        </w:rPr>
        <w:t xml:space="preserve"> </w:t>
      </w:r>
      <w:r w:rsidRPr="00FC3D06">
        <w:rPr>
          <w:rFonts w:asciiTheme="minorHAnsi" w:hAnsiTheme="minorHAnsi"/>
        </w:rPr>
        <w:t>Sports revenue comprises sportsbook, exchange sports betting, daily fantasy sports and pari-mutuel betting.</w:t>
      </w:r>
    </w:p>
    <w:bookmarkEnd w:id="31"/>
    <w:p w14:paraId="2109BF69" w14:textId="77777777" w:rsidR="00794AFD" w:rsidRPr="00FC3D06" w:rsidRDefault="00794AFD" w:rsidP="00794AFD">
      <w:pPr>
        <w:pStyle w:val="BodyText"/>
        <w:rPr>
          <w:rFonts w:asciiTheme="minorHAnsi" w:hAnsiTheme="minorHAnsi" w:cs="Times New Roman"/>
          <w:b/>
          <w:sz w:val="20"/>
          <w:szCs w:val="20"/>
        </w:rPr>
      </w:pPr>
    </w:p>
    <w:p w14:paraId="0E00D8C5" w14:textId="77777777" w:rsidR="00794AFD" w:rsidRPr="001C5950" w:rsidRDefault="00794AFD" w:rsidP="00794AFD">
      <w:pPr>
        <w:pStyle w:val="BodyText"/>
        <w:rPr>
          <w:rFonts w:asciiTheme="minorHAnsi" w:hAnsiTheme="minorHAnsi" w:cs="Times New Roman"/>
          <w:b/>
          <w:sz w:val="20"/>
          <w:szCs w:val="20"/>
        </w:rPr>
      </w:pPr>
      <w:r w:rsidRPr="001C5950">
        <w:rPr>
          <w:rFonts w:asciiTheme="minorHAnsi" w:hAnsiTheme="minorHAnsi" w:cs="Times New Roman"/>
          <w:b/>
          <w:sz w:val="20"/>
          <w:szCs w:val="20"/>
        </w:rPr>
        <w:t>Geographical segment information</w:t>
      </w:r>
    </w:p>
    <w:p w14:paraId="5188A4D4"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cs="Times New Roman"/>
          <w:sz w:val="20"/>
          <w:szCs w:val="20"/>
        </w:rPr>
        <w:t xml:space="preserve">The Group considers that its primary geographic segments are ‘UK’, ‘Ireland’, ‘Australia’, ‘US’ and ‘Rest of World’.  </w:t>
      </w:r>
      <w:r w:rsidRPr="00FC3D06">
        <w:rPr>
          <w:rFonts w:asciiTheme="minorHAnsi" w:hAnsiTheme="minorHAnsi" w:cs="Times New Roman"/>
          <w:sz w:val="20"/>
          <w:szCs w:val="20"/>
        </w:rPr>
        <w:t>The UK geographic segment consists of the UK Retail bookmaking business, online and telephone sports betting from customers in the UK, and online gaming from customers in the UK</w:t>
      </w:r>
      <w:r w:rsidRPr="001C5950">
        <w:rPr>
          <w:rFonts w:asciiTheme="minorHAnsi" w:hAnsiTheme="minorHAnsi" w:cs="Times New Roman"/>
          <w:sz w:val="20"/>
          <w:szCs w:val="20"/>
        </w:rPr>
        <w:t xml:space="preserve">.  </w:t>
      </w:r>
      <w:r w:rsidRPr="00FC3D06">
        <w:rPr>
          <w:rFonts w:asciiTheme="minorHAnsi" w:hAnsiTheme="minorHAnsi" w:cs="Times New Roman"/>
          <w:sz w:val="20"/>
          <w:szCs w:val="20"/>
        </w:rPr>
        <w:t>The Ireland geographic segment consists of the Irish Retail bookmaking business, online and telephone sports betting from customers in Ireland, and online gaming from customers in Ireland</w:t>
      </w:r>
      <w:r w:rsidRPr="001C5950">
        <w:rPr>
          <w:rFonts w:asciiTheme="minorHAnsi" w:hAnsiTheme="minorHAnsi" w:cs="Times New Roman"/>
          <w:sz w:val="20"/>
          <w:szCs w:val="20"/>
        </w:rPr>
        <w:t>.  The Australia geographic segment consists of online and telephone sports betting from Australian customers. The US geographic segment is comprised of online and retail sports betting and online gaming from US customers. The Rest of World geographic segment is comprised of online sports betting, online gaming and B2B services provided to customers in geographies other than the UK, Ireland, Australia and the US.  Revenues from customers outside the UK, Ireland, Australia and the US are not considered sufficiently significant to warrant separate reporting.</w:t>
      </w:r>
    </w:p>
    <w:p w14:paraId="022839C1" w14:textId="77777777" w:rsidR="00794AFD" w:rsidRPr="001C5950" w:rsidRDefault="00794AFD" w:rsidP="00794AFD">
      <w:pPr>
        <w:pStyle w:val="BodyText"/>
        <w:jc w:val="left"/>
        <w:rPr>
          <w:rFonts w:asciiTheme="minorHAnsi" w:hAnsiTheme="minorHAnsi" w:cs="Times New Roman"/>
          <w:sz w:val="20"/>
          <w:szCs w:val="20"/>
        </w:rPr>
      </w:pPr>
    </w:p>
    <w:p w14:paraId="5C3C4155" w14:textId="77777777" w:rsidR="00794AFD" w:rsidRPr="001C5950" w:rsidRDefault="00794AFD" w:rsidP="00794AFD">
      <w:pPr>
        <w:pStyle w:val="BodyText"/>
        <w:jc w:val="left"/>
        <w:rPr>
          <w:rFonts w:asciiTheme="minorHAnsi" w:hAnsiTheme="minorHAnsi" w:cs="Times New Roman"/>
          <w:sz w:val="20"/>
          <w:szCs w:val="20"/>
        </w:rPr>
      </w:pPr>
    </w:p>
    <w:p w14:paraId="0EA337C5" w14:textId="77777777" w:rsidR="00794AFD" w:rsidRPr="001C5950" w:rsidRDefault="00794AFD" w:rsidP="00794AFD">
      <w:pPr>
        <w:pStyle w:val="BodyText"/>
        <w:jc w:val="left"/>
        <w:rPr>
          <w:rFonts w:asciiTheme="minorHAnsi" w:hAnsiTheme="minorHAnsi" w:cs="Times New Roman"/>
          <w:sz w:val="20"/>
          <w:szCs w:val="20"/>
        </w:rPr>
      </w:pPr>
    </w:p>
    <w:p w14:paraId="269F3B89" w14:textId="77777777" w:rsidR="00794AFD" w:rsidRDefault="00794AFD" w:rsidP="00794AFD">
      <w:pPr>
        <w:widowControl/>
        <w:autoSpaceDE/>
        <w:autoSpaceDN/>
        <w:adjustRightInd/>
        <w:rPr>
          <w:rFonts w:asciiTheme="minorHAnsi" w:hAnsiTheme="minorHAnsi" w:cs="Times New Roman"/>
          <w:sz w:val="20"/>
          <w:szCs w:val="20"/>
        </w:rPr>
      </w:pPr>
      <w:r w:rsidRPr="001C5950">
        <w:rPr>
          <w:rFonts w:asciiTheme="minorHAnsi" w:hAnsiTheme="minorHAnsi" w:cs="Times New Roman"/>
          <w:b/>
          <w:sz w:val="20"/>
          <w:szCs w:val="20"/>
        </w:rPr>
        <w:lastRenderedPageBreak/>
        <w:t>3.  Operating segments (continued)</w:t>
      </w:r>
      <w:r w:rsidRPr="009852A5">
        <w:rPr>
          <w:rFonts w:asciiTheme="minorHAnsi" w:hAnsiTheme="minorHAnsi" w:cs="Times New Roman"/>
          <w:sz w:val="20"/>
          <w:szCs w:val="20"/>
        </w:rPr>
        <w:t xml:space="preserve"> </w:t>
      </w:r>
    </w:p>
    <w:p w14:paraId="45BBCEBC" w14:textId="77777777" w:rsidR="00794AFD" w:rsidRDefault="00794AFD" w:rsidP="00794AFD">
      <w:pPr>
        <w:pStyle w:val="BodyText"/>
        <w:jc w:val="left"/>
        <w:rPr>
          <w:rFonts w:asciiTheme="minorHAnsi" w:hAnsiTheme="minorHAnsi" w:cs="Times New Roman"/>
          <w:sz w:val="20"/>
          <w:szCs w:val="20"/>
        </w:rPr>
      </w:pPr>
    </w:p>
    <w:p w14:paraId="50F6E593" w14:textId="77777777" w:rsidR="00794AFD" w:rsidRPr="001C5950" w:rsidRDefault="00794AFD" w:rsidP="00794AFD">
      <w:pPr>
        <w:pStyle w:val="BodyText"/>
        <w:jc w:val="left"/>
        <w:rPr>
          <w:rFonts w:asciiTheme="minorHAnsi" w:hAnsiTheme="minorHAnsi" w:cs="Times New Roman"/>
          <w:sz w:val="20"/>
          <w:szCs w:val="20"/>
        </w:rPr>
      </w:pPr>
      <w:r w:rsidRPr="001C5950">
        <w:rPr>
          <w:rFonts w:asciiTheme="minorHAnsi" w:hAnsiTheme="minorHAnsi" w:cs="Times New Roman"/>
          <w:sz w:val="20"/>
          <w:szCs w:val="20"/>
        </w:rPr>
        <w:t xml:space="preserve">Group revenues disaggregated by geographical segment for the year ended 31 December </w:t>
      </w:r>
      <w:r>
        <w:rPr>
          <w:rFonts w:asciiTheme="minorHAnsi" w:hAnsiTheme="minorHAnsi" w:cs="Times New Roman"/>
          <w:sz w:val="20"/>
          <w:szCs w:val="20"/>
        </w:rPr>
        <w:t>2019</w:t>
      </w:r>
      <w:r w:rsidRPr="001C5950">
        <w:rPr>
          <w:rFonts w:asciiTheme="minorHAnsi" w:hAnsiTheme="minorHAnsi" w:cs="Times New Roman"/>
          <w:sz w:val="20"/>
          <w:szCs w:val="20"/>
        </w:rPr>
        <w:t>:</w:t>
      </w:r>
    </w:p>
    <w:p w14:paraId="2AD22C18" w14:textId="77777777" w:rsidR="00794AFD" w:rsidRPr="001C5950" w:rsidRDefault="00794AFD" w:rsidP="00794AFD">
      <w:pPr>
        <w:pStyle w:val="BodyText"/>
        <w:rPr>
          <w:rFonts w:asciiTheme="minorHAnsi" w:hAnsiTheme="minorHAnsi" w:cs="Times New Roman"/>
          <w:b/>
          <w:sz w:val="20"/>
          <w:szCs w:val="20"/>
        </w:rPr>
      </w:pPr>
    </w:p>
    <w:tbl>
      <w:tblPr>
        <w:tblW w:w="10098" w:type="dxa"/>
        <w:tblInd w:w="108" w:type="dxa"/>
        <w:tblLayout w:type="fixed"/>
        <w:tblLook w:val="01E0" w:firstRow="1" w:lastRow="1" w:firstColumn="1" w:lastColumn="1" w:noHBand="0" w:noVBand="0"/>
      </w:tblPr>
      <w:tblGrid>
        <w:gridCol w:w="4287"/>
        <w:gridCol w:w="1272"/>
        <w:gridCol w:w="1086"/>
        <w:gridCol w:w="1085"/>
        <w:gridCol w:w="1036"/>
        <w:gridCol w:w="1332"/>
      </w:tblGrid>
      <w:tr w:rsidR="00794AFD" w:rsidRPr="001C5950" w14:paraId="6939293D" w14:textId="77777777" w:rsidTr="00794AFD">
        <w:trPr>
          <w:trHeight w:val="147"/>
        </w:trPr>
        <w:tc>
          <w:tcPr>
            <w:tcW w:w="4287" w:type="dxa"/>
            <w:tcBorders>
              <w:top w:val="single" w:sz="4" w:space="0" w:color="auto"/>
            </w:tcBorders>
            <w:shd w:val="clear" w:color="auto" w:fill="auto"/>
          </w:tcPr>
          <w:p w14:paraId="5BF25994" w14:textId="77777777" w:rsidR="00794AFD" w:rsidRPr="001C5950" w:rsidRDefault="00794AFD" w:rsidP="00794AFD">
            <w:pPr>
              <w:ind w:left="-108"/>
              <w:jc w:val="both"/>
              <w:rPr>
                <w:rFonts w:asciiTheme="minorHAnsi" w:hAnsiTheme="minorHAnsi"/>
                <w:b/>
                <w:sz w:val="20"/>
              </w:rPr>
            </w:pPr>
          </w:p>
        </w:tc>
        <w:tc>
          <w:tcPr>
            <w:tcW w:w="1272" w:type="dxa"/>
            <w:tcBorders>
              <w:top w:val="single" w:sz="4" w:space="0" w:color="auto"/>
            </w:tcBorders>
            <w:shd w:val="clear" w:color="auto" w:fill="auto"/>
          </w:tcPr>
          <w:p w14:paraId="7B6359D4" w14:textId="77777777" w:rsidR="00794AFD" w:rsidRPr="00070ED0" w:rsidRDefault="00794AFD" w:rsidP="00794AFD">
            <w:pPr>
              <w:jc w:val="right"/>
              <w:rPr>
                <w:rFonts w:asciiTheme="minorHAnsi" w:hAnsiTheme="minorHAnsi"/>
                <w:b/>
                <w:sz w:val="20"/>
              </w:rPr>
            </w:pPr>
            <w:r>
              <w:rPr>
                <w:rFonts w:asciiTheme="minorHAnsi" w:hAnsiTheme="minorHAnsi"/>
                <w:b/>
                <w:sz w:val="20"/>
              </w:rPr>
              <w:t>PPB Online</w:t>
            </w:r>
          </w:p>
        </w:tc>
        <w:tc>
          <w:tcPr>
            <w:tcW w:w="1086" w:type="dxa"/>
            <w:tcBorders>
              <w:top w:val="single" w:sz="4" w:space="0" w:color="auto"/>
            </w:tcBorders>
          </w:tcPr>
          <w:p w14:paraId="2D7A1CC4"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Australia</w:t>
            </w:r>
          </w:p>
        </w:tc>
        <w:tc>
          <w:tcPr>
            <w:tcW w:w="1085" w:type="dxa"/>
            <w:tcBorders>
              <w:top w:val="single" w:sz="4" w:space="0" w:color="auto"/>
            </w:tcBorders>
            <w:shd w:val="clear" w:color="auto" w:fill="auto"/>
          </w:tcPr>
          <w:p w14:paraId="40AE63B2" w14:textId="77777777" w:rsidR="00794AFD" w:rsidRPr="00070ED0" w:rsidRDefault="00794AFD" w:rsidP="00794AFD">
            <w:pPr>
              <w:jc w:val="right"/>
              <w:rPr>
                <w:rFonts w:asciiTheme="minorHAnsi" w:hAnsiTheme="minorHAnsi"/>
                <w:b/>
                <w:sz w:val="20"/>
              </w:rPr>
            </w:pPr>
            <w:r>
              <w:rPr>
                <w:rFonts w:asciiTheme="minorHAnsi" w:hAnsiTheme="minorHAnsi"/>
                <w:b/>
                <w:sz w:val="20"/>
              </w:rPr>
              <w:t>PPB Retail</w:t>
            </w:r>
          </w:p>
        </w:tc>
        <w:tc>
          <w:tcPr>
            <w:tcW w:w="1036" w:type="dxa"/>
            <w:tcBorders>
              <w:top w:val="single" w:sz="4" w:space="0" w:color="auto"/>
            </w:tcBorders>
          </w:tcPr>
          <w:p w14:paraId="7D336AFE"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US</w:t>
            </w:r>
          </w:p>
        </w:tc>
        <w:tc>
          <w:tcPr>
            <w:tcW w:w="1332" w:type="dxa"/>
            <w:tcBorders>
              <w:top w:val="single" w:sz="4" w:space="0" w:color="auto"/>
            </w:tcBorders>
            <w:shd w:val="clear" w:color="auto" w:fill="auto"/>
          </w:tcPr>
          <w:p w14:paraId="389C8F7B"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Total</w:t>
            </w:r>
          </w:p>
        </w:tc>
      </w:tr>
      <w:tr w:rsidR="00794AFD" w:rsidRPr="001C5950" w14:paraId="530FA3A0" w14:textId="77777777" w:rsidTr="00794AFD">
        <w:trPr>
          <w:trHeight w:val="70"/>
        </w:trPr>
        <w:tc>
          <w:tcPr>
            <w:tcW w:w="4287" w:type="dxa"/>
            <w:tcBorders>
              <w:bottom w:val="single" w:sz="4" w:space="0" w:color="auto"/>
            </w:tcBorders>
            <w:shd w:val="clear" w:color="auto" w:fill="auto"/>
          </w:tcPr>
          <w:p w14:paraId="50EFF4E8" w14:textId="77777777" w:rsidR="00794AFD" w:rsidRPr="001C5950" w:rsidRDefault="00794AFD" w:rsidP="00794AFD">
            <w:pPr>
              <w:ind w:left="-108"/>
              <w:jc w:val="both"/>
              <w:rPr>
                <w:rFonts w:asciiTheme="minorHAnsi" w:hAnsiTheme="minorHAnsi"/>
                <w:b/>
                <w:sz w:val="20"/>
              </w:rPr>
            </w:pPr>
          </w:p>
        </w:tc>
        <w:tc>
          <w:tcPr>
            <w:tcW w:w="1272" w:type="dxa"/>
            <w:tcBorders>
              <w:bottom w:val="single" w:sz="4" w:space="0" w:color="auto"/>
            </w:tcBorders>
            <w:shd w:val="clear" w:color="auto" w:fill="auto"/>
          </w:tcPr>
          <w:p w14:paraId="209349C4"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£m</w:t>
            </w:r>
          </w:p>
        </w:tc>
        <w:tc>
          <w:tcPr>
            <w:tcW w:w="1086" w:type="dxa"/>
            <w:tcBorders>
              <w:bottom w:val="single" w:sz="4" w:space="0" w:color="auto"/>
            </w:tcBorders>
          </w:tcPr>
          <w:p w14:paraId="4D81A3BE"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£m</w:t>
            </w:r>
          </w:p>
        </w:tc>
        <w:tc>
          <w:tcPr>
            <w:tcW w:w="1085" w:type="dxa"/>
            <w:tcBorders>
              <w:bottom w:val="single" w:sz="4" w:space="0" w:color="auto"/>
            </w:tcBorders>
            <w:shd w:val="clear" w:color="auto" w:fill="auto"/>
          </w:tcPr>
          <w:p w14:paraId="01738B11"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£m</w:t>
            </w:r>
          </w:p>
        </w:tc>
        <w:tc>
          <w:tcPr>
            <w:tcW w:w="1036" w:type="dxa"/>
            <w:tcBorders>
              <w:bottom w:val="single" w:sz="4" w:space="0" w:color="auto"/>
            </w:tcBorders>
          </w:tcPr>
          <w:p w14:paraId="48AAB2E3"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£m</w:t>
            </w:r>
          </w:p>
        </w:tc>
        <w:tc>
          <w:tcPr>
            <w:tcW w:w="1332" w:type="dxa"/>
            <w:tcBorders>
              <w:bottom w:val="single" w:sz="4" w:space="0" w:color="auto"/>
            </w:tcBorders>
            <w:shd w:val="clear" w:color="auto" w:fill="auto"/>
          </w:tcPr>
          <w:p w14:paraId="579D92A5"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£m</w:t>
            </w:r>
          </w:p>
        </w:tc>
      </w:tr>
      <w:tr w:rsidR="00794AFD" w:rsidRPr="001C5950" w14:paraId="46AF86D0" w14:textId="77777777" w:rsidTr="00794AFD">
        <w:trPr>
          <w:trHeight w:val="102"/>
        </w:trPr>
        <w:tc>
          <w:tcPr>
            <w:tcW w:w="4287" w:type="dxa"/>
            <w:tcBorders>
              <w:top w:val="single" w:sz="4" w:space="0" w:color="auto"/>
            </w:tcBorders>
          </w:tcPr>
          <w:p w14:paraId="1A05093E" w14:textId="77777777" w:rsidR="00794AFD" w:rsidRPr="001C5950" w:rsidRDefault="00794AFD" w:rsidP="00794AFD">
            <w:pPr>
              <w:ind w:left="-108"/>
              <w:rPr>
                <w:rFonts w:asciiTheme="minorHAnsi" w:hAnsiTheme="minorHAnsi"/>
                <w:b/>
                <w:sz w:val="20"/>
              </w:rPr>
            </w:pPr>
            <w:r w:rsidRPr="001C5950">
              <w:rPr>
                <w:rFonts w:asciiTheme="minorHAnsi" w:hAnsiTheme="minorHAnsi"/>
                <w:sz w:val="20"/>
              </w:rPr>
              <w:t>UK</w:t>
            </w:r>
          </w:p>
        </w:tc>
        <w:tc>
          <w:tcPr>
            <w:tcW w:w="1272" w:type="dxa"/>
            <w:tcBorders>
              <w:top w:val="single" w:sz="4" w:space="0" w:color="auto"/>
            </w:tcBorders>
            <w:shd w:val="clear" w:color="auto" w:fill="auto"/>
            <w:vAlign w:val="bottom"/>
          </w:tcPr>
          <w:p w14:paraId="4E405A60"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671.1</w:t>
            </w:r>
          </w:p>
        </w:tc>
        <w:tc>
          <w:tcPr>
            <w:tcW w:w="1086" w:type="dxa"/>
            <w:tcBorders>
              <w:top w:val="single" w:sz="4" w:space="0" w:color="auto"/>
            </w:tcBorders>
            <w:shd w:val="clear" w:color="auto" w:fill="auto"/>
            <w:vAlign w:val="bottom"/>
          </w:tcPr>
          <w:p w14:paraId="15D80053"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w:t>
            </w:r>
          </w:p>
        </w:tc>
        <w:tc>
          <w:tcPr>
            <w:tcW w:w="1085" w:type="dxa"/>
            <w:tcBorders>
              <w:top w:val="single" w:sz="4" w:space="0" w:color="auto"/>
            </w:tcBorders>
            <w:shd w:val="clear" w:color="auto" w:fill="auto"/>
            <w:vAlign w:val="bottom"/>
          </w:tcPr>
          <w:p w14:paraId="1A9135C3"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173.6</w:t>
            </w:r>
          </w:p>
        </w:tc>
        <w:tc>
          <w:tcPr>
            <w:tcW w:w="1036" w:type="dxa"/>
            <w:tcBorders>
              <w:top w:val="single" w:sz="4" w:space="0" w:color="auto"/>
            </w:tcBorders>
            <w:shd w:val="clear" w:color="auto" w:fill="auto"/>
            <w:vAlign w:val="bottom"/>
          </w:tcPr>
          <w:p w14:paraId="4FC849DD"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w:t>
            </w:r>
          </w:p>
        </w:tc>
        <w:tc>
          <w:tcPr>
            <w:tcW w:w="1332" w:type="dxa"/>
            <w:tcBorders>
              <w:top w:val="single" w:sz="4" w:space="0" w:color="auto"/>
            </w:tcBorders>
            <w:shd w:val="clear" w:color="auto" w:fill="auto"/>
            <w:vAlign w:val="bottom"/>
          </w:tcPr>
          <w:p w14:paraId="51C67CD3"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844.7</w:t>
            </w:r>
          </w:p>
        </w:tc>
      </w:tr>
      <w:tr w:rsidR="00794AFD" w:rsidRPr="001C5950" w14:paraId="541EDE5C" w14:textId="77777777" w:rsidTr="00794AFD">
        <w:tc>
          <w:tcPr>
            <w:tcW w:w="4287" w:type="dxa"/>
          </w:tcPr>
          <w:p w14:paraId="56D3C36F"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Ireland</w:t>
            </w:r>
          </w:p>
        </w:tc>
        <w:tc>
          <w:tcPr>
            <w:tcW w:w="1272" w:type="dxa"/>
            <w:shd w:val="clear" w:color="auto" w:fill="auto"/>
            <w:vAlign w:val="bottom"/>
          </w:tcPr>
          <w:p w14:paraId="14FD6C6B"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98.5</w:t>
            </w:r>
          </w:p>
        </w:tc>
        <w:tc>
          <w:tcPr>
            <w:tcW w:w="1086" w:type="dxa"/>
            <w:shd w:val="clear" w:color="auto" w:fill="auto"/>
            <w:vAlign w:val="bottom"/>
          </w:tcPr>
          <w:p w14:paraId="5934F858"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w:t>
            </w:r>
          </w:p>
        </w:tc>
        <w:tc>
          <w:tcPr>
            <w:tcW w:w="1085" w:type="dxa"/>
            <w:shd w:val="clear" w:color="auto" w:fill="auto"/>
            <w:vAlign w:val="bottom"/>
          </w:tcPr>
          <w:p w14:paraId="60284001"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138.1</w:t>
            </w:r>
          </w:p>
        </w:tc>
        <w:tc>
          <w:tcPr>
            <w:tcW w:w="1036" w:type="dxa"/>
            <w:shd w:val="clear" w:color="auto" w:fill="auto"/>
            <w:vAlign w:val="bottom"/>
          </w:tcPr>
          <w:p w14:paraId="032C3FC2"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w:t>
            </w:r>
          </w:p>
        </w:tc>
        <w:tc>
          <w:tcPr>
            <w:tcW w:w="1332" w:type="dxa"/>
            <w:shd w:val="clear" w:color="auto" w:fill="auto"/>
            <w:vAlign w:val="bottom"/>
          </w:tcPr>
          <w:p w14:paraId="53969D56"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236.6</w:t>
            </w:r>
          </w:p>
        </w:tc>
      </w:tr>
      <w:tr w:rsidR="00794AFD" w:rsidRPr="001C5950" w14:paraId="40D032A2" w14:textId="77777777" w:rsidTr="00794AFD">
        <w:tc>
          <w:tcPr>
            <w:tcW w:w="4287" w:type="dxa"/>
          </w:tcPr>
          <w:p w14:paraId="3F455267"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Australia</w:t>
            </w:r>
          </w:p>
        </w:tc>
        <w:tc>
          <w:tcPr>
            <w:tcW w:w="1272" w:type="dxa"/>
            <w:shd w:val="clear" w:color="auto" w:fill="auto"/>
            <w:vAlign w:val="bottom"/>
          </w:tcPr>
          <w:p w14:paraId="6177113B"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w:t>
            </w:r>
          </w:p>
        </w:tc>
        <w:tc>
          <w:tcPr>
            <w:tcW w:w="1086" w:type="dxa"/>
            <w:shd w:val="clear" w:color="auto" w:fill="auto"/>
            <w:vAlign w:val="bottom"/>
          </w:tcPr>
          <w:p w14:paraId="2FDD0024" w14:textId="77777777" w:rsidR="00794AFD" w:rsidRPr="00070ED0" w:rsidRDefault="00794AFD" w:rsidP="00794AFD">
            <w:pPr>
              <w:jc w:val="right"/>
              <w:rPr>
                <w:rFonts w:asciiTheme="minorHAnsi" w:hAnsiTheme="minorHAnsi"/>
                <w:b/>
                <w:sz w:val="20"/>
              </w:rPr>
            </w:pPr>
            <w:r w:rsidRPr="002420B3">
              <w:rPr>
                <w:rFonts w:asciiTheme="minorHAnsi" w:hAnsiTheme="minorHAnsi"/>
                <w:b/>
                <w:sz w:val="20"/>
              </w:rPr>
              <w:t>445.8</w:t>
            </w:r>
          </w:p>
        </w:tc>
        <w:tc>
          <w:tcPr>
            <w:tcW w:w="1085" w:type="dxa"/>
            <w:shd w:val="clear" w:color="auto" w:fill="auto"/>
            <w:vAlign w:val="bottom"/>
          </w:tcPr>
          <w:p w14:paraId="4C5B3AA5"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w:t>
            </w:r>
          </w:p>
        </w:tc>
        <w:tc>
          <w:tcPr>
            <w:tcW w:w="1036" w:type="dxa"/>
            <w:shd w:val="clear" w:color="auto" w:fill="auto"/>
            <w:vAlign w:val="bottom"/>
          </w:tcPr>
          <w:p w14:paraId="62E5B66A"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w:t>
            </w:r>
          </w:p>
        </w:tc>
        <w:tc>
          <w:tcPr>
            <w:tcW w:w="1332" w:type="dxa"/>
            <w:shd w:val="clear" w:color="auto" w:fill="auto"/>
            <w:vAlign w:val="bottom"/>
          </w:tcPr>
          <w:p w14:paraId="2193DE9F"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445.8</w:t>
            </w:r>
          </w:p>
        </w:tc>
      </w:tr>
      <w:tr w:rsidR="00794AFD" w:rsidRPr="001C5950" w14:paraId="68E258DF" w14:textId="77777777" w:rsidTr="00794AFD">
        <w:tc>
          <w:tcPr>
            <w:tcW w:w="4287" w:type="dxa"/>
          </w:tcPr>
          <w:p w14:paraId="0E334586"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US</w:t>
            </w:r>
          </w:p>
        </w:tc>
        <w:tc>
          <w:tcPr>
            <w:tcW w:w="1272" w:type="dxa"/>
            <w:shd w:val="clear" w:color="auto" w:fill="auto"/>
            <w:vAlign w:val="bottom"/>
          </w:tcPr>
          <w:p w14:paraId="5FFEE2E5"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w:t>
            </w:r>
          </w:p>
        </w:tc>
        <w:tc>
          <w:tcPr>
            <w:tcW w:w="1086" w:type="dxa"/>
            <w:shd w:val="clear" w:color="auto" w:fill="auto"/>
            <w:vAlign w:val="bottom"/>
          </w:tcPr>
          <w:p w14:paraId="50535464"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w:t>
            </w:r>
          </w:p>
        </w:tc>
        <w:tc>
          <w:tcPr>
            <w:tcW w:w="1085" w:type="dxa"/>
            <w:shd w:val="clear" w:color="auto" w:fill="auto"/>
            <w:vAlign w:val="bottom"/>
          </w:tcPr>
          <w:p w14:paraId="27D95B11"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w:t>
            </w:r>
          </w:p>
        </w:tc>
        <w:tc>
          <w:tcPr>
            <w:tcW w:w="1036" w:type="dxa"/>
            <w:shd w:val="clear" w:color="auto" w:fill="auto"/>
            <w:vAlign w:val="bottom"/>
          </w:tcPr>
          <w:p w14:paraId="588773BD" w14:textId="77777777" w:rsidR="00794AFD" w:rsidRPr="00070ED0" w:rsidRDefault="00794AFD" w:rsidP="00794AFD">
            <w:pPr>
              <w:jc w:val="right"/>
              <w:rPr>
                <w:rFonts w:asciiTheme="minorHAnsi" w:hAnsiTheme="minorHAnsi"/>
                <w:b/>
                <w:sz w:val="20"/>
              </w:rPr>
            </w:pPr>
            <w:r w:rsidRPr="002420B3">
              <w:rPr>
                <w:rFonts w:asciiTheme="minorHAnsi" w:hAnsiTheme="minorHAnsi"/>
                <w:b/>
                <w:sz w:val="20"/>
              </w:rPr>
              <w:t>376.3</w:t>
            </w:r>
          </w:p>
        </w:tc>
        <w:tc>
          <w:tcPr>
            <w:tcW w:w="1332" w:type="dxa"/>
            <w:shd w:val="clear" w:color="auto" w:fill="auto"/>
            <w:vAlign w:val="bottom"/>
          </w:tcPr>
          <w:p w14:paraId="5F700E52"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376.3</w:t>
            </w:r>
          </w:p>
        </w:tc>
      </w:tr>
      <w:tr w:rsidR="00794AFD" w:rsidRPr="001C5950" w14:paraId="259C93C0" w14:textId="77777777" w:rsidTr="00794AFD">
        <w:tc>
          <w:tcPr>
            <w:tcW w:w="4287" w:type="dxa"/>
            <w:tcBorders>
              <w:bottom w:val="single" w:sz="4" w:space="0" w:color="auto"/>
            </w:tcBorders>
          </w:tcPr>
          <w:p w14:paraId="4E78513B"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Rest of World</w:t>
            </w:r>
          </w:p>
        </w:tc>
        <w:tc>
          <w:tcPr>
            <w:tcW w:w="1272" w:type="dxa"/>
            <w:tcBorders>
              <w:bottom w:val="single" w:sz="4" w:space="0" w:color="auto"/>
            </w:tcBorders>
            <w:shd w:val="clear" w:color="auto" w:fill="auto"/>
            <w:vAlign w:val="bottom"/>
          </w:tcPr>
          <w:p w14:paraId="78D125B0"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236.6</w:t>
            </w:r>
          </w:p>
        </w:tc>
        <w:tc>
          <w:tcPr>
            <w:tcW w:w="1086" w:type="dxa"/>
            <w:tcBorders>
              <w:bottom w:val="single" w:sz="4" w:space="0" w:color="auto"/>
            </w:tcBorders>
            <w:shd w:val="clear" w:color="auto" w:fill="auto"/>
            <w:vAlign w:val="bottom"/>
          </w:tcPr>
          <w:p w14:paraId="0A9FC84D"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w:t>
            </w:r>
          </w:p>
        </w:tc>
        <w:tc>
          <w:tcPr>
            <w:tcW w:w="1085" w:type="dxa"/>
            <w:tcBorders>
              <w:bottom w:val="single" w:sz="4" w:space="0" w:color="auto"/>
            </w:tcBorders>
            <w:shd w:val="clear" w:color="auto" w:fill="auto"/>
            <w:vAlign w:val="bottom"/>
          </w:tcPr>
          <w:p w14:paraId="2ED3F316"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w:t>
            </w:r>
          </w:p>
        </w:tc>
        <w:tc>
          <w:tcPr>
            <w:tcW w:w="1036" w:type="dxa"/>
            <w:tcBorders>
              <w:bottom w:val="single" w:sz="4" w:space="0" w:color="auto"/>
            </w:tcBorders>
            <w:shd w:val="clear" w:color="auto" w:fill="auto"/>
            <w:vAlign w:val="bottom"/>
          </w:tcPr>
          <w:p w14:paraId="142166EA" w14:textId="77777777" w:rsidR="00794AFD" w:rsidRPr="00070ED0" w:rsidDel="00924819" w:rsidRDefault="00794AFD" w:rsidP="00794AFD">
            <w:pPr>
              <w:jc w:val="right"/>
              <w:rPr>
                <w:rFonts w:asciiTheme="minorHAnsi" w:hAnsiTheme="minorHAnsi"/>
                <w:b/>
                <w:sz w:val="20"/>
              </w:rPr>
            </w:pPr>
            <w:r w:rsidRPr="00070ED0">
              <w:rPr>
                <w:rFonts w:asciiTheme="minorHAnsi" w:hAnsiTheme="minorHAnsi"/>
                <w:b/>
                <w:sz w:val="20"/>
              </w:rPr>
              <w:t>-</w:t>
            </w:r>
          </w:p>
        </w:tc>
        <w:tc>
          <w:tcPr>
            <w:tcW w:w="1332" w:type="dxa"/>
            <w:tcBorders>
              <w:bottom w:val="single" w:sz="4" w:space="0" w:color="auto"/>
            </w:tcBorders>
            <w:shd w:val="clear" w:color="auto" w:fill="auto"/>
            <w:vAlign w:val="bottom"/>
          </w:tcPr>
          <w:p w14:paraId="6075E344" w14:textId="77777777" w:rsidR="00794AFD" w:rsidRPr="00070ED0" w:rsidRDefault="00794AFD" w:rsidP="00794AFD">
            <w:pPr>
              <w:jc w:val="right"/>
              <w:rPr>
                <w:rFonts w:asciiTheme="minorHAnsi" w:hAnsiTheme="minorHAnsi"/>
                <w:b/>
                <w:sz w:val="20"/>
              </w:rPr>
            </w:pPr>
            <w:r w:rsidRPr="00070ED0">
              <w:rPr>
                <w:rFonts w:asciiTheme="minorHAnsi" w:hAnsiTheme="minorHAnsi"/>
                <w:b/>
                <w:sz w:val="20"/>
              </w:rPr>
              <w:t>236.6</w:t>
            </w:r>
          </w:p>
        </w:tc>
      </w:tr>
      <w:tr w:rsidR="00794AFD" w:rsidRPr="001C5950" w14:paraId="78A6055E" w14:textId="77777777" w:rsidTr="00794AFD">
        <w:tc>
          <w:tcPr>
            <w:tcW w:w="4287" w:type="dxa"/>
            <w:tcBorders>
              <w:top w:val="single" w:sz="4" w:space="0" w:color="auto"/>
              <w:bottom w:val="single" w:sz="4" w:space="0" w:color="auto"/>
            </w:tcBorders>
          </w:tcPr>
          <w:p w14:paraId="02DD03BF"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Total Group revenue</w:t>
            </w:r>
          </w:p>
        </w:tc>
        <w:tc>
          <w:tcPr>
            <w:tcW w:w="1272" w:type="dxa"/>
            <w:tcBorders>
              <w:top w:val="single" w:sz="4" w:space="0" w:color="auto"/>
              <w:bottom w:val="single" w:sz="4" w:space="0" w:color="auto"/>
            </w:tcBorders>
            <w:shd w:val="clear" w:color="auto" w:fill="auto"/>
            <w:vAlign w:val="bottom"/>
          </w:tcPr>
          <w:p w14:paraId="73E56570" w14:textId="77777777" w:rsidR="00794AFD" w:rsidRPr="009852A5" w:rsidRDefault="00794AFD" w:rsidP="00794AFD">
            <w:pPr>
              <w:jc w:val="right"/>
              <w:rPr>
                <w:rFonts w:asciiTheme="minorHAnsi" w:hAnsiTheme="minorHAnsi"/>
                <w:b/>
                <w:sz w:val="20"/>
                <w:highlight w:val="yellow"/>
              </w:rPr>
            </w:pPr>
            <w:r w:rsidRPr="003C51F6">
              <w:rPr>
                <w:rFonts w:asciiTheme="minorHAnsi" w:hAnsiTheme="minorHAnsi"/>
                <w:b/>
                <w:sz w:val="20"/>
              </w:rPr>
              <w:t>1,006.2</w:t>
            </w:r>
          </w:p>
        </w:tc>
        <w:tc>
          <w:tcPr>
            <w:tcW w:w="1086" w:type="dxa"/>
            <w:tcBorders>
              <w:top w:val="single" w:sz="4" w:space="0" w:color="auto"/>
              <w:bottom w:val="single" w:sz="4" w:space="0" w:color="auto"/>
            </w:tcBorders>
            <w:shd w:val="clear" w:color="auto" w:fill="auto"/>
            <w:vAlign w:val="bottom"/>
          </w:tcPr>
          <w:p w14:paraId="42717C97" w14:textId="77777777" w:rsidR="00794AFD" w:rsidRPr="009852A5" w:rsidRDefault="00794AFD" w:rsidP="00794AFD">
            <w:pPr>
              <w:jc w:val="right"/>
              <w:rPr>
                <w:rFonts w:asciiTheme="minorHAnsi" w:hAnsiTheme="minorHAnsi"/>
                <w:b/>
                <w:sz w:val="20"/>
                <w:highlight w:val="yellow"/>
              </w:rPr>
            </w:pPr>
            <w:r w:rsidRPr="003C51F6">
              <w:rPr>
                <w:rFonts w:asciiTheme="minorHAnsi" w:hAnsiTheme="minorHAnsi"/>
                <w:b/>
                <w:sz w:val="20"/>
              </w:rPr>
              <w:t>445.8</w:t>
            </w:r>
          </w:p>
        </w:tc>
        <w:tc>
          <w:tcPr>
            <w:tcW w:w="1085" w:type="dxa"/>
            <w:tcBorders>
              <w:top w:val="single" w:sz="4" w:space="0" w:color="auto"/>
              <w:bottom w:val="single" w:sz="4" w:space="0" w:color="auto"/>
            </w:tcBorders>
            <w:shd w:val="clear" w:color="auto" w:fill="auto"/>
            <w:vAlign w:val="bottom"/>
          </w:tcPr>
          <w:p w14:paraId="16C583DA" w14:textId="77777777" w:rsidR="00794AFD" w:rsidRPr="009852A5" w:rsidRDefault="00794AFD" w:rsidP="00794AFD">
            <w:pPr>
              <w:jc w:val="right"/>
              <w:rPr>
                <w:rFonts w:asciiTheme="minorHAnsi" w:hAnsiTheme="minorHAnsi"/>
                <w:b/>
                <w:sz w:val="20"/>
                <w:highlight w:val="yellow"/>
              </w:rPr>
            </w:pPr>
            <w:r w:rsidRPr="003C51F6">
              <w:rPr>
                <w:rFonts w:asciiTheme="minorHAnsi" w:hAnsiTheme="minorHAnsi"/>
                <w:b/>
                <w:sz w:val="20"/>
              </w:rPr>
              <w:t>311.7</w:t>
            </w:r>
          </w:p>
        </w:tc>
        <w:tc>
          <w:tcPr>
            <w:tcW w:w="1036" w:type="dxa"/>
            <w:tcBorders>
              <w:top w:val="single" w:sz="4" w:space="0" w:color="auto"/>
              <w:bottom w:val="single" w:sz="4" w:space="0" w:color="auto"/>
            </w:tcBorders>
            <w:shd w:val="clear" w:color="auto" w:fill="auto"/>
            <w:vAlign w:val="bottom"/>
          </w:tcPr>
          <w:p w14:paraId="325FF140" w14:textId="77777777" w:rsidR="00794AFD" w:rsidRPr="009852A5" w:rsidRDefault="00794AFD" w:rsidP="00794AFD">
            <w:pPr>
              <w:jc w:val="right"/>
              <w:rPr>
                <w:rFonts w:asciiTheme="minorHAnsi" w:hAnsiTheme="minorHAnsi"/>
                <w:b/>
                <w:sz w:val="20"/>
                <w:highlight w:val="yellow"/>
              </w:rPr>
            </w:pPr>
            <w:r w:rsidRPr="003C51F6">
              <w:rPr>
                <w:rFonts w:asciiTheme="minorHAnsi" w:hAnsiTheme="minorHAnsi"/>
                <w:b/>
                <w:sz w:val="20"/>
              </w:rPr>
              <w:t>376.3</w:t>
            </w:r>
          </w:p>
        </w:tc>
        <w:tc>
          <w:tcPr>
            <w:tcW w:w="1332" w:type="dxa"/>
            <w:tcBorders>
              <w:top w:val="single" w:sz="4" w:space="0" w:color="auto"/>
              <w:bottom w:val="single" w:sz="4" w:space="0" w:color="auto"/>
            </w:tcBorders>
            <w:shd w:val="clear" w:color="auto" w:fill="auto"/>
            <w:vAlign w:val="bottom"/>
          </w:tcPr>
          <w:p w14:paraId="25B700CA" w14:textId="77777777" w:rsidR="00794AFD" w:rsidRPr="009852A5" w:rsidRDefault="00794AFD" w:rsidP="00794AFD">
            <w:pPr>
              <w:jc w:val="right"/>
              <w:rPr>
                <w:rFonts w:asciiTheme="minorHAnsi" w:hAnsiTheme="minorHAnsi"/>
                <w:b/>
                <w:sz w:val="20"/>
                <w:highlight w:val="yellow"/>
              </w:rPr>
            </w:pPr>
            <w:r w:rsidRPr="003C51F6">
              <w:rPr>
                <w:rFonts w:asciiTheme="minorHAnsi" w:hAnsiTheme="minorHAnsi"/>
                <w:b/>
                <w:sz w:val="20"/>
              </w:rPr>
              <w:t>2,140.0</w:t>
            </w:r>
          </w:p>
        </w:tc>
      </w:tr>
    </w:tbl>
    <w:p w14:paraId="1428EC00" w14:textId="77777777" w:rsidR="00794AFD" w:rsidRDefault="00794AFD" w:rsidP="00794AFD">
      <w:pPr>
        <w:pStyle w:val="BodyText"/>
        <w:jc w:val="left"/>
        <w:rPr>
          <w:rFonts w:asciiTheme="minorHAnsi" w:hAnsiTheme="minorHAnsi" w:cs="Times New Roman"/>
          <w:sz w:val="20"/>
          <w:szCs w:val="20"/>
        </w:rPr>
      </w:pPr>
    </w:p>
    <w:p w14:paraId="00F2716E" w14:textId="77777777" w:rsidR="00794AFD" w:rsidRPr="001C5950" w:rsidRDefault="00794AFD" w:rsidP="00794AFD">
      <w:pPr>
        <w:pStyle w:val="BodyText"/>
        <w:jc w:val="left"/>
        <w:rPr>
          <w:rFonts w:asciiTheme="minorHAnsi" w:hAnsiTheme="minorHAnsi" w:cs="Times New Roman"/>
          <w:sz w:val="20"/>
          <w:szCs w:val="20"/>
        </w:rPr>
      </w:pPr>
      <w:r w:rsidRPr="001C5950">
        <w:rPr>
          <w:rFonts w:asciiTheme="minorHAnsi" w:hAnsiTheme="minorHAnsi" w:cs="Times New Roman"/>
          <w:sz w:val="20"/>
          <w:szCs w:val="20"/>
        </w:rPr>
        <w:t xml:space="preserve">Group revenues disaggregated by geographical segment for the year ended 31 December </w:t>
      </w:r>
      <w:r>
        <w:rPr>
          <w:rFonts w:asciiTheme="minorHAnsi" w:hAnsiTheme="minorHAnsi" w:cs="Times New Roman"/>
          <w:sz w:val="20"/>
          <w:szCs w:val="20"/>
        </w:rPr>
        <w:t>2018</w:t>
      </w:r>
      <w:r w:rsidRPr="001C5950">
        <w:rPr>
          <w:rFonts w:asciiTheme="minorHAnsi" w:hAnsiTheme="minorHAnsi" w:cs="Times New Roman"/>
          <w:sz w:val="20"/>
          <w:szCs w:val="20"/>
        </w:rPr>
        <w:t>:</w:t>
      </w:r>
    </w:p>
    <w:p w14:paraId="6FF629A1" w14:textId="77777777" w:rsidR="00794AFD" w:rsidRPr="00FC3D06" w:rsidRDefault="00794AFD" w:rsidP="00794AFD">
      <w:pPr>
        <w:pStyle w:val="BodyText"/>
        <w:rPr>
          <w:rFonts w:asciiTheme="minorHAnsi" w:hAnsiTheme="minorHAnsi" w:cs="Times New Roman"/>
          <w:b/>
          <w:sz w:val="20"/>
          <w:szCs w:val="20"/>
        </w:rPr>
      </w:pPr>
    </w:p>
    <w:tbl>
      <w:tblPr>
        <w:tblW w:w="10098" w:type="dxa"/>
        <w:tblInd w:w="108" w:type="dxa"/>
        <w:tblLayout w:type="fixed"/>
        <w:tblLook w:val="01E0" w:firstRow="1" w:lastRow="1" w:firstColumn="1" w:lastColumn="1" w:noHBand="0" w:noVBand="0"/>
      </w:tblPr>
      <w:tblGrid>
        <w:gridCol w:w="4145"/>
        <w:gridCol w:w="1414"/>
        <w:gridCol w:w="1086"/>
        <w:gridCol w:w="1085"/>
        <w:gridCol w:w="1036"/>
        <w:gridCol w:w="1332"/>
      </w:tblGrid>
      <w:tr w:rsidR="00794AFD" w:rsidRPr="001C5950" w14:paraId="6B55A964" w14:textId="77777777" w:rsidTr="00794AFD">
        <w:trPr>
          <w:trHeight w:val="147"/>
        </w:trPr>
        <w:tc>
          <w:tcPr>
            <w:tcW w:w="4145" w:type="dxa"/>
            <w:tcBorders>
              <w:top w:val="single" w:sz="4" w:space="0" w:color="auto"/>
            </w:tcBorders>
            <w:shd w:val="clear" w:color="auto" w:fill="auto"/>
          </w:tcPr>
          <w:p w14:paraId="51A7E6D2" w14:textId="77777777" w:rsidR="00794AFD" w:rsidRPr="001C5950" w:rsidRDefault="00794AFD" w:rsidP="00794AFD">
            <w:pPr>
              <w:ind w:left="-108"/>
              <w:jc w:val="both"/>
              <w:rPr>
                <w:rFonts w:asciiTheme="minorHAnsi" w:hAnsiTheme="minorHAnsi"/>
                <w:b/>
                <w:sz w:val="20"/>
              </w:rPr>
            </w:pPr>
          </w:p>
        </w:tc>
        <w:tc>
          <w:tcPr>
            <w:tcW w:w="1414" w:type="dxa"/>
            <w:tcBorders>
              <w:top w:val="single" w:sz="4" w:space="0" w:color="auto"/>
            </w:tcBorders>
            <w:shd w:val="clear" w:color="auto" w:fill="auto"/>
          </w:tcPr>
          <w:p w14:paraId="314EE9DF" w14:textId="77777777" w:rsidR="00794AFD" w:rsidRPr="001C5950" w:rsidRDefault="00794AFD" w:rsidP="00794AFD">
            <w:pPr>
              <w:jc w:val="right"/>
              <w:rPr>
                <w:rFonts w:asciiTheme="minorHAnsi" w:hAnsiTheme="minorHAnsi"/>
                <w:sz w:val="20"/>
              </w:rPr>
            </w:pPr>
            <w:r>
              <w:rPr>
                <w:rFonts w:asciiTheme="minorHAnsi" w:hAnsiTheme="minorHAnsi"/>
                <w:sz w:val="20"/>
              </w:rPr>
              <w:t>PPB Online</w:t>
            </w:r>
          </w:p>
        </w:tc>
        <w:tc>
          <w:tcPr>
            <w:tcW w:w="1086" w:type="dxa"/>
            <w:tcBorders>
              <w:top w:val="single" w:sz="4" w:space="0" w:color="auto"/>
            </w:tcBorders>
          </w:tcPr>
          <w:p w14:paraId="3B6ED2D9"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Australia</w:t>
            </w:r>
          </w:p>
        </w:tc>
        <w:tc>
          <w:tcPr>
            <w:tcW w:w="1085" w:type="dxa"/>
            <w:tcBorders>
              <w:top w:val="single" w:sz="4" w:space="0" w:color="auto"/>
            </w:tcBorders>
            <w:shd w:val="clear" w:color="auto" w:fill="auto"/>
          </w:tcPr>
          <w:p w14:paraId="259BA992" w14:textId="77777777" w:rsidR="00794AFD" w:rsidRPr="001C5950" w:rsidRDefault="00794AFD" w:rsidP="00794AFD">
            <w:pPr>
              <w:jc w:val="right"/>
              <w:rPr>
                <w:rFonts w:asciiTheme="minorHAnsi" w:hAnsiTheme="minorHAnsi"/>
                <w:sz w:val="20"/>
              </w:rPr>
            </w:pPr>
            <w:r>
              <w:rPr>
                <w:rFonts w:asciiTheme="minorHAnsi" w:hAnsiTheme="minorHAnsi"/>
                <w:sz w:val="20"/>
              </w:rPr>
              <w:t>PPB Retail</w:t>
            </w:r>
          </w:p>
        </w:tc>
        <w:tc>
          <w:tcPr>
            <w:tcW w:w="1036" w:type="dxa"/>
            <w:tcBorders>
              <w:top w:val="single" w:sz="4" w:space="0" w:color="auto"/>
            </w:tcBorders>
          </w:tcPr>
          <w:p w14:paraId="5FC51E9A"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US</w:t>
            </w:r>
          </w:p>
        </w:tc>
        <w:tc>
          <w:tcPr>
            <w:tcW w:w="1332" w:type="dxa"/>
            <w:tcBorders>
              <w:top w:val="single" w:sz="4" w:space="0" w:color="auto"/>
            </w:tcBorders>
            <w:shd w:val="clear" w:color="auto" w:fill="auto"/>
          </w:tcPr>
          <w:p w14:paraId="2833EE9C"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Total</w:t>
            </w:r>
          </w:p>
        </w:tc>
      </w:tr>
      <w:tr w:rsidR="00794AFD" w:rsidRPr="001C5950" w14:paraId="43852C5D" w14:textId="77777777" w:rsidTr="00794AFD">
        <w:trPr>
          <w:trHeight w:val="70"/>
        </w:trPr>
        <w:tc>
          <w:tcPr>
            <w:tcW w:w="4145" w:type="dxa"/>
            <w:tcBorders>
              <w:bottom w:val="single" w:sz="4" w:space="0" w:color="auto"/>
            </w:tcBorders>
            <w:shd w:val="clear" w:color="auto" w:fill="auto"/>
          </w:tcPr>
          <w:p w14:paraId="50504F8C" w14:textId="77777777" w:rsidR="00794AFD" w:rsidRPr="001C5950" w:rsidRDefault="00794AFD" w:rsidP="00794AFD">
            <w:pPr>
              <w:ind w:left="-108"/>
              <w:jc w:val="both"/>
              <w:rPr>
                <w:rFonts w:asciiTheme="minorHAnsi" w:hAnsiTheme="minorHAnsi"/>
                <w:b/>
                <w:sz w:val="20"/>
              </w:rPr>
            </w:pPr>
          </w:p>
        </w:tc>
        <w:tc>
          <w:tcPr>
            <w:tcW w:w="1414" w:type="dxa"/>
            <w:tcBorders>
              <w:bottom w:val="single" w:sz="4" w:space="0" w:color="auto"/>
            </w:tcBorders>
            <w:shd w:val="clear" w:color="auto" w:fill="auto"/>
          </w:tcPr>
          <w:p w14:paraId="34088F31"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£m</w:t>
            </w:r>
          </w:p>
        </w:tc>
        <w:tc>
          <w:tcPr>
            <w:tcW w:w="1086" w:type="dxa"/>
            <w:tcBorders>
              <w:bottom w:val="single" w:sz="4" w:space="0" w:color="auto"/>
            </w:tcBorders>
          </w:tcPr>
          <w:p w14:paraId="476A22C4"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£m</w:t>
            </w:r>
          </w:p>
        </w:tc>
        <w:tc>
          <w:tcPr>
            <w:tcW w:w="1085" w:type="dxa"/>
            <w:tcBorders>
              <w:bottom w:val="single" w:sz="4" w:space="0" w:color="auto"/>
            </w:tcBorders>
            <w:shd w:val="clear" w:color="auto" w:fill="auto"/>
          </w:tcPr>
          <w:p w14:paraId="4DC49C7C"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£m</w:t>
            </w:r>
          </w:p>
        </w:tc>
        <w:tc>
          <w:tcPr>
            <w:tcW w:w="1036" w:type="dxa"/>
            <w:tcBorders>
              <w:bottom w:val="single" w:sz="4" w:space="0" w:color="auto"/>
            </w:tcBorders>
          </w:tcPr>
          <w:p w14:paraId="0AB40E60"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£m</w:t>
            </w:r>
          </w:p>
        </w:tc>
        <w:tc>
          <w:tcPr>
            <w:tcW w:w="1332" w:type="dxa"/>
            <w:tcBorders>
              <w:bottom w:val="single" w:sz="4" w:space="0" w:color="auto"/>
            </w:tcBorders>
            <w:shd w:val="clear" w:color="auto" w:fill="auto"/>
          </w:tcPr>
          <w:p w14:paraId="38983DBC" w14:textId="77777777" w:rsidR="00794AFD" w:rsidRPr="001C5950" w:rsidRDefault="00794AFD" w:rsidP="00794AFD">
            <w:pPr>
              <w:jc w:val="right"/>
              <w:rPr>
                <w:rFonts w:asciiTheme="minorHAnsi" w:hAnsiTheme="minorHAnsi"/>
                <w:sz w:val="20"/>
              </w:rPr>
            </w:pPr>
            <w:r w:rsidRPr="001C5950">
              <w:rPr>
                <w:rFonts w:asciiTheme="minorHAnsi" w:hAnsiTheme="minorHAnsi"/>
                <w:sz w:val="20"/>
              </w:rPr>
              <w:t>£m</w:t>
            </w:r>
          </w:p>
        </w:tc>
      </w:tr>
      <w:tr w:rsidR="00794AFD" w:rsidRPr="001C5950" w14:paraId="50A4DA1F" w14:textId="77777777" w:rsidTr="00794AFD">
        <w:trPr>
          <w:trHeight w:val="102"/>
        </w:trPr>
        <w:tc>
          <w:tcPr>
            <w:tcW w:w="4145" w:type="dxa"/>
            <w:tcBorders>
              <w:top w:val="single" w:sz="4" w:space="0" w:color="auto"/>
            </w:tcBorders>
          </w:tcPr>
          <w:p w14:paraId="6703C82B" w14:textId="77777777" w:rsidR="00794AFD" w:rsidRPr="001C5950" w:rsidRDefault="00794AFD" w:rsidP="00794AFD">
            <w:pPr>
              <w:ind w:left="-108"/>
              <w:rPr>
                <w:rFonts w:asciiTheme="minorHAnsi" w:hAnsiTheme="minorHAnsi"/>
                <w:b/>
                <w:sz w:val="20"/>
              </w:rPr>
            </w:pPr>
            <w:r w:rsidRPr="001C5950">
              <w:rPr>
                <w:rFonts w:asciiTheme="minorHAnsi" w:hAnsiTheme="minorHAnsi"/>
                <w:sz w:val="20"/>
              </w:rPr>
              <w:t>UK</w:t>
            </w:r>
          </w:p>
        </w:tc>
        <w:tc>
          <w:tcPr>
            <w:tcW w:w="1414" w:type="dxa"/>
            <w:tcBorders>
              <w:top w:val="single" w:sz="4" w:space="0" w:color="auto"/>
            </w:tcBorders>
            <w:shd w:val="clear" w:color="auto" w:fill="auto"/>
            <w:vAlign w:val="bottom"/>
          </w:tcPr>
          <w:p w14:paraId="17231867"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672.8</w:t>
            </w:r>
          </w:p>
        </w:tc>
        <w:tc>
          <w:tcPr>
            <w:tcW w:w="1086" w:type="dxa"/>
            <w:tcBorders>
              <w:top w:val="single" w:sz="4" w:space="0" w:color="auto"/>
            </w:tcBorders>
            <w:shd w:val="clear" w:color="auto" w:fill="auto"/>
            <w:vAlign w:val="bottom"/>
          </w:tcPr>
          <w:p w14:paraId="386BE7C8"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w:t>
            </w:r>
          </w:p>
        </w:tc>
        <w:tc>
          <w:tcPr>
            <w:tcW w:w="1085" w:type="dxa"/>
            <w:tcBorders>
              <w:top w:val="single" w:sz="4" w:space="0" w:color="auto"/>
            </w:tcBorders>
            <w:shd w:val="clear" w:color="auto" w:fill="auto"/>
            <w:vAlign w:val="bottom"/>
          </w:tcPr>
          <w:p w14:paraId="1EA7BE9F"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195.4</w:t>
            </w:r>
          </w:p>
        </w:tc>
        <w:tc>
          <w:tcPr>
            <w:tcW w:w="1036" w:type="dxa"/>
            <w:tcBorders>
              <w:top w:val="single" w:sz="4" w:space="0" w:color="auto"/>
            </w:tcBorders>
            <w:shd w:val="clear" w:color="auto" w:fill="auto"/>
            <w:vAlign w:val="bottom"/>
          </w:tcPr>
          <w:p w14:paraId="2448A0DF"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w:t>
            </w:r>
          </w:p>
        </w:tc>
        <w:tc>
          <w:tcPr>
            <w:tcW w:w="1332" w:type="dxa"/>
            <w:tcBorders>
              <w:top w:val="single" w:sz="4" w:space="0" w:color="auto"/>
            </w:tcBorders>
            <w:shd w:val="clear" w:color="auto" w:fill="auto"/>
            <w:vAlign w:val="bottom"/>
          </w:tcPr>
          <w:p w14:paraId="11504CF4"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868.2</w:t>
            </w:r>
          </w:p>
        </w:tc>
      </w:tr>
      <w:tr w:rsidR="00794AFD" w:rsidRPr="001C5950" w14:paraId="40B9C818" w14:textId="77777777" w:rsidTr="00794AFD">
        <w:tc>
          <w:tcPr>
            <w:tcW w:w="4145" w:type="dxa"/>
          </w:tcPr>
          <w:p w14:paraId="5F50BAEA"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Ireland</w:t>
            </w:r>
          </w:p>
        </w:tc>
        <w:tc>
          <w:tcPr>
            <w:tcW w:w="1414" w:type="dxa"/>
            <w:shd w:val="clear" w:color="auto" w:fill="auto"/>
            <w:vAlign w:val="bottom"/>
          </w:tcPr>
          <w:p w14:paraId="371F932D"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103.2</w:t>
            </w:r>
          </w:p>
        </w:tc>
        <w:tc>
          <w:tcPr>
            <w:tcW w:w="1086" w:type="dxa"/>
            <w:shd w:val="clear" w:color="auto" w:fill="auto"/>
            <w:vAlign w:val="bottom"/>
          </w:tcPr>
          <w:p w14:paraId="515DFBF7"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w:t>
            </w:r>
          </w:p>
        </w:tc>
        <w:tc>
          <w:tcPr>
            <w:tcW w:w="1085" w:type="dxa"/>
            <w:shd w:val="clear" w:color="auto" w:fill="auto"/>
            <w:vAlign w:val="bottom"/>
          </w:tcPr>
          <w:p w14:paraId="1D980BAC"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136.1</w:t>
            </w:r>
          </w:p>
        </w:tc>
        <w:tc>
          <w:tcPr>
            <w:tcW w:w="1036" w:type="dxa"/>
            <w:shd w:val="clear" w:color="auto" w:fill="auto"/>
            <w:vAlign w:val="bottom"/>
          </w:tcPr>
          <w:p w14:paraId="6D049043"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w:t>
            </w:r>
          </w:p>
        </w:tc>
        <w:tc>
          <w:tcPr>
            <w:tcW w:w="1332" w:type="dxa"/>
            <w:shd w:val="clear" w:color="auto" w:fill="auto"/>
            <w:vAlign w:val="bottom"/>
          </w:tcPr>
          <w:p w14:paraId="631F3ED1"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239.3</w:t>
            </w:r>
          </w:p>
        </w:tc>
      </w:tr>
      <w:tr w:rsidR="00794AFD" w:rsidRPr="001C5950" w14:paraId="1D468992" w14:textId="77777777" w:rsidTr="00794AFD">
        <w:tc>
          <w:tcPr>
            <w:tcW w:w="4145" w:type="dxa"/>
          </w:tcPr>
          <w:p w14:paraId="323E1756"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Australia</w:t>
            </w:r>
          </w:p>
        </w:tc>
        <w:tc>
          <w:tcPr>
            <w:tcW w:w="1414" w:type="dxa"/>
            <w:shd w:val="clear" w:color="auto" w:fill="auto"/>
            <w:vAlign w:val="bottom"/>
          </w:tcPr>
          <w:p w14:paraId="1312172F"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w:t>
            </w:r>
          </w:p>
        </w:tc>
        <w:tc>
          <w:tcPr>
            <w:tcW w:w="1086" w:type="dxa"/>
            <w:shd w:val="clear" w:color="auto" w:fill="auto"/>
            <w:vAlign w:val="bottom"/>
          </w:tcPr>
          <w:p w14:paraId="381030DA"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402.9</w:t>
            </w:r>
          </w:p>
        </w:tc>
        <w:tc>
          <w:tcPr>
            <w:tcW w:w="1085" w:type="dxa"/>
            <w:shd w:val="clear" w:color="auto" w:fill="auto"/>
            <w:vAlign w:val="bottom"/>
          </w:tcPr>
          <w:p w14:paraId="602EFFAC"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w:t>
            </w:r>
          </w:p>
        </w:tc>
        <w:tc>
          <w:tcPr>
            <w:tcW w:w="1036" w:type="dxa"/>
            <w:shd w:val="clear" w:color="auto" w:fill="auto"/>
            <w:vAlign w:val="bottom"/>
          </w:tcPr>
          <w:p w14:paraId="06135995"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w:t>
            </w:r>
          </w:p>
        </w:tc>
        <w:tc>
          <w:tcPr>
            <w:tcW w:w="1332" w:type="dxa"/>
            <w:shd w:val="clear" w:color="auto" w:fill="auto"/>
            <w:vAlign w:val="bottom"/>
          </w:tcPr>
          <w:p w14:paraId="2F60526A"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402.9</w:t>
            </w:r>
          </w:p>
        </w:tc>
      </w:tr>
      <w:tr w:rsidR="00794AFD" w:rsidRPr="001C5950" w14:paraId="69DD892E" w14:textId="77777777" w:rsidTr="00794AFD">
        <w:tc>
          <w:tcPr>
            <w:tcW w:w="4145" w:type="dxa"/>
          </w:tcPr>
          <w:p w14:paraId="36187072"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US</w:t>
            </w:r>
          </w:p>
        </w:tc>
        <w:tc>
          <w:tcPr>
            <w:tcW w:w="1414" w:type="dxa"/>
            <w:shd w:val="clear" w:color="auto" w:fill="auto"/>
            <w:vAlign w:val="bottom"/>
          </w:tcPr>
          <w:p w14:paraId="629E870D"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w:t>
            </w:r>
          </w:p>
        </w:tc>
        <w:tc>
          <w:tcPr>
            <w:tcW w:w="1086" w:type="dxa"/>
            <w:shd w:val="clear" w:color="auto" w:fill="auto"/>
            <w:vAlign w:val="bottom"/>
          </w:tcPr>
          <w:p w14:paraId="76AFDC0E"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w:t>
            </w:r>
          </w:p>
        </w:tc>
        <w:tc>
          <w:tcPr>
            <w:tcW w:w="1085" w:type="dxa"/>
            <w:shd w:val="clear" w:color="auto" w:fill="auto"/>
            <w:vAlign w:val="bottom"/>
          </w:tcPr>
          <w:p w14:paraId="5399F939"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w:t>
            </w:r>
          </w:p>
        </w:tc>
        <w:tc>
          <w:tcPr>
            <w:tcW w:w="1036" w:type="dxa"/>
            <w:shd w:val="clear" w:color="auto" w:fill="auto"/>
            <w:vAlign w:val="bottom"/>
          </w:tcPr>
          <w:p w14:paraId="54FAEE86"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191.4</w:t>
            </w:r>
          </w:p>
        </w:tc>
        <w:tc>
          <w:tcPr>
            <w:tcW w:w="1332" w:type="dxa"/>
            <w:shd w:val="clear" w:color="auto" w:fill="auto"/>
            <w:vAlign w:val="bottom"/>
          </w:tcPr>
          <w:p w14:paraId="399D7D52"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191.4</w:t>
            </w:r>
          </w:p>
        </w:tc>
      </w:tr>
      <w:tr w:rsidR="00794AFD" w:rsidRPr="001C5950" w14:paraId="0AD50A78" w14:textId="77777777" w:rsidTr="00794AFD">
        <w:tc>
          <w:tcPr>
            <w:tcW w:w="4145" w:type="dxa"/>
            <w:tcBorders>
              <w:bottom w:val="single" w:sz="4" w:space="0" w:color="auto"/>
            </w:tcBorders>
          </w:tcPr>
          <w:p w14:paraId="72E4941B"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Rest of World</w:t>
            </w:r>
          </w:p>
        </w:tc>
        <w:tc>
          <w:tcPr>
            <w:tcW w:w="1414" w:type="dxa"/>
            <w:tcBorders>
              <w:bottom w:val="single" w:sz="4" w:space="0" w:color="auto"/>
            </w:tcBorders>
            <w:shd w:val="clear" w:color="auto" w:fill="auto"/>
            <w:vAlign w:val="bottom"/>
          </w:tcPr>
          <w:p w14:paraId="4612CD50"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171.6</w:t>
            </w:r>
          </w:p>
        </w:tc>
        <w:tc>
          <w:tcPr>
            <w:tcW w:w="1086" w:type="dxa"/>
            <w:tcBorders>
              <w:bottom w:val="single" w:sz="4" w:space="0" w:color="auto"/>
            </w:tcBorders>
            <w:shd w:val="clear" w:color="auto" w:fill="auto"/>
            <w:vAlign w:val="bottom"/>
          </w:tcPr>
          <w:p w14:paraId="5A5B597E"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w:t>
            </w:r>
          </w:p>
        </w:tc>
        <w:tc>
          <w:tcPr>
            <w:tcW w:w="1085" w:type="dxa"/>
            <w:tcBorders>
              <w:bottom w:val="single" w:sz="4" w:space="0" w:color="auto"/>
            </w:tcBorders>
            <w:shd w:val="clear" w:color="auto" w:fill="auto"/>
            <w:vAlign w:val="bottom"/>
          </w:tcPr>
          <w:p w14:paraId="7D851208"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w:t>
            </w:r>
          </w:p>
        </w:tc>
        <w:tc>
          <w:tcPr>
            <w:tcW w:w="1036" w:type="dxa"/>
            <w:tcBorders>
              <w:bottom w:val="single" w:sz="4" w:space="0" w:color="auto"/>
            </w:tcBorders>
            <w:shd w:val="clear" w:color="auto" w:fill="auto"/>
            <w:vAlign w:val="bottom"/>
          </w:tcPr>
          <w:p w14:paraId="7511C63F" w14:textId="77777777" w:rsidR="00794AFD" w:rsidRPr="005D1B54" w:rsidDel="00924819" w:rsidRDefault="00794AFD" w:rsidP="00794AFD">
            <w:pPr>
              <w:jc w:val="right"/>
              <w:rPr>
                <w:rFonts w:asciiTheme="minorHAnsi" w:hAnsiTheme="minorHAnsi"/>
                <w:sz w:val="20"/>
              </w:rPr>
            </w:pPr>
            <w:r w:rsidRPr="005D1B54">
              <w:rPr>
                <w:rFonts w:asciiTheme="minorHAnsi" w:hAnsiTheme="minorHAnsi"/>
                <w:sz w:val="20"/>
              </w:rPr>
              <w:t>-</w:t>
            </w:r>
          </w:p>
        </w:tc>
        <w:tc>
          <w:tcPr>
            <w:tcW w:w="1332" w:type="dxa"/>
            <w:tcBorders>
              <w:bottom w:val="single" w:sz="4" w:space="0" w:color="auto"/>
            </w:tcBorders>
            <w:shd w:val="clear" w:color="auto" w:fill="auto"/>
            <w:vAlign w:val="bottom"/>
          </w:tcPr>
          <w:p w14:paraId="45EF5D24"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171.6</w:t>
            </w:r>
          </w:p>
        </w:tc>
      </w:tr>
      <w:tr w:rsidR="00794AFD" w:rsidRPr="001C5950" w14:paraId="79B6B9F5" w14:textId="77777777" w:rsidTr="00794AFD">
        <w:tc>
          <w:tcPr>
            <w:tcW w:w="4145" w:type="dxa"/>
            <w:tcBorders>
              <w:top w:val="single" w:sz="4" w:space="0" w:color="auto"/>
              <w:bottom w:val="single" w:sz="4" w:space="0" w:color="auto"/>
            </w:tcBorders>
          </w:tcPr>
          <w:p w14:paraId="29FF4FA6"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Total Group revenue</w:t>
            </w:r>
          </w:p>
        </w:tc>
        <w:tc>
          <w:tcPr>
            <w:tcW w:w="1414" w:type="dxa"/>
            <w:tcBorders>
              <w:top w:val="single" w:sz="4" w:space="0" w:color="auto"/>
              <w:bottom w:val="single" w:sz="4" w:space="0" w:color="auto"/>
            </w:tcBorders>
            <w:shd w:val="clear" w:color="auto" w:fill="auto"/>
            <w:vAlign w:val="bottom"/>
          </w:tcPr>
          <w:p w14:paraId="429F53AB"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947.6</w:t>
            </w:r>
          </w:p>
        </w:tc>
        <w:tc>
          <w:tcPr>
            <w:tcW w:w="1086" w:type="dxa"/>
            <w:tcBorders>
              <w:top w:val="single" w:sz="4" w:space="0" w:color="auto"/>
              <w:bottom w:val="single" w:sz="4" w:space="0" w:color="auto"/>
            </w:tcBorders>
            <w:shd w:val="clear" w:color="auto" w:fill="auto"/>
            <w:vAlign w:val="bottom"/>
          </w:tcPr>
          <w:p w14:paraId="7559A215"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402.9</w:t>
            </w:r>
          </w:p>
        </w:tc>
        <w:tc>
          <w:tcPr>
            <w:tcW w:w="1085" w:type="dxa"/>
            <w:tcBorders>
              <w:top w:val="single" w:sz="4" w:space="0" w:color="auto"/>
              <w:bottom w:val="single" w:sz="4" w:space="0" w:color="auto"/>
            </w:tcBorders>
            <w:shd w:val="clear" w:color="auto" w:fill="auto"/>
            <w:vAlign w:val="bottom"/>
          </w:tcPr>
          <w:p w14:paraId="0AABED1A"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331.5</w:t>
            </w:r>
          </w:p>
        </w:tc>
        <w:tc>
          <w:tcPr>
            <w:tcW w:w="1036" w:type="dxa"/>
            <w:tcBorders>
              <w:top w:val="single" w:sz="4" w:space="0" w:color="auto"/>
              <w:bottom w:val="single" w:sz="4" w:space="0" w:color="auto"/>
            </w:tcBorders>
            <w:shd w:val="clear" w:color="auto" w:fill="auto"/>
            <w:vAlign w:val="bottom"/>
          </w:tcPr>
          <w:p w14:paraId="00B3C076"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191.4</w:t>
            </w:r>
          </w:p>
        </w:tc>
        <w:tc>
          <w:tcPr>
            <w:tcW w:w="1332" w:type="dxa"/>
            <w:tcBorders>
              <w:top w:val="single" w:sz="4" w:space="0" w:color="auto"/>
              <w:bottom w:val="single" w:sz="4" w:space="0" w:color="auto"/>
            </w:tcBorders>
            <w:shd w:val="clear" w:color="auto" w:fill="auto"/>
            <w:vAlign w:val="bottom"/>
          </w:tcPr>
          <w:p w14:paraId="0AEB2352" w14:textId="77777777" w:rsidR="00794AFD" w:rsidRPr="005D1B54" w:rsidRDefault="00794AFD" w:rsidP="00794AFD">
            <w:pPr>
              <w:jc w:val="right"/>
              <w:rPr>
                <w:rFonts w:asciiTheme="minorHAnsi" w:hAnsiTheme="minorHAnsi"/>
                <w:sz w:val="20"/>
              </w:rPr>
            </w:pPr>
            <w:r w:rsidRPr="005D1B54">
              <w:rPr>
                <w:rFonts w:asciiTheme="minorHAnsi" w:hAnsiTheme="minorHAnsi"/>
                <w:sz w:val="20"/>
              </w:rPr>
              <w:t>1,873.4</w:t>
            </w:r>
          </w:p>
        </w:tc>
      </w:tr>
    </w:tbl>
    <w:p w14:paraId="7208E80C" w14:textId="77777777" w:rsidR="00794AFD" w:rsidRPr="001C5950" w:rsidRDefault="00794AFD" w:rsidP="00794AFD">
      <w:pPr>
        <w:pStyle w:val="BodyText"/>
        <w:rPr>
          <w:rFonts w:asciiTheme="minorHAnsi" w:hAnsiTheme="minorHAnsi" w:cs="Times New Roman"/>
          <w:sz w:val="20"/>
          <w:szCs w:val="20"/>
        </w:rPr>
      </w:pPr>
    </w:p>
    <w:p w14:paraId="5ABAF624" w14:textId="77777777" w:rsidR="00794AFD" w:rsidRPr="001C5950" w:rsidRDefault="00794AFD" w:rsidP="00794AFD">
      <w:pPr>
        <w:pStyle w:val="BodyText"/>
        <w:rPr>
          <w:rFonts w:asciiTheme="minorHAnsi" w:hAnsiTheme="minorHAnsi" w:cs="Times New Roman"/>
          <w:b/>
          <w:sz w:val="20"/>
          <w:szCs w:val="20"/>
        </w:rPr>
      </w:pPr>
      <w:r w:rsidRPr="001C5950">
        <w:rPr>
          <w:rFonts w:asciiTheme="minorHAnsi" w:hAnsiTheme="minorHAnsi" w:cs="Times New Roman"/>
          <w:sz w:val="20"/>
          <w:szCs w:val="20"/>
        </w:rPr>
        <w:t>Revenues are attributed to geographical location on the basis of the customer’s location.</w:t>
      </w:r>
    </w:p>
    <w:p w14:paraId="51819E91" w14:textId="77777777" w:rsidR="00794AFD" w:rsidRPr="001C5950" w:rsidRDefault="00794AFD" w:rsidP="00794AFD">
      <w:pPr>
        <w:pStyle w:val="BodyText"/>
        <w:jc w:val="left"/>
        <w:rPr>
          <w:rFonts w:asciiTheme="minorHAnsi" w:hAnsiTheme="minorHAnsi" w:cs="Times New Roman"/>
          <w:sz w:val="20"/>
          <w:szCs w:val="20"/>
        </w:rPr>
      </w:pPr>
    </w:p>
    <w:p w14:paraId="74ACF232" w14:textId="77777777" w:rsidR="00794AFD" w:rsidRPr="001C5950" w:rsidRDefault="00794AFD" w:rsidP="00794AFD">
      <w:pPr>
        <w:pStyle w:val="BodyText"/>
        <w:jc w:val="left"/>
        <w:rPr>
          <w:rFonts w:asciiTheme="minorHAnsi" w:hAnsiTheme="minorHAnsi" w:cs="Times New Roman"/>
          <w:sz w:val="20"/>
          <w:szCs w:val="20"/>
        </w:rPr>
      </w:pPr>
      <w:r w:rsidRPr="001C5950">
        <w:rPr>
          <w:rFonts w:asciiTheme="minorHAnsi" w:hAnsiTheme="minorHAnsi" w:cs="Times New Roman"/>
          <w:sz w:val="20"/>
          <w:szCs w:val="20"/>
        </w:rPr>
        <w:t>Non-current assets (excluding deferred tax asset balances) by geographical segment are as follows:</w:t>
      </w:r>
    </w:p>
    <w:p w14:paraId="29D459FB" w14:textId="77777777" w:rsidR="00794AFD" w:rsidRPr="001C5950" w:rsidRDefault="00794AFD" w:rsidP="00794AFD">
      <w:pPr>
        <w:tabs>
          <w:tab w:val="left" w:pos="990"/>
        </w:tabs>
        <w:rPr>
          <w:rFonts w:asciiTheme="minorHAnsi" w:hAnsiTheme="minorHAnsi" w:cs="Times New Roman"/>
          <w:sz w:val="20"/>
          <w:szCs w:val="20"/>
        </w:rPr>
      </w:pPr>
      <w:r w:rsidRPr="001C5950">
        <w:rPr>
          <w:rFonts w:asciiTheme="minorHAnsi" w:hAnsiTheme="minorHAnsi"/>
          <w:sz w:val="20"/>
          <w:szCs w:val="20"/>
        </w:rPr>
        <w:tab/>
      </w:r>
    </w:p>
    <w:tbl>
      <w:tblPr>
        <w:tblpPr w:leftFromText="180" w:rightFromText="180" w:vertAnchor="text" w:horzAnchor="margin" w:tblpX="108" w:tblpYSpec="bottom"/>
        <w:tblW w:w="10065" w:type="dxa"/>
        <w:tblLayout w:type="fixed"/>
        <w:tblLook w:val="01E0" w:firstRow="1" w:lastRow="1" w:firstColumn="1" w:lastColumn="1" w:noHBand="0" w:noVBand="0"/>
      </w:tblPr>
      <w:tblGrid>
        <w:gridCol w:w="5245"/>
        <w:gridCol w:w="2977"/>
        <w:gridCol w:w="1843"/>
      </w:tblGrid>
      <w:tr w:rsidR="00794AFD" w:rsidRPr="001C5950" w14:paraId="2EAE32DB" w14:textId="77777777" w:rsidTr="00794AFD">
        <w:trPr>
          <w:trHeight w:val="149"/>
        </w:trPr>
        <w:tc>
          <w:tcPr>
            <w:tcW w:w="5245" w:type="dxa"/>
            <w:tcBorders>
              <w:top w:val="single" w:sz="4" w:space="0" w:color="auto"/>
            </w:tcBorders>
            <w:shd w:val="clear" w:color="auto" w:fill="auto"/>
          </w:tcPr>
          <w:p w14:paraId="528CC8BA" w14:textId="77777777" w:rsidR="00794AFD" w:rsidRPr="00FC3D06" w:rsidRDefault="00794AFD" w:rsidP="00794AFD">
            <w:pPr>
              <w:pStyle w:val="BodyText"/>
              <w:ind w:left="-90"/>
              <w:rPr>
                <w:rFonts w:asciiTheme="minorHAnsi" w:hAnsiTheme="minorHAnsi" w:cs="Times New Roman"/>
                <w:b/>
                <w:sz w:val="20"/>
                <w:szCs w:val="20"/>
              </w:rPr>
            </w:pPr>
          </w:p>
        </w:tc>
        <w:tc>
          <w:tcPr>
            <w:tcW w:w="2977" w:type="dxa"/>
            <w:tcBorders>
              <w:top w:val="single" w:sz="4" w:space="0" w:color="auto"/>
            </w:tcBorders>
            <w:shd w:val="clear" w:color="auto" w:fill="auto"/>
          </w:tcPr>
          <w:p w14:paraId="7DFD598A" w14:textId="77777777" w:rsidR="00794AFD" w:rsidRPr="00784F67" w:rsidRDefault="00794AFD" w:rsidP="00794AFD">
            <w:pPr>
              <w:pStyle w:val="BodyText"/>
              <w:ind w:right="-108"/>
              <w:jc w:val="right"/>
              <w:rPr>
                <w:rFonts w:asciiTheme="minorHAnsi" w:hAnsiTheme="minorHAnsi" w:cs="Times New Roman"/>
                <w:b/>
                <w:sz w:val="20"/>
                <w:szCs w:val="20"/>
              </w:rPr>
            </w:pPr>
          </w:p>
          <w:p w14:paraId="7B60F864" w14:textId="77777777" w:rsidR="00794AFD" w:rsidRPr="00784F67" w:rsidRDefault="00794AFD" w:rsidP="00794AFD">
            <w:pPr>
              <w:pStyle w:val="BodyText"/>
              <w:ind w:right="-108"/>
              <w:jc w:val="right"/>
              <w:rPr>
                <w:rFonts w:asciiTheme="minorHAnsi" w:hAnsiTheme="minorHAnsi" w:cs="Times New Roman"/>
                <w:b/>
                <w:sz w:val="20"/>
                <w:szCs w:val="20"/>
              </w:rPr>
            </w:pPr>
            <w:r w:rsidRPr="00784F67">
              <w:rPr>
                <w:rFonts w:asciiTheme="minorHAnsi" w:hAnsiTheme="minorHAnsi" w:cs="Times New Roman"/>
                <w:b/>
                <w:sz w:val="20"/>
                <w:szCs w:val="20"/>
              </w:rPr>
              <w:t xml:space="preserve">31 December </w:t>
            </w:r>
          </w:p>
          <w:p w14:paraId="52261EDF" w14:textId="77777777" w:rsidR="00794AFD" w:rsidRPr="00784F67" w:rsidRDefault="00794AFD" w:rsidP="00794AFD">
            <w:pPr>
              <w:pStyle w:val="BodyText"/>
              <w:ind w:right="-108"/>
              <w:jc w:val="right"/>
              <w:rPr>
                <w:rFonts w:asciiTheme="minorHAnsi" w:hAnsiTheme="minorHAnsi" w:cs="Times New Roman"/>
                <w:b/>
                <w:sz w:val="20"/>
                <w:szCs w:val="20"/>
              </w:rPr>
            </w:pPr>
            <w:r w:rsidRPr="00784F67">
              <w:rPr>
                <w:rFonts w:asciiTheme="minorHAnsi" w:hAnsiTheme="minorHAnsi" w:cs="Times New Roman"/>
                <w:b/>
                <w:sz w:val="20"/>
                <w:szCs w:val="20"/>
              </w:rPr>
              <w:t>2019</w:t>
            </w:r>
          </w:p>
        </w:tc>
        <w:tc>
          <w:tcPr>
            <w:tcW w:w="1843" w:type="dxa"/>
            <w:tcBorders>
              <w:top w:val="single" w:sz="4" w:space="0" w:color="auto"/>
            </w:tcBorders>
          </w:tcPr>
          <w:p w14:paraId="1B7B254F" w14:textId="77777777" w:rsidR="00794AFD" w:rsidRPr="001C5950" w:rsidRDefault="00794AFD" w:rsidP="00794AFD">
            <w:pPr>
              <w:pStyle w:val="BodyText"/>
              <w:jc w:val="right"/>
              <w:rPr>
                <w:rFonts w:asciiTheme="minorHAnsi" w:hAnsiTheme="minorHAnsi" w:cs="Times New Roman"/>
                <w:sz w:val="20"/>
                <w:szCs w:val="20"/>
              </w:rPr>
            </w:pPr>
          </w:p>
          <w:p w14:paraId="5E530870" w14:textId="77777777" w:rsidR="00794AFD" w:rsidRPr="001C5950" w:rsidRDefault="00794AFD" w:rsidP="00794AFD">
            <w:pPr>
              <w:pStyle w:val="BodyText"/>
              <w:jc w:val="right"/>
              <w:rPr>
                <w:rFonts w:asciiTheme="minorHAnsi" w:hAnsiTheme="minorHAnsi" w:cs="Times New Roman"/>
                <w:sz w:val="20"/>
                <w:szCs w:val="20"/>
              </w:rPr>
            </w:pPr>
            <w:r w:rsidRPr="001C5950">
              <w:rPr>
                <w:rFonts w:asciiTheme="minorHAnsi" w:hAnsiTheme="minorHAnsi" w:cs="Times New Roman"/>
                <w:sz w:val="20"/>
                <w:szCs w:val="20"/>
              </w:rPr>
              <w:t xml:space="preserve">31 December </w:t>
            </w:r>
          </w:p>
          <w:p w14:paraId="32778821" w14:textId="77777777" w:rsidR="00794AFD" w:rsidRPr="001C5950" w:rsidRDefault="00794AFD" w:rsidP="00794AFD">
            <w:pPr>
              <w:pStyle w:val="BodyText"/>
              <w:jc w:val="right"/>
              <w:rPr>
                <w:rFonts w:asciiTheme="minorHAnsi" w:hAnsiTheme="minorHAnsi" w:cs="Times New Roman"/>
                <w:sz w:val="20"/>
                <w:szCs w:val="20"/>
              </w:rPr>
            </w:pPr>
            <w:r>
              <w:rPr>
                <w:rFonts w:asciiTheme="minorHAnsi" w:hAnsiTheme="minorHAnsi" w:cs="Times New Roman"/>
                <w:sz w:val="20"/>
                <w:szCs w:val="20"/>
              </w:rPr>
              <w:t>2018</w:t>
            </w:r>
          </w:p>
        </w:tc>
      </w:tr>
      <w:tr w:rsidR="00794AFD" w:rsidRPr="001C5950" w14:paraId="41BBFAFB" w14:textId="77777777" w:rsidTr="00794AFD">
        <w:trPr>
          <w:trHeight w:val="180"/>
        </w:trPr>
        <w:tc>
          <w:tcPr>
            <w:tcW w:w="5245" w:type="dxa"/>
            <w:tcBorders>
              <w:bottom w:val="single" w:sz="4" w:space="0" w:color="auto"/>
            </w:tcBorders>
            <w:shd w:val="clear" w:color="auto" w:fill="auto"/>
          </w:tcPr>
          <w:p w14:paraId="6BE1BF5E" w14:textId="77777777" w:rsidR="00794AFD" w:rsidRPr="00FC3D06" w:rsidRDefault="00794AFD" w:rsidP="00794AFD">
            <w:pPr>
              <w:pStyle w:val="BodyText"/>
              <w:ind w:left="-90"/>
              <w:rPr>
                <w:rFonts w:asciiTheme="minorHAnsi" w:hAnsiTheme="minorHAnsi" w:cs="Times New Roman"/>
                <w:b/>
                <w:sz w:val="20"/>
                <w:szCs w:val="20"/>
              </w:rPr>
            </w:pPr>
          </w:p>
        </w:tc>
        <w:tc>
          <w:tcPr>
            <w:tcW w:w="2977" w:type="dxa"/>
            <w:tcBorders>
              <w:bottom w:val="single" w:sz="4" w:space="0" w:color="auto"/>
            </w:tcBorders>
            <w:shd w:val="clear" w:color="auto" w:fill="auto"/>
          </w:tcPr>
          <w:p w14:paraId="4E7761BF" w14:textId="77777777" w:rsidR="00794AFD" w:rsidRPr="00784F67" w:rsidRDefault="00794AFD" w:rsidP="00794AFD">
            <w:pPr>
              <w:pStyle w:val="BodyText"/>
              <w:ind w:right="-108"/>
              <w:jc w:val="right"/>
              <w:rPr>
                <w:rFonts w:asciiTheme="minorHAnsi" w:hAnsiTheme="minorHAnsi" w:cs="Times New Roman"/>
                <w:b/>
                <w:sz w:val="20"/>
                <w:szCs w:val="20"/>
              </w:rPr>
            </w:pPr>
            <w:r w:rsidRPr="00784F67">
              <w:rPr>
                <w:rFonts w:asciiTheme="minorHAnsi" w:hAnsiTheme="minorHAnsi" w:cs="Times New Roman"/>
                <w:b/>
                <w:sz w:val="20"/>
                <w:szCs w:val="20"/>
              </w:rPr>
              <w:t>£m</w:t>
            </w:r>
          </w:p>
        </w:tc>
        <w:tc>
          <w:tcPr>
            <w:tcW w:w="1843" w:type="dxa"/>
            <w:tcBorders>
              <w:bottom w:val="single" w:sz="4" w:space="0" w:color="auto"/>
            </w:tcBorders>
          </w:tcPr>
          <w:p w14:paraId="54EDCC1B" w14:textId="77777777" w:rsidR="00794AFD" w:rsidRPr="009852A5" w:rsidRDefault="00794AFD" w:rsidP="00794AFD">
            <w:pPr>
              <w:pStyle w:val="BodyText"/>
              <w:jc w:val="right"/>
              <w:rPr>
                <w:rFonts w:asciiTheme="minorHAnsi" w:hAnsiTheme="minorHAnsi" w:cs="Times New Roman"/>
                <w:sz w:val="20"/>
                <w:szCs w:val="20"/>
              </w:rPr>
            </w:pPr>
            <w:r w:rsidRPr="009852A5">
              <w:rPr>
                <w:rFonts w:asciiTheme="minorHAnsi" w:hAnsiTheme="minorHAnsi" w:cs="Times New Roman"/>
                <w:sz w:val="20"/>
                <w:szCs w:val="20"/>
              </w:rPr>
              <w:t>£m</w:t>
            </w:r>
          </w:p>
        </w:tc>
      </w:tr>
      <w:tr w:rsidR="00794AFD" w:rsidRPr="001C5950" w14:paraId="39509162" w14:textId="77777777" w:rsidTr="00794AFD">
        <w:trPr>
          <w:trHeight w:val="170"/>
        </w:trPr>
        <w:tc>
          <w:tcPr>
            <w:tcW w:w="5245" w:type="dxa"/>
            <w:tcBorders>
              <w:top w:val="single" w:sz="4" w:space="0" w:color="auto"/>
            </w:tcBorders>
            <w:shd w:val="clear" w:color="auto" w:fill="auto"/>
          </w:tcPr>
          <w:p w14:paraId="63983A7C" w14:textId="77777777" w:rsidR="00794AFD" w:rsidRPr="001C5950" w:rsidRDefault="00794AFD" w:rsidP="00794AFD">
            <w:pPr>
              <w:pStyle w:val="NormalWeb"/>
              <w:spacing w:before="0" w:beforeAutospacing="0" w:after="0" w:afterAutospacing="0"/>
              <w:ind w:left="-90"/>
              <w:rPr>
                <w:rFonts w:asciiTheme="minorHAnsi" w:hAnsiTheme="minorHAnsi" w:cs="Times New Roman"/>
                <w:sz w:val="20"/>
                <w:szCs w:val="20"/>
              </w:rPr>
            </w:pPr>
            <w:r w:rsidRPr="001C5950">
              <w:rPr>
                <w:rFonts w:asciiTheme="minorHAnsi" w:hAnsiTheme="minorHAnsi" w:cs="Times New Roman"/>
                <w:sz w:val="20"/>
                <w:szCs w:val="20"/>
              </w:rPr>
              <w:t>UK</w:t>
            </w:r>
          </w:p>
        </w:tc>
        <w:tc>
          <w:tcPr>
            <w:tcW w:w="2977" w:type="dxa"/>
            <w:tcBorders>
              <w:top w:val="single" w:sz="4" w:space="0" w:color="auto"/>
            </w:tcBorders>
            <w:shd w:val="clear" w:color="auto" w:fill="auto"/>
          </w:tcPr>
          <w:p w14:paraId="620895F0" w14:textId="77777777" w:rsidR="00794AFD" w:rsidRPr="000944E4" w:rsidRDefault="00794AFD" w:rsidP="00794AFD">
            <w:pPr>
              <w:pStyle w:val="NormalWeb"/>
              <w:spacing w:before="0" w:beforeAutospacing="0" w:after="0" w:afterAutospacing="0"/>
              <w:ind w:right="-108"/>
              <w:jc w:val="right"/>
              <w:rPr>
                <w:rFonts w:asciiTheme="minorHAnsi" w:hAnsiTheme="minorHAnsi" w:cs="Times New Roman"/>
                <w:b/>
                <w:sz w:val="20"/>
                <w:szCs w:val="20"/>
              </w:rPr>
            </w:pPr>
            <w:r w:rsidRPr="000944E4">
              <w:rPr>
                <w:rFonts w:asciiTheme="minorHAnsi" w:hAnsiTheme="minorHAnsi" w:cs="Times New Roman"/>
                <w:b/>
                <w:sz w:val="20"/>
                <w:szCs w:val="20"/>
              </w:rPr>
              <w:t>3,7</w:t>
            </w:r>
            <w:r>
              <w:rPr>
                <w:rFonts w:asciiTheme="minorHAnsi" w:hAnsiTheme="minorHAnsi" w:cs="Times New Roman"/>
                <w:b/>
                <w:sz w:val="20"/>
                <w:szCs w:val="20"/>
              </w:rPr>
              <w:t>71</w:t>
            </w:r>
            <w:r w:rsidRPr="000944E4">
              <w:rPr>
                <w:rFonts w:asciiTheme="minorHAnsi" w:hAnsiTheme="minorHAnsi" w:cs="Times New Roman"/>
                <w:b/>
                <w:sz w:val="20"/>
                <w:szCs w:val="20"/>
              </w:rPr>
              <w:t>.</w:t>
            </w:r>
            <w:r>
              <w:rPr>
                <w:rFonts w:asciiTheme="minorHAnsi" w:hAnsiTheme="minorHAnsi" w:cs="Times New Roman"/>
                <w:b/>
                <w:sz w:val="20"/>
                <w:szCs w:val="20"/>
              </w:rPr>
              <w:t>2</w:t>
            </w:r>
          </w:p>
        </w:tc>
        <w:tc>
          <w:tcPr>
            <w:tcW w:w="1843" w:type="dxa"/>
            <w:tcBorders>
              <w:top w:val="single" w:sz="4" w:space="0" w:color="auto"/>
            </w:tcBorders>
          </w:tcPr>
          <w:p w14:paraId="7E6D11CB" w14:textId="77777777" w:rsidR="00794AFD" w:rsidRPr="009852A5" w:rsidRDefault="00794AFD" w:rsidP="00794AFD">
            <w:pPr>
              <w:pStyle w:val="NormalWeb"/>
              <w:spacing w:before="0" w:beforeAutospacing="0" w:after="0" w:afterAutospacing="0"/>
              <w:jc w:val="right"/>
              <w:rPr>
                <w:rFonts w:asciiTheme="minorHAnsi" w:hAnsiTheme="minorHAnsi" w:cs="Times New Roman"/>
                <w:sz w:val="20"/>
                <w:szCs w:val="20"/>
              </w:rPr>
            </w:pPr>
            <w:r w:rsidRPr="009852A5">
              <w:rPr>
                <w:rFonts w:asciiTheme="minorHAnsi" w:hAnsiTheme="minorHAnsi" w:cs="Times New Roman"/>
                <w:sz w:val="20"/>
                <w:szCs w:val="20"/>
              </w:rPr>
              <w:t>3,761.6</w:t>
            </w:r>
          </w:p>
        </w:tc>
      </w:tr>
      <w:tr w:rsidR="00794AFD" w:rsidRPr="001C5950" w14:paraId="21AE9A39" w14:textId="77777777" w:rsidTr="00794AFD">
        <w:trPr>
          <w:trHeight w:val="152"/>
        </w:trPr>
        <w:tc>
          <w:tcPr>
            <w:tcW w:w="5245" w:type="dxa"/>
            <w:shd w:val="clear" w:color="auto" w:fill="auto"/>
          </w:tcPr>
          <w:p w14:paraId="62E62129" w14:textId="77777777" w:rsidR="00794AFD" w:rsidRPr="001C5950" w:rsidRDefault="00794AFD" w:rsidP="00794AFD">
            <w:pPr>
              <w:pStyle w:val="NormalWeb"/>
              <w:spacing w:before="0" w:beforeAutospacing="0" w:after="0" w:afterAutospacing="0"/>
              <w:ind w:left="-90"/>
              <w:rPr>
                <w:rFonts w:asciiTheme="minorHAnsi" w:hAnsiTheme="minorHAnsi" w:cs="Times New Roman"/>
                <w:sz w:val="20"/>
                <w:szCs w:val="20"/>
              </w:rPr>
            </w:pPr>
            <w:r w:rsidRPr="001C5950">
              <w:rPr>
                <w:rFonts w:asciiTheme="minorHAnsi" w:hAnsiTheme="minorHAnsi" w:cs="Times New Roman"/>
                <w:sz w:val="20"/>
                <w:szCs w:val="20"/>
              </w:rPr>
              <w:t>Ireland</w:t>
            </w:r>
          </w:p>
        </w:tc>
        <w:tc>
          <w:tcPr>
            <w:tcW w:w="2977" w:type="dxa"/>
            <w:shd w:val="clear" w:color="auto" w:fill="auto"/>
          </w:tcPr>
          <w:p w14:paraId="31930374" w14:textId="77777777" w:rsidR="00794AFD" w:rsidRPr="000944E4" w:rsidRDefault="00794AFD" w:rsidP="00794AFD">
            <w:pPr>
              <w:pStyle w:val="NormalWeb"/>
              <w:spacing w:before="0" w:beforeAutospacing="0" w:after="0" w:afterAutospacing="0"/>
              <w:ind w:right="-108"/>
              <w:jc w:val="right"/>
              <w:rPr>
                <w:rFonts w:asciiTheme="minorHAnsi" w:hAnsiTheme="minorHAnsi" w:cs="Times New Roman"/>
                <w:b/>
                <w:sz w:val="20"/>
                <w:szCs w:val="20"/>
              </w:rPr>
            </w:pPr>
            <w:r w:rsidRPr="000944E4">
              <w:rPr>
                <w:rFonts w:asciiTheme="minorHAnsi" w:hAnsiTheme="minorHAnsi" w:cs="Times New Roman"/>
                <w:b/>
                <w:sz w:val="20"/>
                <w:szCs w:val="20"/>
              </w:rPr>
              <w:t>157.3</w:t>
            </w:r>
          </w:p>
        </w:tc>
        <w:tc>
          <w:tcPr>
            <w:tcW w:w="1843" w:type="dxa"/>
          </w:tcPr>
          <w:p w14:paraId="6FF83FA5" w14:textId="77777777" w:rsidR="00794AFD" w:rsidRPr="009852A5" w:rsidRDefault="00794AFD" w:rsidP="00794AFD">
            <w:pPr>
              <w:pStyle w:val="NormalWeb"/>
              <w:spacing w:before="0" w:beforeAutospacing="0" w:after="0" w:afterAutospacing="0"/>
              <w:jc w:val="right"/>
              <w:rPr>
                <w:rFonts w:asciiTheme="minorHAnsi" w:hAnsiTheme="minorHAnsi" w:cs="Times New Roman"/>
                <w:sz w:val="20"/>
                <w:szCs w:val="20"/>
              </w:rPr>
            </w:pPr>
            <w:r w:rsidRPr="009852A5">
              <w:rPr>
                <w:rFonts w:asciiTheme="minorHAnsi" w:hAnsiTheme="minorHAnsi" w:cs="Times New Roman"/>
                <w:sz w:val="20"/>
                <w:szCs w:val="20"/>
              </w:rPr>
              <w:t>104.8</w:t>
            </w:r>
          </w:p>
        </w:tc>
      </w:tr>
      <w:tr w:rsidR="00794AFD" w:rsidRPr="001C5950" w14:paraId="0DBBAD84" w14:textId="77777777" w:rsidTr="00794AFD">
        <w:trPr>
          <w:trHeight w:val="152"/>
        </w:trPr>
        <w:tc>
          <w:tcPr>
            <w:tcW w:w="5245" w:type="dxa"/>
            <w:shd w:val="clear" w:color="auto" w:fill="auto"/>
          </w:tcPr>
          <w:p w14:paraId="425F4B28" w14:textId="77777777" w:rsidR="00794AFD" w:rsidRPr="001C5950" w:rsidRDefault="00794AFD" w:rsidP="00794AFD">
            <w:pPr>
              <w:pStyle w:val="NormalWeb"/>
              <w:spacing w:before="0" w:beforeAutospacing="0" w:after="0" w:afterAutospacing="0"/>
              <w:ind w:left="-90"/>
              <w:rPr>
                <w:rFonts w:asciiTheme="minorHAnsi" w:hAnsiTheme="minorHAnsi" w:cs="Times New Roman"/>
                <w:sz w:val="20"/>
                <w:szCs w:val="20"/>
              </w:rPr>
            </w:pPr>
            <w:r w:rsidRPr="001C5950">
              <w:rPr>
                <w:rFonts w:asciiTheme="minorHAnsi" w:hAnsiTheme="minorHAnsi" w:cs="Times New Roman"/>
                <w:sz w:val="20"/>
                <w:szCs w:val="20"/>
              </w:rPr>
              <w:t>Australia</w:t>
            </w:r>
          </w:p>
        </w:tc>
        <w:tc>
          <w:tcPr>
            <w:tcW w:w="2977" w:type="dxa"/>
            <w:shd w:val="clear" w:color="auto" w:fill="auto"/>
          </w:tcPr>
          <w:p w14:paraId="5CD31E30" w14:textId="77777777" w:rsidR="00794AFD" w:rsidRPr="000944E4" w:rsidRDefault="00794AFD" w:rsidP="00794AFD">
            <w:pPr>
              <w:pStyle w:val="NormalWeb"/>
              <w:spacing w:before="0" w:beforeAutospacing="0" w:after="0" w:afterAutospacing="0"/>
              <w:ind w:right="-108"/>
              <w:jc w:val="right"/>
              <w:rPr>
                <w:rFonts w:asciiTheme="minorHAnsi" w:hAnsiTheme="minorHAnsi" w:cs="Times New Roman"/>
                <w:b/>
                <w:sz w:val="20"/>
                <w:szCs w:val="20"/>
              </w:rPr>
            </w:pPr>
            <w:r>
              <w:rPr>
                <w:rFonts w:asciiTheme="minorHAnsi" w:hAnsiTheme="minorHAnsi" w:cs="Times New Roman"/>
                <w:b/>
                <w:sz w:val="20"/>
                <w:szCs w:val="20"/>
              </w:rPr>
              <w:t>108.9</w:t>
            </w:r>
          </w:p>
        </w:tc>
        <w:tc>
          <w:tcPr>
            <w:tcW w:w="1843" w:type="dxa"/>
          </w:tcPr>
          <w:p w14:paraId="2A39FD6B" w14:textId="77777777" w:rsidR="00794AFD" w:rsidRPr="009852A5" w:rsidRDefault="00794AFD" w:rsidP="00794AFD">
            <w:pPr>
              <w:pStyle w:val="NormalWeb"/>
              <w:spacing w:before="0" w:beforeAutospacing="0" w:after="0" w:afterAutospacing="0"/>
              <w:jc w:val="right"/>
              <w:rPr>
                <w:rFonts w:asciiTheme="minorHAnsi" w:hAnsiTheme="minorHAnsi" w:cs="Times New Roman"/>
                <w:sz w:val="20"/>
                <w:szCs w:val="20"/>
              </w:rPr>
            </w:pPr>
            <w:r w:rsidRPr="009852A5">
              <w:rPr>
                <w:rFonts w:asciiTheme="minorHAnsi" w:hAnsiTheme="minorHAnsi" w:cs="Times New Roman"/>
                <w:sz w:val="20"/>
                <w:szCs w:val="20"/>
              </w:rPr>
              <w:t>89.9</w:t>
            </w:r>
          </w:p>
        </w:tc>
      </w:tr>
      <w:tr w:rsidR="00794AFD" w:rsidRPr="001C5950" w14:paraId="582E8E52" w14:textId="77777777" w:rsidTr="00794AFD">
        <w:trPr>
          <w:trHeight w:val="180"/>
        </w:trPr>
        <w:tc>
          <w:tcPr>
            <w:tcW w:w="5245" w:type="dxa"/>
            <w:shd w:val="clear" w:color="auto" w:fill="auto"/>
          </w:tcPr>
          <w:p w14:paraId="73FC6AE8" w14:textId="77777777" w:rsidR="00794AFD" w:rsidRPr="001C5950" w:rsidRDefault="00794AFD" w:rsidP="00794AFD">
            <w:pPr>
              <w:pStyle w:val="NormalWeb"/>
              <w:spacing w:before="0" w:beforeAutospacing="0" w:after="0" w:afterAutospacing="0"/>
              <w:ind w:left="-90"/>
              <w:rPr>
                <w:rFonts w:asciiTheme="minorHAnsi" w:hAnsiTheme="minorHAnsi" w:cs="Times New Roman"/>
                <w:sz w:val="20"/>
                <w:szCs w:val="20"/>
              </w:rPr>
            </w:pPr>
            <w:r w:rsidRPr="001C5950">
              <w:rPr>
                <w:rFonts w:asciiTheme="minorHAnsi" w:hAnsiTheme="minorHAnsi" w:cs="Times New Roman"/>
                <w:sz w:val="20"/>
                <w:szCs w:val="20"/>
              </w:rPr>
              <w:t>US</w:t>
            </w:r>
          </w:p>
        </w:tc>
        <w:tc>
          <w:tcPr>
            <w:tcW w:w="2977" w:type="dxa"/>
            <w:shd w:val="clear" w:color="auto" w:fill="auto"/>
          </w:tcPr>
          <w:p w14:paraId="359E2AD6" w14:textId="77777777" w:rsidR="00794AFD" w:rsidRPr="000944E4" w:rsidRDefault="00794AFD" w:rsidP="00794AFD">
            <w:pPr>
              <w:pStyle w:val="NormalWeb"/>
              <w:spacing w:before="0" w:beforeAutospacing="0" w:after="0" w:afterAutospacing="0"/>
              <w:ind w:right="-108"/>
              <w:jc w:val="right"/>
              <w:rPr>
                <w:rFonts w:asciiTheme="minorHAnsi" w:hAnsiTheme="minorHAnsi" w:cs="Times New Roman"/>
                <w:b/>
                <w:sz w:val="20"/>
                <w:szCs w:val="20"/>
              </w:rPr>
            </w:pPr>
            <w:r w:rsidRPr="000944E4">
              <w:rPr>
                <w:rFonts w:asciiTheme="minorHAnsi" w:hAnsiTheme="minorHAnsi" w:cs="Times New Roman"/>
                <w:b/>
                <w:sz w:val="20"/>
                <w:szCs w:val="20"/>
              </w:rPr>
              <w:t>80</w:t>
            </w:r>
            <w:r>
              <w:rPr>
                <w:rFonts w:asciiTheme="minorHAnsi" w:hAnsiTheme="minorHAnsi" w:cs="Times New Roman"/>
                <w:b/>
                <w:sz w:val="20"/>
                <w:szCs w:val="20"/>
              </w:rPr>
              <w:t>5</w:t>
            </w:r>
            <w:r w:rsidRPr="000944E4">
              <w:rPr>
                <w:rFonts w:asciiTheme="minorHAnsi" w:hAnsiTheme="minorHAnsi" w:cs="Times New Roman"/>
                <w:b/>
                <w:sz w:val="20"/>
                <w:szCs w:val="20"/>
              </w:rPr>
              <w:t>.</w:t>
            </w:r>
            <w:r>
              <w:rPr>
                <w:rFonts w:asciiTheme="minorHAnsi" w:hAnsiTheme="minorHAnsi" w:cs="Times New Roman"/>
                <w:b/>
                <w:sz w:val="20"/>
                <w:szCs w:val="20"/>
              </w:rPr>
              <w:t>0</w:t>
            </w:r>
          </w:p>
        </w:tc>
        <w:tc>
          <w:tcPr>
            <w:tcW w:w="1843" w:type="dxa"/>
          </w:tcPr>
          <w:p w14:paraId="0FDE2498" w14:textId="77777777" w:rsidR="00794AFD" w:rsidRPr="009852A5" w:rsidRDefault="00794AFD" w:rsidP="00794AFD">
            <w:pPr>
              <w:pStyle w:val="NormalWeb"/>
              <w:spacing w:before="0" w:beforeAutospacing="0" w:after="0" w:afterAutospacing="0"/>
              <w:jc w:val="right"/>
              <w:rPr>
                <w:rFonts w:asciiTheme="minorHAnsi" w:hAnsiTheme="minorHAnsi" w:cs="Times New Roman"/>
                <w:sz w:val="20"/>
                <w:szCs w:val="20"/>
              </w:rPr>
            </w:pPr>
            <w:r w:rsidRPr="009852A5">
              <w:rPr>
                <w:rFonts w:asciiTheme="minorHAnsi" w:hAnsiTheme="minorHAnsi" w:cs="Times New Roman"/>
                <w:sz w:val="20"/>
                <w:szCs w:val="20"/>
              </w:rPr>
              <w:t>823.3</w:t>
            </w:r>
          </w:p>
        </w:tc>
      </w:tr>
      <w:tr w:rsidR="00794AFD" w:rsidRPr="001C5950" w14:paraId="17DC372D" w14:textId="77777777" w:rsidTr="00794AFD">
        <w:trPr>
          <w:trHeight w:val="180"/>
        </w:trPr>
        <w:tc>
          <w:tcPr>
            <w:tcW w:w="5245" w:type="dxa"/>
            <w:tcBorders>
              <w:bottom w:val="single" w:sz="4" w:space="0" w:color="auto"/>
            </w:tcBorders>
            <w:shd w:val="clear" w:color="auto" w:fill="auto"/>
          </w:tcPr>
          <w:p w14:paraId="0D16B4FC" w14:textId="77777777" w:rsidR="00794AFD" w:rsidRPr="001C5950" w:rsidRDefault="00794AFD" w:rsidP="00794AFD">
            <w:pPr>
              <w:pStyle w:val="NormalWeb"/>
              <w:spacing w:before="0" w:beforeAutospacing="0" w:after="0" w:afterAutospacing="0"/>
              <w:ind w:left="-90"/>
              <w:rPr>
                <w:rFonts w:asciiTheme="minorHAnsi" w:hAnsiTheme="minorHAnsi" w:cs="Times New Roman"/>
                <w:sz w:val="20"/>
                <w:szCs w:val="20"/>
              </w:rPr>
            </w:pPr>
            <w:r w:rsidRPr="001C5950">
              <w:rPr>
                <w:rFonts w:asciiTheme="minorHAnsi" w:hAnsiTheme="minorHAnsi" w:cs="Times New Roman"/>
                <w:sz w:val="20"/>
                <w:szCs w:val="20"/>
              </w:rPr>
              <w:t>Rest of World</w:t>
            </w:r>
          </w:p>
        </w:tc>
        <w:tc>
          <w:tcPr>
            <w:tcW w:w="2977" w:type="dxa"/>
            <w:shd w:val="clear" w:color="auto" w:fill="auto"/>
          </w:tcPr>
          <w:p w14:paraId="3B29EF2E" w14:textId="77777777" w:rsidR="00794AFD" w:rsidRPr="000944E4" w:rsidRDefault="00794AFD" w:rsidP="00794AFD">
            <w:pPr>
              <w:pStyle w:val="NormalWeb"/>
              <w:spacing w:before="0" w:beforeAutospacing="0" w:after="0" w:afterAutospacing="0"/>
              <w:ind w:right="-108"/>
              <w:jc w:val="right"/>
              <w:rPr>
                <w:rFonts w:asciiTheme="minorHAnsi" w:hAnsiTheme="minorHAnsi" w:cs="Times New Roman"/>
                <w:b/>
                <w:sz w:val="20"/>
                <w:szCs w:val="20"/>
              </w:rPr>
            </w:pPr>
            <w:r w:rsidRPr="000944E4">
              <w:rPr>
                <w:rFonts w:asciiTheme="minorHAnsi" w:hAnsiTheme="minorHAnsi" w:cs="Times New Roman"/>
                <w:b/>
                <w:sz w:val="20"/>
                <w:szCs w:val="20"/>
              </w:rPr>
              <w:t>185.1</w:t>
            </w:r>
          </w:p>
        </w:tc>
        <w:tc>
          <w:tcPr>
            <w:tcW w:w="1843" w:type="dxa"/>
          </w:tcPr>
          <w:p w14:paraId="52C98410" w14:textId="77777777" w:rsidR="00794AFD" w:rsidRPr="009852A5" w:rsidRDefault="00794AFD" w:rsidP="00794AFD">
            <w:pPr>
              <w:pStyle w:val="NormalWeb"/>
              <w:spacing w:before="0" w:beforeAutospacing="0" w:after="0" w:afterAutospacing="0"/>
              <w:jc w:val="right"/>
              <w:rPr>
                <w:rFonts w:asciiTheme="minorHAnsi" w:hAnsiTheme="minorHAnsi" w:cs="Times New Roman"/>
                <w:sz w:val="20"/>
                <w:szCs w:val="20"/>
              </w:rPr>
            </w:pPr>
            <w:r w:rsidRPr="009852A5">
              <w:rPr>
                <w:rFonts w:asciiTheme="minorHAnsi" w:hAnsiTheme="minorHAnsi" w:cs="Times New Roman"/>
                <w:sz w:val="20"/>
                <w:szCs w:val="20"/>
              </w:rPr>
              <w:t>15.5</w:t>
            </w:r>
          </w:p>
        </w:tc>
      </w:tr>
      <w:tr w:rsidR="00794AFD" w:rsidRPr="001C5950" w14:paraId="5BCA3561" w14:textId="77777777" w:rsidTr="00794AFD">
        <w:trPr>
          <w:trHeight w:val="178"/>
        </w:trPr>
        <w:tc>
          <w:tcPr>
            <w:tcW w:w="5245" w:type="dxa"/>
            <w:tcBorders>
              <w:top w:val="single" w:sz="4" w:space="0" w:color="auto"/>
              <w:bottom w:val="single" w:sz="4" w:space="0" w:color="auto"/>
            </w:tcBorders>
            <w:shd w:val="clear" w:color="auto" w:fill="auto"/>
          </w:tcPr>
          <w:p w14:paraId="763D7942" w14:textId="77777777" w:rsidR="00794AFD" w:rsidRPr="001C5950" w:rsidRDefault="00794AFD" w:rsidP="00794AFD">
            <w:pPr>
              <w:pStyle w:val="NormalWeb"/>
              <w:spacing w:before="0" w:beforeAutospacing="0" w:after="0" w:afterAutospacing="0"/>
              <w:ind w:left="-86"/>
              <w:rPr>
                <w:rFonts w:asciiTheme="minorHAnsi" w:hAnsiTheme="minorHAnsi" w:cs="Times New Roman"/>
                <w:sz w:val="20"/>
                <w:szCs w:val="20"/>
              </w:rPr>
            </w:pPr>
            <w:r w:rsidRPr="001C5950">
              <w:rPr>
                <w:rFonts w:asciiTheme="minorHAnsi" w:hAnsiTheme="minorHAnsi" w:cs="Times New Roman"/>
                <w:sz w:val="20"/>
                <w:szCs w:val="20"/>
              </w:rPr>
              <w:t>Total</w:t>
            </w:r>
          </w:p>
        </w:tc>
        <w:tc>
          <w:tcPr>
            <w:tcW w:w="2977" w:type="dxa"/>
            <w:tcBorders>
              <w:top w:val="single" w:sz="4" w:space="0" w:color="auto"/>
              <w:bottom w:val="single" w:sz="4" w:space="0" w:color="auto"/>
            </w:tcBorders>
            <w:shd w:val="clear" w:color="auto" w:fill="auto"/>
          </w:tcPr>
          <w:p w14:paraId="2F61D6DC" w14:textId="77777777" w:rsidR="00794AFD" w:rsidRPr="000944E4" w:rsidRDefault="00794AFD" w:rsidP="00794AFD">
            <w:pPr>
              <w:pStyle w:val="NormalWeb"/>
              <w:spacing w:before="0" w:beforeAutospacing="0" w:after="0" w:afterAutospacing="0"/>
              <w:ind w:right="-108"/>
              <w:jc w:val="right"/>
              <w:rPr>
                <w:rFonts w:asciiTheme="minorHAnsi" w:hAnsiTheme="minorHAnsi" w:cs="Times New Roman"/>
                <w:b/>
                <w:sz w:val="20"/>
                <w:szCs w:val="20"/>
              </w:rPr>
            </w:pPr>
            <w:r w:rsidRPr="000944E4">
              <w:rPr>
                <w:rFonts w:asciiTheme="minorHAnsi" w:hAnsiTheme="minorHAnsi" w:cs="Times New Roman"/>
                <w:b/>
                <w:sz w:val="20"/>
                <w:szCs w:val="20"/>
              </w:rPr>
              <w:t>5,027.5</w:t>
            </w:r>
          </w:p>
        </w:tc>
        <w:tc>
          <w:tcPr>
            <w:tcW w:w="1843" w:type="dxa"/>
            <w:tcBorders>
              <w:top w:val="single" w:sz="4" w:space="0" w:color="auto"/>
              <w:bottom w:val="single" w:sz="4" w:space="0" w:color="auto"/>
            </w:tcBorders>
          </w:tcPr>
          <w:p w14:paraId="577C6F64" w14:textId="77777777" w:rsidR="00794AFD" w:rsidRPr="009852A5" w:rsidRDefault="00794AFD" w:rsidP="00794AFD">
            <w:pPr>
              <w:pStyle w:val="NormalWeb"/>
              <w:spacing w:before="0" w:beforeAutospacing="0" w:after="0" w:afterAutospacing="0"/>
              <w:jc w:val="right"/>
              <w:rPr>
                <w:rFonts w:asciiTheme="minorHAnsi" w:hAnsiTheme="minorHAnsi" w:cs="Times New Roman"/>
                <w:sz w:val="20"/>
                <w:szCs w:val="20"/>
              </w:rPr>
            </w:pPr>
            <w:r w:rsidRPr="009852A5">
              <w:rPr>
                <w:rFonts w:asciiTheme="minorHAnsi" w:hAnsiTheme="minorHAnsi" w:cs="Times New Roman"/>
                <w:sz w:val="20"/>
                <w:szCs w:val="20"/>
              </w:rPr>
              <w:t>4,795.1</w:t>
            </w:r>
          </w:p>
        </w:tc>
      </w:tr>
    </w:tbl>
    <w:p w14:paraId="776EB336" w14:textId="77777777" w:rsidR="00794AFD" w:rsidRPr="00FC3D06" w:rsidRDefault="00794AFD" w:rsidP="00794AFD">
      <w:pPr>
        <w:pStyle w:val="BodyText"/>
        <w:rPr>
          <w:rFonts w:asciiTheme="minorHAnsi" w:hAnsiTheme="minorHAnsi" w:cs="Times New Roman"/>
          <w:b/>
          <w:sz w:val="20"/>
          <w:szCs w:val="20"/>
        </w:rPr>
      </w:pPr>
    </w:p>
    <w:p w14:paraId="6CDE0AD0" w14:textId="77777777" w:rsidR="00794AFD" w:rsidRPr="00FC3D06" w:rsidRDefault="00794AFD" w:rsidP="00794AFD">
      <w:pPr>
        <w:widowControl/>
        <w:autoSpaceDE/>
        <w:autoSpaceDN/>
        <w:adjustRightInd/>
        <w:rPr>
          <w:rFonts w:asciiTheme="minorHAnsi" w:hAnsiTheme="minorHAnsi" w:cs="Times New Roman"/>
          <w:b/>
          <w:sz w:val="20"/>
          <w:szCs w:val="20"/>
        </w:rPr>
      </w:pPr>
      <w:r w:rsidRPr="00FC3D06">
        <w:rPr>
          <w:rFonts w:asciiTheme="minorHAnsi" w:hAnsiTheme="minorHAnsi" w:cs="Times New Roman"/>
          <w:b/>
          <w:sz w:val="20"/>
          <w:szCs w:val="20"/>
        </w:rPr>
        <w:br w:type="page"/>
      </w:r>
    </w:p>
    <w:p w14:paraId="1D51B27E" w14:textId="77777777" w:rsidR="00794AFD" w:rsidRPr="001C5950" w:rsidRDefault="00794AFD" w:rsidP="00794AFD">
      <w:pPr>
        <w:rPr>
          <w:rFonts w:asciiTheme="minorHAnsi" w:hAnsiTheme="minorHAnsi" w:cs="Times New Roman"/>
          <w:b/>
          <w:bCs/>
          <w:sz w:val="20"/>
          <w:szCs w:val="20"/>
        </w:rPr>
      </w:pPr>
      <w:r w:rsidRPr="001C5950">
        <w:rPr>
          <w:rFonts w:asciiTheme="minorHAnsi" w:hAnsiTheme="minorHAnsi" w:cs="Times New Roman"/>
          <w:b/>
          <w:bCs/>
          <w:sz w:val="20"/>
          <w:szCs w:val="20"/>
        </w:rPr>
        <w:lastRenderedPageBreak/>
        <w:t>4.  Separately disclosed items</w:t>
      </w:r>
    </w:p>
    <w:p w14:paraId="62395906" w14:textId="77777777" w:rsidR="00794AFD" w:rsidRPr="001C5950" w:rsidRDefault="00794AFD" w:rsidP="00794AFD">
      <w:pPr>
        <w:jc w:val="both"/>
        <w:rPr>
          <w:rFonts w:asciiTheme="minorHAnsi" w:hAnsiTheme="minorHAnsi" w:cs="Times New Roman"/>
          <w:b/>
          <w:sz w:val="12"/>
          <w:szCs w:val="12"/>
        </w:rPr>
      </w:pPr>
    </w:p>
    <w:tbl>
      <w:tblPr>
        <w:tblW w:w="8681" w:type="dxa"/>
        <w:tblInd w:w="108" w:type="dxa"/>
        <w:tblLayout w:type="fixed"/>
        <w:tblLook w:val="0000" w:firstRow="0" w:lastRow="0" w:firstColumn="0" w:lastColumn="0" w:noHBand="0" w:noVBand="0"/>
      </w:tblPr>
      <w:tblGrid>
        <w:gridCol w:w="5704"/>
        <w:gridCol w:w="1559"/>
        <w:gridCol w:w="1418"/>
      </w:tblGrid>
      <w:tr w:rsidR="00794AFD" w:rsidRPr="001C5950" w14:paraId="49A518E2" w14:textId="77777777" w:rsidTr="00794AFD">
        <w:tc>
          <w:tcPr>
            <w:tcW w:w="5704" w:type="dxa"/>
            <w:tcBorders>
              <w:top w:val="single" w:sz="4" w:space="0" w:color="auto"/>
              <w:left w:val="nil"/>
              <w:bottom w:val="nil"/>
            </w:tcBorders>
          </w:tcPr>
          <w:p w14:paraId="4D191F6F" w14:textId="77777777" w:rsidR="00794AFD" w:rsidRPr="001C5950" w:rsidRDefault="00794AFD" w:rsidP="00794AFD">
            <w:pPr>
              <w:rPr>
                <w:rFonts w:asciiTheme="minorHAnsi" w:hAnsiTheme="minorHAnsi" w:cs="Times New Roman"/>
                <w:sz w:val="20"/>
                <w:szCs w:val="20"/>
              </w:rPr>
            </w:pPr>
            <w:bookmarkStart w:id="32" w:name="_Hlk441127"/>
          </w:p>
        </w:tc>
        <w:tc>
          <w:tcPr>
            <w:tcW w:w="1559" w:type="dxa"/>
            <w:tcBorders>
              <w:top w:val="single" w:sz="4" w:space="0" w:color="auto"/>
              <w:left w:val="nil"/>
              <w:right w:val="nil"/>
            </w:tcBorders>
          </w:tcPr>
          <w:p w14:paraId="57D7C083" w14:textId="77777777" w:rsidR="00794AFD" w:rsidRPr="001C595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2019</w:t>
            </w:r>
          </w:p>
        </w:tc>
        <w:tc>
          <w:tcPr>
            <w:tcW w:w="1418" w:type="dxa"/>
            <w:tcBorders>
              <w:top w:val="single" w:sz="4" w:space="0" w:color="auto"/>
              <w:left w:val="nil"/>
            </w:tcBorders>
          </w:tcPr>
          <w:p w14:paraId="0B013D9B" w14:textId="77777777" w:rsidR="00794AFD" w:rsidRPr="001C5950" w:rsidRDefault="00794AFD" w:rsidP="00794AFD">
            <w:pPr>
              <w:jc w:val="right"/>
              <w:rPr>
                <w:rFonts w:asciiTheme="minorHAnsi" w:hAnsiTheme="minorHAnsi" w:cs="Times New Roman"/>
                <w:bCs/>
                <w:sz w:val="20"/>
                <w:szCs w:val="20"/>
              </w:rPr>
            </w:pPr>
            <w:r>
              <w:rPr>
                <w:rFonts w:asciiTheme="minorHAnsi" w:hAnsiTheme="minorHAnsi" w:cs="Times New Roman"/>
                <w:bCs/>
                <w:sz w:val="20"/>
                <w:szCs w:val="20"/>
              </w:rPr>
              <w:t>2018</w:t>
            </w:r>
          </w:p>
        </w:tc>
      </w:tr>
      <w:tr w:rsidR="00794AFD" w:rsidRPr="001C5950" w14:paraId="7B7E5620" w14:textId="77777777" w:rsidTr="00794AFD">
        <w:tc>
          <w:tcPr>
            <w:tcW w:w="5704" w:type="dxa"/>
            <w:tcBorders>
              <w:left w:val="nil"/>
              <w:bottom w:val="single" w:sz="4" w:space="0" w:color="auto"/>
            </w:tcBorders>
          </w:tcPr>
          <w:p w14:paraId="5DB86B12" w14:textId="77777777" w:rsidR="00794AFD" w:rsidRPr="001C5950" w:rsidRDefault="00794AFD" w:rsidP="00794AFD">
            <w:pPr>
              <w:rPr>
                <w:rFonts w:asciiTheme="minorHAnsi" w:hAnsiTheme="minorHAnsi" w:cs="Times New Roman"/>
                <w:sz w:val="20"/>
                <w:szCs w:val="20"/>
              </w:rPr>
            </w:pPr>
          </w:p>
        </w:tc>
        <w:tc>
          <w:tcPr>
            <w:tcW w:w="1559" w:type="dxa"/>
            <w:tcBorders>
              <w:left w:val="nil"/>
              <w:bottom w:val="single" w:sz="4" w:space="0" w:color="auto"/>
              <w:right w:val="nil"/>
            </w:tcBorders>
          </w:tcPr>
          <w:p w14:paraId="06F06AA2"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£m</w:t>
            </w:r>
          </w:p>
        </w:tc>
        <w:tc>
          <w:tcPr>
            <w:tcW w:w="1418" w:type="dxa"/>
            <w:tcBorders>
              <w:left w:val="nil"/>
              <w:bottom w:val="single" w:sz="4" w:space="0" w:color="auto"/>
            </w:tcBorders>
          </w:tcPr>
          <w:p w14:paraId="50377B34"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£m</w:t>
            </w:r>
          </w:p>
        </w:tc>
      </w:tr>
      <w:bookmarkEnd w:id="32"/>
      <w:tr w:rsidR="00794AFD" w:rsidRPr="001C5950" w14:paraId="53AEA71B" w14:textId="77777777" w:rsidTr="00794AFD">
        <w:tc>
          <w:tcPr>
            <w:tcW w:w="5704" w:type="dxa"/>
            <w:tcBorders>
              <w:top w:val="single" w:sz="4" w:space="0" w:color="auto"/>
              <w:left w:val="nil"/>
            </w:tcBorders>
          </w:tcPr>
          <w:p w14:paraId="38BAFA78"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sz w:val="20"/>
              </w:rPr>
              <w:t>Amortisation of acquisition related intangible assets</w:t>
            </w:r>
          </w:p>
        </w:tc>
        <w:tc>
          <w:tcPr>
            <w:tcW w:w="1559" w:type="dxa"/>
            <w:tcBorders>
              <w:top w:val="single" w:sz="4" w:space="0" w:color="auto"/>
              <w:left w:val="nil"/>
              <w:right w:val="nil"/>
            </w:tcBorders>
          </w:tcPr>
          <w:p w14:paraId="78279659"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(113.1)</w:t>
            </w:r>
          </w:p>
        </w:tc>
        <w:tc>
          <w:tcPr>
            <w:tcW w:w="1418" w:type="dxa"/>
            <w:tcBorders>
              <w:top w:val="single" w:sz="4" w:space="0" w:color="auto"/>
              <w:left w:val="nil"/>
            </w:tcBorders>
          </w:tcPr>
          <w:p w14:paraId="21BFBC7C" w14:textId="77777777" w:rsidR="00794AFD" w:rsidRPr="009852A5" w:rsidRDefault="00794AFD" w:rsidP="00794AFD">
            <w:pPr>
              <w:jc w:val="right"/>
              <w:rPr>
                <w:rFonts w:asciiTheme="minorHAnsi" w:hAnsiTheme="minorHAnsi" w:cs="Times New Roman"/>
                <w:bCs/>
                <w:sz w:val="20"/>
                <w:szCs w:val="20"/>
              </w:rPr>
            </w:pPr>
            <w:r w:rsidRPr="009852A5">
              <w:rPr>
                <w:rFonts w:asciiTheme="minorHAnsi" w:hAnsiTheme="minorHAnsi" w:cs="Times New Roman"/>
                <w:bCs/>
                <w:sz w:val="20"/>
                <w:szCs w:val="20"/>
              </w:rPr>
              <w:t>(100.7)</w:t>
            </w:r>
          </w:p>
        </w:tc>
      </w:tr>
      <w:tr w:rsidR="00794AFD" w:rsidRPr="001C5950" w14:paraId="7F30FD79" w14:textId="77777777" w:rsidTr="00794AFD">
        <w:tc>
          <w:tcPr>
            <w:tcW w:w="5704" w:type="dxa"/>
            <w:tcBorders>
              <w:top w:val="nil"/>
              <w:left w:val="nil"/>
            </w:tcBorders>
          </w:tcPr>
          <w:p w14:paraId="6E4D8A47" w14:textId="77777777" w:rsidR="00794AFD" w:rsidRPr="001C5950" w:rsidRDefault="00794AFD" w:rsidP="00794AFD">
            <w:pPr>
              <w:ind w:left="-108"/>
              <w:rPr>
                <w:rFonts w:asciiTheme="minorHAnsi" w:hAnsiTheme="minorHAnsi"/>
                <w:sz w:val="20"/>
              </w:rPr>
            </w:pPr>
            <w:r>
              <w:rPr>
                <w:rFonts w:asciiTheme="minorHAnsi" w:hAnsiTheme="minorHAnsi"/>
                <w:sz w:val="20"/>
              </w:rPr>
              <w:t>Transaction fees</w:t>
            </w:r>
          </w:p>
        </w:tc>
        <w:tc>
          <w:tcPr>
            <w:tcW w:w="1559" w:type="dxa"/>
            <w:tcBorders>
              <w:top w:val="nil"/>
              <w:left w:val="nil"/>
              <w:right w:val="nil"/>
            </w:tcBorders>
          </w:tcPr>
          <w:p w14:paraId="2FBEACF8" w14:textId="77777777" w:rsidR="00794AFD" w:rsidRPr="00070ED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(17.6)</w:t>
            </w:r>
          </w:p>
        </w:tc>
        <w:tc>
          <w:tcPr>
            <w:tcW w:w="1418" w:type="dxa"/>
            <w:tcBorders>
              <w:top w:val="nil"/>
              <w:left w:val="nil"/>
            </w:tcBorders>
          </w:tcPr>
          <w:p w14:paraId="40FE8494" w14:textId="77777777" w:rsidR="00794AFD" w:rsidRPr="009852A5" w:rsidRDefault="00794AFD" w:rsidP="00794AFD">
            <w:pPr>
              <w:jc w:val="right"/>
              <w:rPr>
                <w:rFonts w:asciiTheme="minorHAnsi" w:hAnsiTheme="minorHAnsi" w:cs="Times New Roman"/>
                <w:bCs/>
                <w:sz w:val="20"/>
                <w:szCs w:val="20"/>
              </w:rPr>
            </w:pPr>
            <w:r>
              <w:rPr>
                <w:rFonts w:asciiTheme="minorHAnsi" w:hAnsiTheme="minorHAnsi" w:cs="Times New Roman"/>
                <w:bCs/>
                <w:sz w:val="20"/>
                <w:szCs w:val="20"/>
              </w:rPr>
              <w:t>-</w:t>
            </w:r>
          </w:p>
        </w:tc>
      </w:tr>
      <w:tr w:rsidR="00794AFD" w:rsidRPr="001C5950" w14:paraId="0968875C" w14:textId="77777777" w:rsidTr="00794AFD">
        <w:tc>
          <w:tcPr>
            <w:tcW w:w="5704" w:type="dxa"/>
            <w:tcBorders>
              <w:top w:val="nil"/>
              <w:left w:val="nil"/>
            </w:tcBorders>
          </w:tcPr>
          <w:p w14:paraId="157917C0"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sz w:val="20"/>
              </w:rPr>
              <w:t>Impairment of goodwill and intangible assets</w:t>
            </w:r>
          </w:p>
        </w:tc>
        <w:tc>
          <w:tcPr>
            <w:tcW w:w="1559" w:type="dxa"/>
            <w:tcBorders>
              <w:top w:val="nil"/>
              <w:left w:val="nil"/>
              <w:right w:val="nil"/>
            </w:tcBorders>
          </w:tcPr>
          <w:p w14:paraId="6190DFEA"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w:t>
            </w:r>
          </w:p>
        </w:tc>
        <w:tc>
          <w:tcPr>
            <w:tcW w:w="1418" w:type="dxa"/>
            <w:tcBorders>
              <w:top w:val="nil"/>
              <w:left w:val="nil"/>
            </w:tcBorders>
          </w:tcPr>
          <w:p w14:paraId="0DEAF292" w14:textId="77777777" w:rsidR="00794AFD" w:rsidRPr="009852A5" w:rsidRDefault="00794AFD" w:rsidP="00794AFD">
            <w:pPr>
              <w:jc w:val="right"/>
              <w:rPr>
                <w:rFonts w:asciiTheme="minorHAnsi" w:hAnsiTheme="minorHAnsi" w:cs="Times New Roman"/>
                <w:bCs/>
                <w:sz w:val="20"/>
                <w:szCs w:val="20"/>
              </w:rPr>
            </w:pPr>
            <w:r w:rsidRPr="009852A5">
              <w:rPr>
                <w:rFonts w:asciiTheme="minorHAnsi" w:hAnsiTheme="minorHAnsi" w:cs="Times New Roman"/>
                <w:bCs/>
                <w:sz w:val="20"/>
                <w:szCs w:val="20"/>
              </w:rPr>
              <w:t>(27.2)</w:t>
            </w:r>
          </w:p>
        </w:tc>
      </w:tr>
      <w:tr w:rsidR="00794AFD" w:rsidRPr="001C5950" w14:paraId="5A2DFA01" w14:textId="77777777" w:rsidTr="00794AFD">
        <w:tc>
          <w:tcPr>
            <w:tcW w:w="5704" w:type="dxa"/>
            <w:tcBorders>
              <w:top w:val="nil"/>
              <w:left w:val="nil"/>
            </w:tcBorders>
          </w:tcPr>
          <w:p w14:paraId="0A1D905E"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Gain on contingent consideration</w:t>
            </w:r>
          </w:p>
        </w:tc>
        <w:tc>
          <w:tcPr>
            <w:tcW w:w="1559" w:type="dxa"/>
            <w:tcBorders>
              <w:top w:val="nil"/>
              <w:left w:val="nil"/>
              <w:right w:val="nil"/>
            </w:tcBorders>
          </w:tcPr>
          <w:p w14:paraId="2B38259D"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w:t>
            </w:r>
          </w:p>
        </w:tc>
        <w:tc>
          <w:tcPr>
            <w:tcW w:w="1418" w:type="dxa"/>
            <w:tcBorders>
              <w:top w:val="nil"/>
              <w:left w:val="nil"/>
            </w:tcBorders>
          </w:tcPr>
          <w:p w14:paraId="2407CC1B" w14:textId="77777777" w:rsidR="00794AFD" w:rsidRPr="009852A5" w:rsidRDefault="00794AFD" w:rsidP="00794AFD">
            <w:pPr>
              <w:jc w:val="right"/>
              <w:rPr>
                <w:rFonts w:asciiTheme="minorHAnsi" w:hAnsiTheme="minorHAnsi" w:cs="Times New Roman"/>
                <w:bCs/>
                <w:sz w:val="20"/>
                <w:szCs w:val="20"/>
              </w:rPr>
            </w:pPr>
            <w:r w:rsidRPr="009852A5">
              <w:rPr>
                <w:rFonts w:asciiTheme="minorHAnsi" w:hAnsiTheme="minorHAnsi" w:cs="Times New Roman"/>
                <w:bCs/>
                <w:sz w:val="20"/>
                <w:szCs w:val="20"/>
              </w:rPr>
              <w:t>10.7</w:t>
            </w:r>
          </w:p>
        </w:tc>
      </w:tr>
      <w:tr w:rsidR="00794AFD" w:rsidRPr="001C5950" w14:paraId="3637A196" w14:textId="77777777" w:rsidTr="00794AFD">
        <w:tc>
          <w:tcPr>
            <w:tcW w:w="5704" w:type="dxa"/>
            <w:tcBorders>
              <w:top w:val="nil"/>
              <w:left w:val="nil"/>
            </w:tcBorders>
          </w:tcPr>
          <w:p w14:paraId="30DCDC2B" w14:textId="77777777" w:rsidR="00794AFD" w:rsidRPr="001C5950" w:rsidRDefault="00794AFD" w:rsidP="00794AFD">
            <w:pPr>
              <w:ind w:left="-108"/>
              <w:rPr>
                <w:rFonts w:asciiTheme="minorHAnsi" w:hAnsiTheme="minorHAnsi"/>
                <w:sz w:val="20"/>
              </w:rPr>
            </w:pPr>
            <w:r w:rsidRPr="001C5950">
              <w:rPr>
                <w:rFonts w:asciiTheme="minorHAnsi" w:hAnsiTheme="minorHAnsi" w:cs="Times New Roman"/>
                <w:sz w:val="20"/>
                <w:szCs w:val="20"/>
              </w:rPr>
              <w:t>Restructuring and strategic initiatives</w:t>
            </w:r>
          </w:p>
        </w:tc>
        <w:tc>
          <w:tcPr>
            <w:tcW w:w="1559" w:type="dxa"/>
            <w:tcBorders>
              <w:top w:val="nil"/>
              <w:left w:val="nil"/>
              <w:right w:val="nil"/>
            </w:tcBorders>
          </w:tcPr>
          <w:p w14:paraId="23F7355D" w14:textId="77777777" w:rsidR="00794AFD" w:rsidRPr="00070ED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w:t>
            </w:r>
          </w:p>
        </w:tc>
        <w:tc>
          <w:tcPr>
            <w:tcW w:w="1418" w:type="dxa"/>
            <w:tcBorders>
              <w:top w:val="nil"/>
              <w:left w:val="nil"/>
            </w:tcBorders>
          </w:tcPr>
          <w:p w14:paraId="5DC6FF29" w14:textId="77777777" w:rsidR="00794AFD" w:rsidRPr="009852A5" w:rsidRDefault="00794AFD" w:rsidP="00794AFD">
            <w:pPr>
              <w:jc w:val="right"/>
              <w:rPr>
                <w:rFonts w:asciiTheme="minorHAnsi" w:hAnsiTheme="minorHAnsi" w:cs="Times New Roman"/>
                <w:bCs/>
                <w:sz w:val="20"/>
                <w:szCs w:val="20"/>
              </w:rPr>
            </w:pPr>
            <w:r w:rsidRPr="009852A5">
              <w:rPr>
                <w:rFonts w:asciiTheme="minorHAnsi" w:hAnsiTheme="minorHAnsi" w:cs="Times New Roman"/>
                <w:bCs/>
                <w:sz w:val="20"/>
                <w:szCs w:val="20"/>
              </w:rPr>
              <w:t>(28.0)</w:t>
            </w:r>
          </w:p>
        </w:tc>
      </w:tr>
      <w:tr w:rsidR="00794AFD" w:rsidRPr="001C5950" w14:paraId="6E104E97" w14:textId="77777777" w:rsidTr="00794AFD">
        <w:tc>
          <w:tcPr>
            <w:tcW w:w="5704" w:type="dxa"/>
            <w:tcBorders>
              <w:top w:val="nil"/>
              <w:left w:val="nil"/>
            </w:tcBorders>
          </w:tcPr>
          <w:p w14:paraId="0F3EBB3B"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Profit on disposal of investment</w:t>
            </w:r>
          </w:p>
        </w:tc>
        <w:tc>
          <w:tcPr>
            <w:tcW w:w="1559" w:type="dxa"/>
            <w:tcBorders>
              <w:top w:val="nil"/>
              <w:left w:val="nil"/>
              <w:right w:val="nil"/>
            </w:tcBorders>
          </w:tcPr>
          <w:p w14:paraId="74A181B3"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w:t>
            </w:r>
          </w:p>
        </w:tc>
        <w:tc>
          <w:tcPr>
            <w:tcW w:w="1418" w:type="dxa"/>
            <w:tcBorders>
              <w:top w:val="nil"/>
              <w:left w:val="nil"/>
            </w:tcBorders>
          </w:tcPr>
          <w:p w14:paraId="72F9A3DD" w14:textId="77777777" w:rsidR="00794AFD" w:rsidRPr="009852A5" w:rsidRDefault="00794AFD" w:rsidP="00794AFD">
            <w:pPr>
              <w:jc w:val="right"/>
              <w:rPr>
                <w:rFonts w:asciiTheme="minorHAnsi" w:hAnsiTheme="minorHAnsi" w:cs="Times New Roman"/>
                <w:bCs/>
                <w:sz w:val="20"/>
                <w:szCs w:val="20"/>
              </w:rPr>
            </w:pPr>
            <w:r w:rsidRPr="009852A5">
              <w:rPr>
                <w:rFonts w:asciiTheme="minorHAnsi" w:hAnsiTheme="minorHAnsi" w:cs="Times New Roman"/>
                <w:bCs/>
                <w:sz w:val="20"/>
                <w:szCs w:val="20"/>
              </w:rPr>
              <w:t>7.0</w:t>
            </w:r>
          </w:p>
        </w:tc>
      </w:tr>
      <w:tr w:rsidR="00794AFD" w:rsidRPr="001C5950" w14:paraId="43F4CFE6" w14:textId="77777777" w:rsidTr="00794AFD">
        <w:tc>
          <w:tcPr>
            <w:tcW w:w="5704" w:type="dxa"/>
            <w:tcBorders>
              <w:top w:val="single" w:sz="4" w:space="0" w:color="auto"/>
              <w:left w:val="nil"/>
              <w:bottom w:val="single" w:sz="4" w:space="0" w:color="auto"/>
            </w:tcBorders>
          </w:tcPr>
          <w:p w14:paraId="02A3FA0F"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 xml:space="preserve">Operating profit impact of </w:t>
            </w:r>
            <w:r w:rsidRPr="001C5950">
              <w:rPr>
                <w:rFonts w:asciiTheme="minorHAnsi" w:hAnsiTheme="minorHAnsi"/>
                <w:sz w:val="20"/>
              </w:rPr>
              <w:t xml:space="preserve">separately disclosed items </w:t>
            </w:r>
            <w:r w:rsidRPr="001C5950">
              <w:rPr>
                <w:rFonts w:asciiTheme="minorHAnsi" w:hAnsiTheme="minorHAnsi" w:cs="Times New Roman"/>
                <w:sz w:val="20"/>
                <w:szCs w:val="20"/>
              </w:rPr>
              <w:t xml:space="preserve"> </w:t>
            </w:r>
          </w:p>
        </w:tc>
        <w:tc>
          <w:tcPr>
            <w:tcW w:w="1559" w:type="dxa"/>
            <w:tcBorders>
              <w:top w:val="single" w:sz="4" w:space="0" w:color="auto"/>
              <w:left w:val="nil"/>
              <w:bottom w:val="single" w:sz="4" w:space="0" w:color="auto"/>
              <w:right w:val="nil"/>
            </w:tcBorders>
          </w:tcPr>
          <w:p w14:paraId="67BCC705"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(130.7)</w:t>
            </w:r>
          </w:p>
        </w:tc>
        <w:tc>
          <w:tcPr>
            <w:tcW w:w="1418" w:type="dxa"/>
            <w:tcBorders>
              <w:top w:val="single" w:sz="4" w:space="0" w:color="auto"/>
              <w:left w:val="nil"/>
              <w:bottom w:val="single" w:sz="4" w:space="0" w:color="auto"/>
            </w:tcBorders>
          </w:tcPr>
          <w:p w14:paraId="502C0626" w14:textId="77777777" w:rsidR="00794AFD" w:rsidRPr="009852A5" w:rsidRDefault="00794AFD" w:rsidP="00794AFD">
            <w:pPr>
              <w:jc w:val="right"/>
              <w:rPr>
                <w:rFonts w:asciiTheme="minorHAnsi" w:hAnsiTheme="minorHAnsi" w:cs="Times New Roman"/>
                <w:bCs/>
                <w:sz w:val="20"/>
                <w:szCs w:val="20"/>
              </w:rPr>
            </w:pPr>
            <w:r w:rsidRPr="009852A5">
              <w:rPr>
                <w:rFonts w:asciiTheme="minorHAnsi" w:hAnsiTheme="minorHAnsi" w:cs="Times New Roman"/>
                <w:bCs/>
                <w:sz w:val="20"/>
                <w:szCs w:val="20"/>
              </w:rPr>
              <w:t>(138.2)</w:t>
            </w:r>
          </w:p>
        </w:tc>
      </w:tr>
      <w:tr w:rsidR="00794AFD" w:rsidRPr="001C5950" w14:paraId="418B1DFF" w14:textId="77777777" w:rsidTr="00794AFD">
        <w:tc>
          <w:tcPr>
            <w:tcW w:w="5704" w:type="dxa"/>
            <w:tcBorders>
              <w:top w:val="single" w:sz="4" w:space="0" w:color="auto"/>
              <w:left w:val="nil"/>
            </w:tcBorders>
          </w:tcPr>
          <w:p w14:paraId="21D87A35"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 xml:space="preserve">Tax credit on </w:t>
            </w:r>
            <w:r w:rsidRPr="001C5950">
              <w:rPr>
                <w:rFonts w:asciiTheme="minorHAnsi" w:hAnsiTheme="minorHAnsi"/>
                <w:sz w:val="20"/>
              </w:rPr>
              <w:t>separately disclosed items</w:t>
            </w:r>
          </w:p>
        </w:tc>
        <w:tc>
          <w:tcPr>
            <w:tcW w:w="1559" w:type="dxa"/>
            <w:tcBorders>
              <w:top w:val="single" w:sz="4" w:space="0" w:color="auto"/>
              <w:left w:val="nil"/>
              <w:right w:val="nil"/>
            </w:tcBorders>
          </w:tcPr>
          <w:p w14:paraId="08D4F9F5"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18.6</w:t>
            </w:r>
          </w:p>
        </w:tc>
        <w:tc>
          <w:tcPr>
            <w:tcW w:w="1418" w:type="dxa"/>
            <w:tcBorders>
              <w:top w:val="single" w:sz="4" w:space="0" w:color="auto"/>
              <w:left w:val="nil"/>
            </w:tcBorders>
          </w:tcPr>
          <w:p w14:paraId="6D85D00B" w14:textId="77777777" w:rsidR="00794AFD" w:rsidRPr="009852A5" w:rsidRDefault="00794AFD" w:rsidP="00794AFD">
            <w:pPr>
              <w:jc w:val="right"/>
              <w:rPr>
                <w:rFonts w:asciiTheme="minorHAnsi" w:hAnsiTheme="minorHAnsi" w:cs="Times New Roman"/>
                <w:bCs/>
                <w:sz w:val="20"/>
                <w:szCs w:val="20"/>
              </w:rPr>
            </w:pPr>
            <w:r w:rsidRPr="009852A5">
              <w:rPr>
                <w:rFonts w:asciiTheme="minorHAnsi" w:hAnsiTheme="minorHAnsi" w:cs="Times New Roman"/>
                <w:bCs/>
                <w:sz w:val="20"/>
                <w:szCs w:val="20"/>
              </w:rPr>
              <w:t>15.1</w:t>
            </w:r>
          </w:p>
        </w:tc>
      </w:tr>
      <w:tr w:rsidR="00794AFD" w:rsidRPr="001C5950" w14:paraId="70BA5725" w14:textId="77777777" w:rsidTr="00794AFD">
        <w:tc>
          <w:tcPr>
            <w:tcW w:w="5704" w:type="dxa"/>
            <w:tcBorders>
              <w:top w:val="single" w:sz="4" w:space="0" w:color="auto"/>
              <w:left w:val="nil"/>
              <w:bottom w:val="single" w:sz="4" w:space="0" w:color="auto"/>
            </w:tcBorders>
          </w:tcPr>
          <w:p w14:paraId="110A9DFA"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 xml:space="preserve">Total </w:t>
            </w:r>
            <w:r w:rsidRPr="001C5950">
              <w:rPr>
                <w:rFonts w:asciiTheme="minorHAnsi" w:hAnsiTheme="minorHAnsi"/>
                <w:sz w:val="20"/>
              </w:rPr>
              <w:t>separately disclosed items</w:t>
            </w:r>
            <w:r w:rsidRPr="001C5950">
              <w:rPr>
                <w:rFonts w:asciiTheme="minorHAnsi" w:hAnsiTheme="minorHAnsi" w:cs="Times New Roman"/>
                <w:sz w:val="20"/>
                <w:szCs w:val="20"/>
              </w:rPr>
              <w:t xml:space="preserve"> </w:t>
            </w:r>
          </w:p>
        </w:tc>
        <w:tc>
          <w:tcPr>
            <w:tcW w:w="1559" w:type="dxa"/>
            <w:tcBorders>
              <w:top w:val="single" w:sz="4" w:space="0" w:color="auto"/>
              <w:left w:val="nil"/>
              <w:bottom w:val="single" w:sz="4" w:space="0" w:color="auto"/>
              <w:right w:val="nil"/>
            </w:tcBorders>
          </w:tcPr>
          <w:p w14:paraId="5F5B273B"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(112.1)</w:t>
            </w:r>
          </w:p>
        </w:tc>
        <w:tc>
          <w:tcPr>
            <w:tcW w:w="1418" w:type="dxa"/>
            <w:tcBorders>
              <w:top w:val="single" w:sz="4" w:space="0" w:color="auto"/>
              <w:left w:val="nil"/>
              <w:bottom w:val="single" w:sz="4" w:space="0" w:color="auto"/>
            </w:tcBorders>
          </w:tcPr>
          <w:p w14:paraId="46FCF11A" w14:textId="77777777" w:rsidR="00794AFD" w:rsidRPr="009852A5" w:rsidRDefault="00794AFD" w:rsidP="00794AFD">
            <w:pPr>
              <w:jc w:val="right"/>
              <w:rPr>
                <w:rFonts w:asciiTheme="minorHAnsi" w:hAnsiTheme="minorHAnsi" w:cs="Times New Roman"/>
                <w:bCs/>
                <w:sz w:val="20"/>
                <w:szCs w:val="20"/>
              </w:rPr>
            </w:pPr>
            <w:r w:rsidRPr="009852A5">
              <w:rPr>
                <w:rFonts w:asciiTheme="minorHAnsi" w:hAnsiTheme="minorHAnsi" w:cs="Times New Roman"/>
                <w:bCs/>
                <w:sz w:val="20"/>
                <w:szCs w:val="20"/>
              </w:rPr>
              <w:t>(123.1)</w:t>
            </w:r>
          </w:p>
        </w:tc>
      </w:tr>
    </w:tbl>
    <w:p w14:paraId="37AE2B71" w14:textId="77777777" w:rsidR="00794AFD" w:rsidRPr="001C5950" w:rsidRDefault="00794AFD" w:rsidP="00794AFD">
      <w:pPr>
        <w:rPr>
          <w:rFonts w:asciiTheme="minorHAnsi" w:hAnsiTheme="minorHAnsi" w:cs="Times New Roman"/>
          <w:sz w:val="20"/>
          <w:szCs w:val="20"/>
        </w:rPr>
      </w:pPr>
    </w:p>
    <w:p w14:paraId="2FC5516A" w14:textId="77777777" w:rsidR="00794AFD" w:rsidRPr="001C5950" w:rsidRDefault="00794AFD" w:rsidP="00794AFD">
      <w:pPr>
        <w:rPr>
          <w:rFonts w:asciiTheme="minorHAnsi" w:hAnsiTheme="minorHAnsi"/>
          <w:b/>
          <w:sz w:val="20"/>
          <w:szCs w:val="22"/>
        </w:rPr>
      </w:pPr>
      <w:bookmarkStart w:id="33" w:name="_Hlk441153"/>
      <w:r w:rsidRPr="001C5950">
        <w:rPr>
          <w:rFonts w:asciiTheme="minorHAnsi" w:hAnsiTheme="minorHAnsi"/>
          <w:b/>
          <w:sz w:val="20"/>
          <w:szCs w:val="22"/>
        </w:rPr>
        <w:t>Amortisation of acquisition related intangible assets</w:t>
      </w:r>
    </w:p>
    <w:p w14:paraId="3FD10E4C" w14:textId="77777777" w:rsidR="00794AFD" w:rsidRDefault="00794AFD" w:rsidP="00794AFD">
      <w:pPr>
        <w:pStyle w:val="BodyText"/>
        <w:rPr>
          <w:rFonts w:asciiTheme="minorHAnsi" w:hAnsiTheme="minorHAnsi"/>
          <w:sz w:val="20"/>
          <w:szCs w:val="22"/>
          <w:lang w:val="en-IE"/>
        </w:rPr>
      </w:pPr>
      <w:r w:rsidRPr="00D12367">
        <w:rPr>
          <w:rFonts w:asciiTheme="minorHAnsi" w:hAnsiTheme="minorHAnsi"/>
          <w:sz w:val="20"/>
          <w:szCs w:val="22"/>
          <w:lang w:val="en-IE"/>
        </w:rPr>
        <w:t xml:space="preserve">Non-cash amortisation of </w:t>
      </w:r>
      <w:r w:rsidRPr="00070ED0">
        <w:rPr>
          <w:rFonts w:asciiTheme="minorHAnsi" w:hAnsiTheme="minorHAnsi"/>
          <w:sz w:val="20"/>
          <w:szCs w:val="22"/>
          <w:lang w:val="en-IE"/>
        </w:rPr>
        <w:t>£113.1m</w:t>
      </w:r>
      <w:r w:rsidRPr="00D12367">
        <w:rPr>
          <w:rFonts w:asciiTheme="minorHAnsi" w:hAnsiTheme="minorHAnsi"/>
          <w:sz w:val="20"/>
          <w:szCs w:val="22"/>
          <w:lang w:val="en-IE"/>
        </w:rPr>
        <w:t xml:space="preserve"> has been incurred in the period (2018: £100.7m) </w:t>
      </w:r>
      <w:bookmarkEnd w:id="33"/>
      <w:r w:rsidRPr="00D12367">
        <w:rPr>
          <w:rFonts w:asciiTheme="minorHAnsi" w:hAnsiTheme="minorHAnsi"/>
          <w:sz w:val="20"/>
          <w:szCs w:val="22"/>
          <w:lang w:val="en-IE"/>
        </w:rPr>
        <w:t>as a result of intangible assets separately identified under IFRS 3 as a result of the Merger with Betfair in 2016 and the acquisitions of FanDuel Limited in 2018 and Adjarabet in 2019.</w:t>
      </w:r>
    </w:p>
    <w:p w14:paraId="521E5BB1" w14:textId="77777777" w:rsidR="00794AFD" w:rsidRDefault="00794AFD" w:rsidP="00794AFD">
      <w:pPr>
        <w:pStyle w:val="BodyText"/>
        <w:rPr>
          <w:rFonts w:asciiTheme="minorHAnsi" w:hAnsiTheme="minorHAnsi"/>
          <w:sz w:val="20"/>
          <w:szCs w:val="22"/>
          <w:lang w:val="en-IE"/>
        </w:rPr>
      </w:pPr>
    </w:p>
    <w:p w14:paraId="71B06638" w14:textId="77777777" w:rsidR="00794AFD" w:rsidRPr="00784F67" w:rsidRDefault="00794AFD" w:rsidP="00794AFD">
      <w:pPr>
        <w:pStyle w:val="BodyText"/>
        <w:rPr>
          <w:rFonts w:asciiTheme="minorHAnsi" w:hAnsiTheme="minorHAnsi"/>
          <w:b/>
          <w:sz w:val="20"/>
          <w:szCs w:val="22"/>
          <w:lang w:val="en-IE"/>
        </w:rPr>
      </w:pPr>
      <w:r w:rsidRPr="00784F67">
        <w:rPr>
          <w:rFonts w:asciiTheme="minorHAnsi" w:hAnsiTheme="minorHAnsi"/>
          <w:b/>
          <w:sz w:val="20"/>
          <w:szCs w:val="22"/>
          <w:lang w:val="en-IE"/>
        </w:rPr>
        <w:t>Transaction fees</w:t>
      </w:r>
    </w:p>
    <w:p w14:paraId="174E7924" w14:textId="77777777" w:rsidR="00794AFD" w:rsidRDefault="00794AFD" w:rsidP="00794AFD">
      <w:pPr>
        <w:pStyle w:val="BodyText"/>
        <w:rPr>
          <w:rFonts w:asciiTheme="minorHAnsi" w:hAnsiTheme="minorHAnsi"/>
          <w:sz w:val="20"/>
          <w:szCs w:val="22"/>
          <w:lang w:val="en-IE"/>
        </w:rPr>
      </w:pPr>
      <w:r>
        <w:rPr>
          <w:rFonts w:asciiTheme="minorHAnsi" w:hAnsiTheme="minorHAnsi"/>
          <w:sz w:val="20"/>
          <w:szCs w:val="22"/>
          <w:lang w:val="en-IE"/>
        </w:rPr>
        <w:t xml:space="preserve">In the year ended 31 December 2019, this relates to incremental </w:t>
      </w:r>
      <w:r w:rsidRPr="001C5950">
        <w:rPr>
          <w:rFonts w:asciiTheme="minorHAnsi" w:hAnsiTheme="minorHAnsi"/>
          <w:sz w:val="20"/>
          <w:szCs w:val="22"/>
          <w:lang w:val="en-IE"/>
        </w:rPr>
        <w:t>one-off</w:t>
      </w:r>
      <w:r>
        <w:rPr>
          <w:rFonts w:asciiTheme="minorHAnsi" w:hAnsiTheme="minorHAnsi"/>
          <w:sz w:val="20"/>
          <w:szCs w:val="22"/>
          <w:lang w:val="en-IE"/>
        </w:rPr>
        <w:t xml:space="preserve"> transaction</w:t>
      </w:r>
      <w:r w:rsidRPr="001C5950">
        <w:rPr>
          <w:rFonts w:asciiTheme="minorHAnsi" w:hAnsiTheme="minorHAnsi"/>
          <w:sz w:val="20"/>
          <w:szCs w:val="22"/>
          <w:lang w:val="en-IE"/>
        </w:rPr>
        <w:t xml:space="preserve"> costs </w:t>
      </w:r>
      <w:r>
        <w:rPr>
          <w:rFonts w:asciiTheme="minorHAnsi" w:hAnsiTheme="minorHAnsi"/>
          <w:sz w:val="20"/>
          <w:szCs w:val="22"/>
          <w:lang w:val="en-IE"/>
        </w:rPr>
        <w:t>resulting from the proposed all- share combination with The Stars Group Inc</w:t>
      </w:r>
      <w:r w:rsidRPr="008243EE">
        <w:rPr>
          <w:rFonts w:asciiTheme="minorHAnsi" w:hAnsiTheme="minorHAnsi"/>
          <w:sz w:val="20"/>
          <w:szCs w:val="22"/>
          <w:lang w:val="en-IE"/>
        </w:rPr>
        <w:t xml:space="preserve">.  See Note </w:t>
      </w:r>
      <w:r>
        <w:rPr>
          <w:rFonts w:asciiTheme="minorHAnsi" w:hAnsiTheme="minorHAnsi"/>
          <w:sz w:val="20"/>
          <w:szCs w:val="22"/>
          <w:lang w:val="en-IE"/>
        </w:rPr>
        <w:t>17</w:t>
      </w:r>
      <w:r w:rsidRPr="008243EE">
        <w:rPr>
          <w:rFonts w:asciiTheme="minorHAnsi" w:hAnsiTheme="minorHAnsi"/>
          <w:sz w:val="20"/>
          <w:szCs w:val="22"/>
          <w:lang w:val="en-IE"/>
        </w:rPr>
        <w:t xml:space="preserve"> for further detail</w:t>
      </w:r>
      <w:r w:rsidRPr="00070ED0">
        <w:rPr>
          <w:rFonts w:asciiTheme="minorHAnsi" w:hAnsiTheme="minorHAnsi"/>
          <w:sz w:val="20"/>
          <w:szCs w:val="22"/>
          <w:lang w:val="en-IE"/>
        </w:rPr>
        <w:t xml:space="preserve"> on this combination</w:t>
      </w:r>
      <w:r w:rsidRPr="008243EE">
        <w:rPr>
          <w:rFonts w:asciiTheme="minorHAnsi" w:hAnsiTheme="minorHAnsi"/>
          <w:sz w:val="20"/>
          <w:szCs w:val="22"/>
          <w:lang w:val="en-IE"/>
        </w:rPr>
        <w:t>.</w:t>
      </w:r>
    </w:p>
    <w:p w14:paraId="388A2B3A" w14:textId="77777777" w:rsidR="00794AFD" w:rsidRPr="001C5950" w:rsidRDefault="00794AFD" w:rsidP="00794AFD">
      <w:pPr>
        <w:pStyle w:val="BodyText"/>
        <w:rPr>
          <w:rFonts w:asciiTheme="minorHAnsi" w:hAnsiTheme="minorHAnsi"/>
          <w:sz w:val="20"/>
          <w:szCs w:val="22"/>
          <w:lang w:val="en-IE"/>
        </w:rPr>
      </w:pPr>
    </w:p>
    <w:p w14:paraId="27A91F0C" w14:textId="77777777" w:rsidR="00794AFD" w:rsidRPr="0060543C" w:rsidRDefault="00794AFD" w:rsidP="00794AFD">
      <w:pPr>
        <w:rPr>
          <w:rFonts w:asciiTheme="minorHAnsi" w:hAnsiTheme="minorHAnsi"/>
          <w:b/>
          <w:sz w:val="20"/>
          <w:szCs w:val="22"/>
        </w:rPr>
      </w:pPr>
      <w:bookmarkStart w:id="34" w:name="_Hlk441172"/>
      <w:r w:rsidRPr="0060543C">
        <w:rPr>
          <w:rFonts w:asciiTheme="minorHAnsi" w:hAnsiTheme="minorHAnsi"/>
          <w:b/>
          <w:sz w:val="20"/>
          <w:szCs w:val="22"/>
        </w:rPr>
        <w:t>Impairment of goodwill and intangible assets</w:t>
      </w:r>
    </w:p>
    <w:p w14:paraId="1E18D412" w14:textId="77777777" w:rsidR="00794AFD" w:rsidRPr="001C5950" w:rsidRDefault="00794AFD" w:rsidP="00794AFD">
      <w:pPr>
        <w:pStyle w:val="BodyText"/>
        <w:rPr>
          <w:rFonts w:asciiTheme="minorHAnsi" w:hAnsiTheme="minorHAnsi"/>
          <w:sz w:val="20"/>
          <w:szCs w:val="22"/>
          <w:lang w:val="en-IE"/>
        </w:rPr>
      </w:pPr>
      <w:r w:rsidRPr="0060543C">
        <w:rPr>
          <w:rFonts w:asciiTheme="minorHAnsi" w:hAnsiTheme="minorHAnsi"/>
          <w:sz w:val="20"/>
          <w:szCs w:val="22"/>
          <w:lang w:val="en-IE"/>
        </w:rPr>
        <w:t>During the year ended 31 December 2018, non-cash impairments amounting to £27.2m</w:t>
      </w:r>
      <w:r>
        <w:rPr>
          <w:rFonts w:asciiTheme="minorHAnsi" w:hAnsiTheme="minorHAnsi"/>
          <w:sz w:val="20"/>
          <w:szCs w:val="22"/>
          <w:lang w:val="en-IE"/>
        </w:rPr>
        <w:t>, primarily</w:t>
      </w:r>
      <w:r w:rsidRPr="0060543C">
        <w:rPr>
          <w:rFonts w:asciiTheme="minorHAnsi" w:hAnsiTheme="minorHAnsi"/>
          <w:sz w:val="20"/>
          <w:szCs w:val="22"/>
          <w:lang w:val="en-IE"/>
        </w:rPr>
        <w:t xml:space="preserve"> in relation to goodwill and intangible assets associated with our</w:t>
      </w:r>
      <w:r>
        <w:rPr>
          <w:rFonts w:asciiTheme="minorHAnsi" w:hAnsiTheme="minorHAnsi"/>
          <w:sz w:val="20"/>
          <w:szCs w:val="22"/>
          <w:lang w:val="en-IE"/>
        </w:rPr>
        <w:t xml:space="preserve"> US</w:t>
      </w:r>
      <w:r w:rsidRPr="0060543C">
        <w:rPr>
          <w:rFonts w:asciiTheme="minorHAnsi" w:hAnsiTheme="minorHAnsi"/>
          <w:sz w:val="20"/>
          <w:szCs w:val="22"/>
          <w:lang w:val="en-IE"/>
        </w:rPr>
        <w:t xml:space="preserve"> DRAFT business were incurred </w:t>
      </w:r>
      <w:bookmarkEnd w:id="34"/>
      <w:r w:rsidRPr="0060543C">
        <w:rPr>
          <w:rFonts w:asciiTheme="minorHAnsi" w:hAnsiTheme="minorHAnsi"/>
          <w:sz w:val="20"/>
          <w:szCs w:val="22"/>
          <w:lang w:val="en-IE"/>
        </w:rPr>
        <w:t>(</w:t>
      </w:r>
      <w:r w:rsidRPr="00070ED0">
        <w:rPr>
          <w:rFonts w:asciiTheme="minorHAnsi" w:hAnsiTheme="minorHAnsi"/>
          <w:sz w:val="20"/>
          <w:szCs w:val="22"/>
          <w:lang w:val="en-IE"/>
        </w:rPr>
        <w:t xml:space="preserve">see Note </w:t>
      </w:r>
      <w:r>
        <w:rPr>
          <w:rFonts w:asciiTheme="minorHAnsi" w:hAnsiTheme="minorHAnsi"/>
          <w:sz w:val="20"/>
          <w:szCs w:val="22"/>
          <w:lang w:val="en-IE"/>
        </w:rPr>
        <w:t>7</w:t>
      </w:r>
      <w:r w:rsidRPr="0060543C">
        <w:rPr>
          <w:rFonts w:asciiTheme="minorHAnsi" w:hAnsiTheme="minorHAnsi"/>
          <w:sz w:val="20"/>
          <w:szCs w:val="22"/>
          <w:lang w:val="en-IE"/>
        </w:rPr>
        <w:t xml:space="preserve">). There </w:t>
      </w:r>
      <w:r w:rsidRPr="00070ED0">
        <w:rPr>
          <w:rFonts w:asciiTheme="minorHAnsi" w:hAnsiTheme="minorHAnsi"/>
          <w:sz w:val="20"/>
          <w:szCs w:val="22"/>
          <w:lang w:val="en-IE"/>
        </w:rPr>
        <w:t>were no such impairments in 2019.</w:t>
      </w:r>
    </w:p>
    <w:p w14:paraId="398C7FAB" w14:textId="77777777" w:rsidR="00794AFD" w:rsidRPr="001C5950" w:rsidRDefault="00794AFD" w:rsidP="00794AFD">
      <w:pPr>
        <w:rPr>
          <w:b/>
          <w:sz w:val="20"/>
        </w:rPr>
      </w:pPr>
    </w:p>
    <w:p w14:paraId="5E0AA7C0" w14:textId="77777777" w:rsidR="00794AFD" w:rsidRPr="001C5950" w:rsidRDefault="00794AFD" w:rsidP="00794AFD">
      <w:pPr>
        <w:rPr>
          <w:rFonts w:asciiTheme="minorHAnsi" w:hAnsiTheme="minorHAnsi"/>
          <w:b/>
          <w:sz w:val="20"/>
          <w:szCs w:val="22"/>
        </w:rPr>
      </w:pPr>
      <w:r w:rsidRPr="001C5950">
        <w:rPr>
          <w:rFonts w:asciiTheme="minorHAnsi" w:hAnsiTheme="minorHAnsi"/>
          <w:b/>
          <w:sz w:val="20"/>
          <w:szCs w:val="22"/>
        </w:rPr>
        <w:t>Gain on contingent consideration</w:t>
      </w:r>
    </w:p>
    <w:p w14:paraId="59D2486A" w14:textId="77777777" w:rsidR="00794AFD" w:rsidRPr="009D30BC" w:rsidRDefault="00794AFD" w:rsidP="00794AFD">
      <w:pPr>
        <w:pStyle w:val="BodyText"/>
        <w:rPr>
          <w:rFonts w:asciiTheme="minorHAnsi" w:hAnsiTheme="minorHAnsi"/>
          <w:sz w:val="20"/>
          <w:szCs w:val="22"/>
          <w:lang w:val="en-IE"/>
        </w:rPr>
      </w:pPr>
      <w:r w:rsidRPr="001C5950">
        <w:rPr>
          <w:rFonts w:asciiTheme="minorHAnsi" w:hAnsiTheme="minorHAnsi"/>
          <w:sz w:val="20"/>
          <w:szCs w:val="22"/>
          <w:lang w:val="en-IE"/>
        </w:rPr>
        <w:t xml:space="preserve">The movement in the value of contingent consideration </w:t>
      </w:r>
      <w:r>
        <w:rPr>
          <w:rFonts w:asciiTheme="minorHAnsi" w:hAnsiTheme="minorHAnsi"/>
          <w:sz w:val="20"/>
          <w:szCs w:val="22"/>
          <w:lang w:val="en-IE"/>
        </w:rPr>
        <w:t>during the year ended 31 December 2018</w:t>
      </w:r>
      <w:r w:rsidRPr="001C5950">
        <w:rPr>
          <w:rFonts w:asciiTheme="minorHAnsi" w:hAnsiTheme="minorHAnsi"/>
          <w:sz w:val="20"/>
          <w:szCs w:val="22"/>
          <w:lang w:val="en-IE"/>
        </w:rPr>
        <w:t xml:space="preserve"> relates to the contingent consideration that the Group has deemed is no longer payable arising in respect of the DRAFT acquisition.</w:t>
      </w:r>
      <w:r>
        <w:rPr>
          <w:rFonts w:asciiTheme="minorHAnsi" w:hAnsiTheme="minorHAnsi"/>
          <w:sz w:val="20"/>
          <w:szCs w:val="22"/>
          <w:lang w:val="en-IE"/>
        </w:rPr>
        <w:t xml:space="preserve"> No such item was incurred in 2019.</w:t>
      </w:r>
    </w:p>
    <w:p w14:paraId="7330F846" w14:textId="77777777" w:rsidR="00794AFD" w:rsidRPr="001C5950" w:rsidRDefault="00794AFD" w:rsidP="00794AFD">
      <w:pPr>
        <w:pStyle w:val="BodyText"/>
        <w:rPr>
          <w:rFonts w:asciiTheme="minorHAnsi" w:hAnsiTheme="minorHAnsi"/>
          <w:sz w:val="20"/>
          <w:szCs w:val="22"/>
          <w:lang w:val="en-IE"/>
        </w:rPr>
      </w:pPr>
    </w:p>
    <w:p w14:paraId="38B1999B" w14:textId="77777777" w:rsidR="00794AFD" w:rsidRPr="001C5950" w:rsidRDefault="00794AFD" w:rsidP="00794AFD">
      <w:pPr>
        <w:rPr>
          <w:rFonts w:asciiTheme="minorHAnsi" w:hAnsiTheme="minorHAnsi"/>
          <w:b/>
          <w:sz w:val="20"/>
          <w:szCs w:val="22"/>
        </w:rPr>
      </w:pPr>
      <w:bookmarkStart w:id="35" w:name="_Hlk441186"/>
      <w:r w:rsidRPr="001C5950">
        <w:rPr>
          <w:rFonts w:asciiTheme="minorHAnsi" w:hAnsiTheme="minorHAnsi"/>
          <w:b/>
          <w:sz w:val="20"/>
          <w:szCs w:val="22"/>
        </w:rPr>
        <w:t>Restructuring and strategic initiatives</w:t>
      </w:r>
    </w:p>
    <w:p w14:paraId="105E92AC" w14:textId="77777777" w:rsidR="00794AFD" w:rsidRPr="009D30BC" w:rsidRDefault="00794AFD" w:rsidP="00794AFD">
      <w:pPr>
        <w:pStyle w:val="BodyText"/>
        <w:rPr>
          <w:rFonts w:asciiTheme="minorHAnsi" w:hAnsiTheme="minorHAnsi"/>
          <w:sz w:val="20"/>
          <w:szCs w:val="22"/>
          <w:lang w:val="en-IE"/>
        </w:rPr>
      </w:pPr>
      <w:r w:rsidRPr="008243EE">
        <w:rPr>
          <w:rFonts w:asciiTheme="minorHAnsi" w:hAnsiTheme="minorHAnsi"/>
          <w:sz w:val="20"/>
          <w:szCs w:val="22"/>
          <w:lang w:val="en-IE"/>
        </w:rPr>
        <w:t>The</w:t>
      </w:r>
      <w:r>
        <w:rPr>
          <w:rFonts w:asciiTheme="minorHAnsi" w:hAnsiTheme="minorHAnsi"/>
          <w:sz w:val="20"/>
          <w:szCs w:val="22"/>
          <w:lang w:val="en-IE"/>
        </w:rPr>
        <w:t xml:space="preserve"> costs incurred </w:t>
      </w:r>
      <w:r w:rsidRPr="001C5950">
        <w:rPr>
          <w:rFonts w:asciiTheme="minorHAnsi" w:hAnsiTheme="minorHAnsi"/>
          <w:sz w:val="20"/>
          <w:szCs w:val="22"/>
          <w:lang w:val="en-IE"/>
        </w:rPr>
        <w:t>during the year</w:t>
      </w:r>
      <w:r>
        <w:rPr>
          <w:rFonts w:asciiTheme="minorHAnsi" w:hAnsiTheme="minorHAnsi"/>
          <w:sz w:val="20"/>
          <w:szCs w:val="22"/>
          <w:lang w:val="en-IE"/>
        </w:rPr>
        <w:t xml:space="preserve"> ended 31 December 2018</w:t>
      </w:r>
      <w:r w:rsidRPr="001C5950">
        <w:rPr>
          <w:rFonts w:asciiTheme="minorHAnsi" w:hAnsiTheme="minorHAnsi"/>
          <w:sz w:val="20"/>
          <w:szCs w:val="22"/>
          <w:lang w:val="en-IE"/>
        </w:rPr>
        <w:t xml:space="preserve"> </w:t>
      </w:r>
      <w:bookmarkEnd w:id="35"/>
      <w:r>
        <w:rPr>
          <w:rFonts w:asciiTheme="minorHAnsi" w:hAnsiTheme="minorHAnsi"/>
          <w:sz w:val="20"/>
          <w:szCs w:val="22"/>
          <w:lang w:val="en-IE"/>
        </w:rPr>
        <w:t xml:space="preserve">arose from the combination of Betfair US with FanDuel Limited and </w:t>
      </w:r>
      <w:r w:rsidRPr="009D30BC">
        <w:rPr>
          <w:rFonts w:asciiTheme="minorHAnsi" w:hAnsiTheme="minorHAnsi"/>
          <w:sz w:val="20"/>
          <w:szCs w:val="22"/>
          <w:lang w:val="en-IE"/>
        </w:rPr>
        <w:t xml:space="preserve">significant restructuring and strategic </w:t>
      </w:r>
      <w:r>
        <w:rPr>
          <w:rFonts w:asciiTheme="minorHAnsi" w:hAnsiTheme="minorHAnsi"/>
          <w:sz w:val="20"/>
          <w:szCs w:val="22"/>
          <w:lang w:val="en-IE"/>
        </w:rPr>
        <w:t>changes</w:t>
      </w:r>
      <w:r w:rsidRPr="009D30BC">
        <w:rPr>
          <w:rFonts w:asciiTheme="minorHAnsi" w:hAnsiTheme="minorHAnsi"/>
          <w:sz w:val="20"/>
          <w:szCs w:val="22"/>
          <w:lang w:val="en-IE"/>
        </w:rPr>
        <w:t xml:space="preserve"> </w:t>
      </w:r>
      <w:r>
        <w:rPr>
          <w:rFonts w:asciiTheme="minorHAnsi" w:hAnsiTheme="minorHAnsi"/>
          <w:sz w:val="20"/>
          <w:szCs w:val="22"/>
          <w:lang w:val="en-IE"/>
        </w:rPr>
        <w:t>made following the appointment of a new CEO</w:t>
      </w:r>
      <w:r w:rsidRPr="009D30BC">
        <w:rPr>
          <w:rFonts w:asciiTheme="minorHAnsi" w:hAnsiTheme="minorHAnsi"/>
          <w:sz w:val="20"/>
          <w:szCs w:val="22"/>
          <w:lang w:val="en-IE"/>
        </w:rPr>
        <w:t xml:space="preserve">. </w:t>
      </w:r>
    </w:p>
    <w:p w14:paraId="172D8F47" w14:textId="77777777" w:rsidR="00794AFD" w:rsidRPr="001C5950" w:rsidRDefault="00794AFD" w:rsidP="00794AFD">
      <w:pPr>
        <w:pStyle w:val="BodyText"/>
        <w:rPr>
          <w:rFonts w:asciiTheme="minorHAnsi" w:hAnsiTheme="minorHAnsi"/>
          <w:sz w:val="20"/>
          <w:szCs w:val="22"/>
          <w:lang w:val="en-IE"/>
        </w:rPr>
      </w:pPr>
    </w:p>
    <w:p w14:paraId="49DE5283" w14:textId="77777777" w:rsidR="00794AFD" w:rsidRPr="001C5950" w:rsidRDefault="00794AFD" w:rsidP="00794AFD">
      <w:pPr>
        <w:rPr>
          <w:rFonts w:asciiTheme="minorHAnsi" w:hAnsiTheme="minorHAnsi"/>
          <w:b/>
          <w:sz w:val="20"/>
          <w:szCs w:val="22"/>
        </w:rPr>
      </w:pPr>
      <w:r w:rsidRPr="001C5950">
        <w:rPr>
          <w:rFonts w:asciiTheme="minorHAnsi" w:hAnsiTheme="minorHAnsi"/>
          <w:b/>
          <w:sz w:val="20"/>
          <w:szCs w:val="22"/>
        </w:rPr>
        <w:t>Profit on disposal of investment</w:t>
      </w:r>
    </w:p>
    <w:p w14:paraId="71103C82" w14:textId="77777777" w:rsidR="00794AFD" w:rsidRPr="009D30BC" w:rsidRDefault="00794AFD" w:rsidP="00794AFD">
      <w:pPr>
        <w:rPr>
          <w:rFonts w:asciiTheme="minorHAnsi" w:hAnsiTheme="minorHAnsi"/>
          <w:sz w:val="20"/>
          <w:szCs w:val="22"/>
          <w:lang w:val="en-IE"/>
        </w:rPr>
      </w:pPr>
      <w:r w:rsidRPr="009D30BC">
        <w:rPr>
          <w:rFonts w:asciiTheme="minorHAnsi" w:hAnsiTheme="minorHAnsi"/>
          <w:sz w:val="20"/>
          <w:szCs w:val="22"/>
          <w:lang w:val="en-IE"/>
        </w:rPr>
        <w:t>In February 2018, the Group disposed of its remaining 31.4% non-controlling interest in LMAX Limited for cash consideration amounting to £21.9m to the existing majority LMAX shareholders generating a profit of £7.0m.</w:t>
      </w:r>
    </w:p>
    <w:p w14:paraId="16EE4E07" w14:textId="77777777" w:rsidR="00794AFD" w:rsidRPr="001C5950" w:rsidRDefault="00794AFD" w:rsidP="00794AFD">
      <w:pPr>
        <w:pStyle w:val="BodyText"/>
        <w:rPr>
          <w:rFonts w:asciiTheme="minorHAnsi" w:hAnsiTheme="minorHAnsi"/>
          <w:sz w:val="20"/>
          <w:szCs w:val="22"/>
          <w:lang w:val="en-IE"/>
        </w:rPr>
      </w:pPr>
    </w:p>
    <w:p w14:paraId="4F340D54" w14:textId="77777777" w:rsidR="00794AFD" w:rsidRPr="001C5950" w:rsidRDefault="00794AFD" w:rsidP="00794AFD">
      <w:pPr>
        <w:pStyle w:val="BodyText"/>
        <w:rPr>
          <w:rFonts w:asciiTheme="minorHAnsi" w:hAnsiTheme="minorHAnsi"/>
          <w:sz w:val="20"/>
          <w:szCs w:val="22"/>
          <w:lang w:val="en-IE"/>
        </w:rPr>
      </w:pPr>
      <w:r>
        <w:rPr>
          <w:rFonts w:asciiTheme="minorHAnsi" w:hAnsiTheme="minorHAnsi"/>
          <w:sz w:val="20"/>
          <w:szCs w:val="22"/>
          <w:lang w:val="en-IE"/>
        </w:rPr>
        <w:t xml:space="preserve">Transaction fees and </w:t>
      </w:r>
      <w:r w:rsidRPr="001C5950">
        <w:rPr>
          <w:rFonts w:asciiTheme="minorHAnsi" w:hAnsiTheme="minorHAnsi"/>
          <w:sz w:val="20"/>
          <w:szCs w:val="22"/>
          <w:lang w:val="en-IE"/>
        </w:rPr>
        <w:t>Restructuring and strategic initiatives are included in the consolidated income statement within operating costs excluding depreciation, amortisation and impairment. Amortisation of acquisition related intangible assets is included within depreciation and amortisation and impairment of goodwill and intangible assets is included within impairment. The profit on disposal of investment and gain on contingent consideration are included within financial income.</w:t>
      </w:r>
    </w:p>
    <w:p w14:paraId="1AF01E7E" w14:textId="77777777" w:rsidR="00794AFD" w:rsidRPr="00FC3D06" w:rsidRDefault="00794AFD" w:rsidP="00794AFD">
      <w:pPr>
        <w:pStyle w:val="BodyText"/>
        <w:jc w:val="left"/>
        <w:rPr>
          <w:rFonts w:asciiTheme="minorHAnsi" w:hAnsiTheme="minorHAnsi" w:cs="Times New Roman"/>
          <w:sz w:val="20"/>
          <w:szCs w:val="20"/>
        </w:rPr>
      </w:pPr>
    </w:p>
    <w:p w14:paraId="08CE8C7D" w14:textId="77777777" w:rsidR="00794AFD" w:rsidRPr="00FC3D06" w:rsidRDefault="00794AFD" w:rsidP="00794AFD">
      <w:pPr>
        <w:widowControl/>
        <w:autoSpaceDE/>
        <w:autoSpaceDN/>
        <w:adjustRightInd/>
        <w:rPr>
          <w:rFonts w:asciiTheme="minorHAnsi" w:hAnsiTheme="minorHAnsi" w:cs="Times New Roman"/>
          <w:b/>
          <w:bCs/>
          <w:sz w:val="20"/>
          <w:szCs w:val="20"/>
        </w:rPr>
      </w:pPr>
      <w:r w:rsidRPr="00FC3D06">
        <w:rPr>
          <w:rFonts w:asciiTheme="minorHAnsi" w:hAnsiTheme="minorHAnsi" w:cs="Times New Roman"/>
          <w:b/>
          <w:bCs/>
          <w:sz w:val="20"/>
          <w:szCs w:val="20"/>
        </w:rPr>
        <w:br w:type="page"/>
      </w:r>
    </w:p>
    <w:p w14:paraId="76F03A2D" w14:textId="77777777" w:rsidR="00794AFD" w:rsidRPr="001C5950" w:rsidRDefault="00794AFD" w:rsidP="00794AFD">
      <w:pPr>
        <w:jc w:val="both"/>
        <w:rPr>
          <w:rFonts w:asciiTheme="minorHAnsi" w:hAnsiTheme="minorHAnsi" w:cs="Times New Roman"/>
          <w:b/>
          <w:bCs/>
          <w:sz w:val="20"/>
          <w:szCs w:val="20"/>
        </w:rPr>
      </w:pPr>
      <w:r>
        <w:rPr>
          <w:rFonts w:asciiTheme="minorHAnsi" w:hAnsiTheme="minorHAnsi" w:cs="Times New Roman"/>
          <w:b/>
          <w:bCs/>
          <w:sz w:val="20"/>
          <w:szCs w:val="20"/>
        </w:rPr>
        <w:lastRenderedPageBreak/>
        <w:t>5</w:t>
      </w:r>
      <w:r w:rsidRPr="001C5950">
        <w:rPr>
          <w:rFonts w:asciiTheme="minorHAnsi" w:hAnsiTheme="minorHAnsi" w:cs="Times New Roman"/>
          <w:b/>
          <w:bCs/>
          <w:sz w:val="20"/>
          <w:szCs w:val="20"/>
        </w:rPr>
        <w:t>.  Tax expense</w:t>
      </w:r>
    </w:p>
    <w:p w14:paraId="78F4B4F9" w14:textId="77777777" w:rsidR="00794AFD" w:rsidRPr="001C5950" w:rsidRDefault="00794AFD" w:rsidP="00794AFD">
      <w:pPr>
        <w:jc w:val="both"/>
        <w:rPr>
          <w:rFonts w:asciiTheme="minorHAnsi" w:hAnsiTheme="minorHAnsi" w:cs="Times New Roman"/>
          <w:sz w:val="20"/>
          <w:szCs w:val="20"/>
        </w:rPr>
      </w:pPr>
    </w:p>
    <w:tbl>
      <w:tblPr>
        <w:tblW w:w="8364" w:type="dxa"/>
        <w:tblInd w:w="108" w:type="dxa"/>
        <w:tblLayout w:type="fixed"/>
        <w:tblLook w:val="0000" w:firstRow="0" w:lastRow="0" w:firstColumn="0" w:lastColumn="0" w:noHBand="0" w:noVBand="0"/>
      </w:tblPr>
      <w:tblGrid>
        <w:gridCol w:w="4950"/>
        <w:gridCol w:w="1800"/>
        <w:gridCol w:w="1614"/>
      </w:tblGrid>
      <w:tr w:rsidR="00794AFD" w:rsidRPr="001C5950" w14:paraId="6497FCBA" w14:textId="77777777" w:rsidTr="00794AFD">
        <w:tc>
          <w:tcPr>
            <w:tcW w:w="4950" w:type="dxa"/>
            <w:tcBorders>
              <w:top w:val="single" w:sz="4" w:space="0" w:color="auto"/>
              <w:left w:val="nil"/>
              <w:bottom w:val="single" w:sz="4" w:space="0" w:color="auto"/>
              <w:right w:val="nil"/>
            </w:tcBorders>
          </w:tcPr>
          <w:p w14:paraId="5ECFB28F" w14:textId="77777777" w:rsidR="00794AFD" w:rsidRPr="001C5950" w:rsidRDefault="00794AFD" w:rsidP="00794AFD">
            <w:pPr>
              <w:rPr>
                <w:rFonts w:asciiTheme="minorHAnsi" w:hAnsiTheme="minorHAnsi" w:cs="Times New Roman"/>
                <w:sz w:val="20"/>
                <w:szCs w:val="20"/>
              </w:rPr>
            </w:pPr>
          </w:p>
        </w:tc>
        <w:tc>
          <w:tcPr>
            <w:tcW w:w="1800" w:type="dxa"/>
            <w:tcBorders>
              <w:top w:val="single" w:sz="4" w:space="0" w:color="auto"/>
              <w:left w:val="nil"/>
              <w:bottom w:val="single" w:sz="4" w:space="0" w:color="auto"/>
              <w:right w:val="nil"/>
            </w:tcBorders>
          </w:tcPr>
          <w:p w14:paraId="61020CC3" w14:textId="77777777" w:rsidR="00794AFD" w:rsidRPr="001C5950" w:rsidRDefault="00794AFD" w:rsidP="00794AFD">
            <w:pPr>
              <w:jc w:val="right"/>
              <w:rPr>
                <w:rFonts w:asciiTheme="minorHAnsi" w:hAnsiTheme="minorHAnsi" w:cs="Times New Roman"/>
                <w:b/>
                <w:bCs/>
                <w:sz w:val="20"/>
                <w:szCs w:val="20"/>
              </w:rPr>
            </w:pPr>
          </w:p>
          <w:p w14:paraId="26B07580" w14:textId="77777777" w:rsidR="00794AFD" w:rsidRPr="001C595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2019</w:t>
            </w:r>
          </w:p>
          <w:p w14:paraId="5A986F1D"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£m</w:t>
            </w:r>
          </w:p>
        </w:tc>
        <w:tc>
          <w:tcPr>
            <w:tcW w:w="1614" w:type="dxa"/>
            <w:tcBorders>
              <w:top w:val="single" w:sz="4" w:space="0" w:color="auto"/>
              <w:left w:val="nil"/>
              <w:bottom w:val="single" w:sz="4" w:space="0" w:color="auto"/>
              <w:right w:val="nil"/>
            </w:tcBorders>
          </w:tcPr>
          <w:p w14:paraId="24EB8D8B" w14:textId="77777777" w:rsidR="00794AFD" w:rsidRPr="001C5950" w:rsidRDefault="00794AFD" w:rsidP="00794AFD">
            <w:pPr>
              <w:jc w:val="right"/>
              <w:rPr>
                <w:rFonts w:asciiTheme="minorHAnsi" w:hAnsiTheme="minorHAnsi" w:cs="Times New Roman"/>
                <w:bCs/>
                <w:sz w:val="20"/>
                <w:szCs w:val="20"/>
              </w:rPr>
            </w:pPr>
          </w:p>
          <w:p w14:paraId="7BA1D772" w14:textId="77777777" w:rsidR="00794AFD" w:rsidRPr="001C5950" w:rsidRDefault="00794AFD" w:rsidP="00794AFD">
            <w:pPr>
              <w:jc w:val="right"/>
              <w:rPr>
                <w:rFonts w:asciiTheme="minorHAnsi" w:hAnsiTheme="minorHAnsi" w:cs="Times New Roman"/>
                <w:bCs/>
                <w:sz w:val="20"/>
                <w:szCs w:val="20"/>
              </w:rPr>
            </w:pPr>
            <w:r>
              <w:rPr>
                <w:rFonts w:asciiTheme="minorHAnsi" w:hAnsiTheme="minorHAnsi" w:cs="Times New Roman"/>
                <w:bCs/>
                <w:sz w:val="20"/>
                <w:szCs w:val="20"/>
              </w:rPr>
              <w:t>2018</w:t>
            </w:r>
          </w:p>
          <w:p w14:paraId="0AD33B56"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£m</w:t>
            </w:r>
          </w:p>
        </w:tc>
      </w:tr>
      <w:tr w:rsidR="00794AFD" w:rsidRPr="001C5950" w14:paraId="22590DA4" w14:textId="77777777" w:rsidTr="00794AFD">
        <w:trPr>
          <w:trHeight w:val="162"/>
        </w:trPr>
        <w:tc>
          <w:tcPr>
            <w:tcW w:w="4950" w:type="dxa"/>
            <w:tcBorders>
              <w:top w:val="single" w:sz="4" w:space="0" w:color="auto"/>
              <w:left w:val="nil"/>
              <w:right w:val="nil"/>
            </w:tcBorders>
          </w:tcPr>
          <w:p w14:paraId="35C74509"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b/>
                <w:bCs/>
                <w:sz w:val="20"/>
                <w:szCs w:val="20"/>
              </w:rPr>
              <w:t>Recognised in profit or loss:</w:t>
            </w:r>
          </w:p>
        </w:tc>
        <w:tc>
          <w:tcPr>
            <w:tcW w:w="1800" w:type="dxa"/>
            <w:tcBorders>
              <w:top w:val="single" w:sz="4" w:space="0" w:color="auto"/>
              <w:left w:val="nil"/>
              <w:right w:val="nil"/>
            </w:tcBorders>
          </w:tcPr>
          <w:p w14:paraId="38B03F77" w14:textId="77777777" w:rsidR="00794AFD" w:rsidRPr="00FC3D06" w:rsidRDefault="00794AFD" w:rsidP="00794AFD">
            <w:pPr>
              <w:jc w:val="right"/>
              <w:rPr>
                <w:rFonts w:asciiTheme="minorHAnsi" w:hAnsiTheme="minorHAnsi" w:cs="Times New Roman"/>
                <w:b/>
                <w:bCs/>
                <w:sz w:val="20"/>
                <w:szCs w:val="20"/>
              </w:rPr>
            </w:pPr>
          </w:p>
        </w:tc>
        <w:tc>
          <w:tcPr>
            <w:tcW w:w="1614" w:type="dxa"/>
            <w:tcBorders>
              <w:top w:val="single" w:sz="4" w:space="0" w:color="auto"/>
              <w:left w:val="nil"/>
              <w:right w:val="nil"/>
            </w:tcBorders>
          </w:tcPr>
          <w:p w14:paraId="5C7F7FDC" w14:textId="77777777" w:rsidR="00794AFD" w:rsidRPr="001C5950" w:rsidRDefault="00794AFD" w:rsidP="00794AFD">
            <w:pPr>
              <w:jc w:val="right"/>
              <w:rPr>
                <w:rFonts w:asciiTheme="minorHAnsi" w:hAnsiTheme="minorHAnsi" w:cs="Times New Roman"/>
                <w:bCs/>
                <w:sz w:val="20"/>
                <w:szCs w:val="20"/>
              </w:rPr>
            </w:pPr>
          </w:p>
        </w:tc>
      </w:tr>
      <w:tr w:rsidR="00794AFD" w:rsidRPr="006D5A57" w14:paraId="4FE5E567" w14:textId="77777777" w:rsidTr="00794AFD">
        <w:trPr>
          <w:trHeight w:val="188"/>
        </w:trPr>
        <w:tc>
          <w:tcPr>
            <w:tcW w:w="4950" w:type="dxa"/>
            <w:tcBorders>
              <w:left w:val="nil"/>
              <w:right w:val="nil"/>
            </w:tcBorders>
          </w:tcPr>
          <w:p w14:paraId="4D6D0393" w14:textId="77777777" w:rsidR="00794AFD" w:rsidRPr="006D5A57" w:rsidRDefault="00794AFD" w:rsidP="00794AFD">
            <w:pPr>
              <w:ind w:left="-108"/>
              <w:rPr>
                <w:rFonts w:asciiTheme="minorHAnsi" w:hAnsiTheme="minorHAnsi" w:cs="Times New Roman"/>
                <w:sz w:val="20"/>
                <w:szCs w:val="20"/>
              </w:rPr>
            </w:pPr>
            <w:r w:rsidRPr="006D5A57">
              <w:rPr>
                <w:rFonts w:asciiTheme="minorHAnsi" w:hAnsiTheme="minorHAnsi" w:cs="Times New Roman"/>
                <w:sz w:val="20"/>
                <w:szCs w:val="20"/>
              </w:rPr>
              <w:t>Current tax charge</w:t>
            </w:r>
          </w:p>
        </w:tc>
        <w:tc>
          <w:tcPr>
            <w:tcW w:w="1800" w:type="dxa"/>
            <w:tcBorders>
              <w:top w:val="nil"/>
              <w:left w:val="nil"/>
              <w:right w:val="nil"/>
            </w:tcBorders>
            <w:shd w:val="clear" w:color="auto" w:fill="auto"/>
          </w:tcPr>
          <w:p w14:paraId="6A2F04AD"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47.7</w:t>
            </w:r>
          </w:p>
        </w:tc>
        <w:tc>
          <w:tcPr>
            <w:tcW w:w="1614" w:type="dxa"/>
            <w:tcBorders>
              <w:top w:val="nil"/>
              <w:left w:val="nil"/>
              <w:right w:val="nil"/>
            </w:tcBorders>
          </w:tcPr>
          <w:p w14:paraId="28D35EBB"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53.7</w:t>
            </w:r>
          </w:p>
        </w:tc>
      </w:tr>
      <w:tr w:rsidR="00794AFD" w:rsidRPr="006D5A57" w14:paraId="63C63FF0" w14:textId="77777777" w:rsidTr="00794AFD">
        <w:tc>
          <w:tcPr>
            <w:tcW w:w="4950" w:type="dxa"/>
            <w:tcBorders>
              <w:left w:val="nil"/>
              <w:bottom w:val="single" w:sz="4" w:space="0" w:color="auto"/>
              <w:right w:val="nil"/>
            </w:tcBorders>
          </w:tcPr>
          <w:p w14:paraId="419E8678" w14:textId="77777777" w:rsidR="00794AFD" w:rsidRPr="006D5A57" w:rsidRDefault="00794AFD" w:rsidP="00794AFD">
            <w:pPr>
              <w:ind w:left="-108"/>
              <w:rPr>
                <w:rFonts w:asciiTheme="minorHAnsi" w:hAnsiTheme="minorHAnsi" w:cs="Times New Roman"/>
                <w:sz w:val="20"/>
                <w:szCs w:val="20"/>
              </w:rPr>
            </w:pPr>
            <w:r w:rsidRPr="006D5A57">
              <w:rPr>
                <w:rFonts w:asciiTheme="minorHAnsi" w:hAnsiTheme="minorHAnsi" w:cs="Times New Roman"/>
                <w:sz w:val="20"/>
                <w:szCs w:val="20"/>
              </w:rPr>
              <w:t>Prior year over provision</w:t>
            </w:r>
          </w:p>
        </w:tc>
        <w:tc>
          <w:tcPr>
            <w:tcW w:w="1800" w:type="dxa"/>
            <w:tcBorders>
              <w:left w:val="nil"/>
              <w:bottom w:val="single" w:sz="4" w:space="0" w:color="auto"/>
              <w:right w:val="nil"/>
            </w:tcBorders>
            <w:shd w:val="clear" w:color="auto" w:fill="auto"/>
          </w:tcPr>
          <w:p w14:paraId="79999291"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(2.5)</w:t>
            </w:r>
          </w:p>
        </w:tc>
        <w:tc>
          <w:tcPr>
            <w:tcW w:w="1614" w:type="dxa"/>
            <w:tcBorders>
              <w:left w:val="nil"/>
              <w:bottom w:val="single" w:sz="4" w:space="0" w:color="auto"/>
              <w:right w:val="nil"/>
            </w:tcBorders>
          </w:tcPr>
          <w:p w14:paraId="1398B0E0"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(4.0)</w:t>
            </w:r>
          </w:p>
        </w:tc>
      </w:tr>
      <w:tr w:rsidR="00794AFD" w:rsidRPr="006D5A57" w14:paraId="21A5AD4A" w14:textId="77777777" w:rsidTr="00794AFD">
        <w:trPr>
          <w:trHeight w:val="120"/>
        </w:trPr>
        <w:tc>
          <w:tcPr>
            <w:tcW w:w="4950" w:type="dxa"/>
            <w:tcBorders>
              <w:top w:val="single" w:sz="4" w:space="0" w:color="auto"/>
              <w:left w:val="nil"/>
              <w:bottom w:val="single" w:sz="4" w:space="0" w:color="auto"/>
              <w:right w:val="nil"/>
            </w:tcBorders>
          </w:tcPr>
          <w:p w14:paraId="478FCDBA" w14:textId="77777777" w:rsidR="00794AFD" w:rsidRPr="006D5A57" w:rsidRDefault="00794AFD" w:rsidP="00794AFD">
            <w:pPr>
              <w:ind w:left="-108"/>
              <w:rPr>
                <w:rFonts w:asciiTheme="minorHAnsi" w:hAnsiTheme="minorHAnsi" w:cs="Times New Roman"/>
                <w:sz w:val="20"/>
                <w:szCs w:val="20"/>
              </w:rPr>
            </w:pPr>
            <w:r w:rsidRPr="006D5A57">
              <w:rPr>
                <w:rFonts w:asciiTheme="minorHAnsi" w:hAnsiTheme="minorHAnsi" w:cs="Times New Roman"/>
                <w:sz w:val="20"/>
                <w:szCs w:val="20"/>
              </w:rPr>
              <w:t>Total current tax</w:t>
            </w:r>
          </w:p>
        </w:tc>
        <w:tc>
          <w:tcPr>
            <w:tcW w:w="1800" w:type="dxa"/>
            <w:tcBorders>
              <w:top w:val="single" w:sz="4" w:space="0" w:color="auto"/>
              <w:left w:val="nil"/>
              <w:bottom w:val="single" w:sz="4" w:space="0" w:color="auto"/>
              <w:right w:val="nil"/>
            </w:tcBorders>
            <w:shd w:val="clear" w:color="auto" w:fill="auto"/>
          </w:tcPr>
          <w:p w14:paraId="72D435DA"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45.2</w:t>
            </w:r>
          </w:p>
        </w:tc>
        <w:tc>
          <w:tcPr>
            <w:tcW w:w="1614" w:type="dxa"/>
            <w:tcBorders>
              <w:top w:val="single" w:sz="4" w:space="0" w:color="auto"/>
              <w:left w:val="nil"/>
              <w:bottom w:val="single" w:sz="4" w:space="0" w:color="auto"/>
              <w:right w:val="nil"/>
            </w:tcBorders>
          </w:tcPr>
          <w:p w14:paraId="5222F1DE"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49.7</w:t>
            </w:r>
          </w:p>
        </w:tc>
      </w:tr>
      <w:tr w:rsidR="00794AFD" w:rsidRPr="006D5A57" w14:paraId="45CBAB7A" w14:textId="77777777" w:rsidTr="00794AFD">
        <w:trPr>
          <w:trHeight w:val="183"/>
        </w:trPr>
        <w:tc>
          <w:tcPr>
            <w:tcW w:w="4950" w:type="dxa"/>
            <w:tcBorders>
              <w:top w:val="single" w:sz="4" w:space="0" w:color="auto"/>
              <w:left w:val="nil"/>
              <w:right w:val="nil"/>
            </w:tcBorders>
          </w:tcPr>
          <w:p w14:paraId="6BF5A8FA" w14:textId="77777777" w:rsidR="00794AFD" w:rsidRPr="006D5A57" w:rsidRDefault="00794AFD" w:rsidP="00794AFD">
            <w:pPr>
              <w:ind w:left="-108"/>
              <w:rPr>
                <w:rFonts w:asciiTheme="minorHAnsi" w:hAnsiTheme="minorHAnsi" w:cs="Times New Roman"/>
                <w:sz w:val="20"/>
                <w:szCs w:val="20"/>
              </w:rPr>
            </w:pPr>
            <w:r w:rsidRPr="006D5A57">
              <w:rPr>
                <w:rFonts w:asciiTheme="minorHAnsi" w:hAnsiTheme="minorHAnsi" w:cs="Times New Roman"/>
                <w:sz w:val="20"/>
                <w:szCs w:val="20"/>
              </w:rPr>
              <w:t>Deferred tax credit</w:t>
            </w:r>
          </w:p>
        </w:tc>
        <w:tc>
          <w:tcPr>
            <w:tcW w:w="1800" w:type="dxa"/>
            <w:tcBorders>
              <w:top w:val="single" w:sz="4" w:space="0" w:color="auto"/>
              <w:left w:val="nil"/>
              <w:right w:val="nil"/>
            </w:tcBorders>
            <w:shd w:val="clear" w:color="auto" w:fill="auto"/>
          </w:tcPr>
          <w:p w14:paraId="4A606865"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(20.5)</w:t>
            </w:r>
          </w:p>
        </w:tc>
        <w:tc>
          <w:tcPr>
            <w:tcW w:w="1614" w:type="dxa"/>
            <w:tcBorders>
              <w:top w:val="single" w:sz="4" w:space="0" w:color="auto"/>
              <w:left w:val="nil"/>
              <w:right w:val="nil"/>
            </w:tcBorders>
          </w:tcPr>
          <w:p w14:paraId="6F91C1FB"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(12.5)</w:t>
            </w:r>
          </w:p>
        </w:tc>
      </w:tr>
      <w:tr w:rsidR="00794AFD" w:rsidRPr="006D5A57" w14:paraId="327DE418" w14:textId="77777777" w:rsidTr="00794AFD">
        <w:trPr>
          <w:trHeight w:val="161"/>
        </w:trPr>
        <w:tc>
          <w:tcPr>
            <w:tcW w:w="4950" w:type="dxa"/>
            <w:tcBorders>
              <w:left w:val="nil"/>
              <w:bottom w:val="single" w:sz="4" w:space="0" w:color="auto"/>
              <w:right w:val="nil"/>
            </w:tcBorders>
          </w:tcPr>
          <w:p w14:paraId="317E3360" w14:textId="77777777" w:rsidR="00794AFD" w:rsidRPr="006D5A57" w:rsidRDefault="00794AFD" w:rsidP="00794AFD">
            <w:pPr>
              <w:ind w:left="-108"/>
              <w:rPr>
                <w:rFonts w:asciiTheme="minorHAnsi" w:hAnsiTheme="minorHAnsi" w:cs="Times New Roman"/>
                <w:sz w:val="20"/>
                <w:szCs w:val="20"/>
              </w:rPr>
            </w:pPr>
            <w:r w:rsidRPr="006D5A57">
              <w:rPr>
                <w:rFonts w:asciiTheme="minorHAnsi" w:hAnsiTheme="minorHAnsi" w:cs="Times New Roman"/>
                <w:sz w:val="20"/>
                <w:szCs w:val="20"/>
              </w:rPr>
              <w:t>Prior year (under)/over provision</w:t>
            </w:r>
          </w:p>
        </w:tc>
        <w:tc>
          <w:tcPr>
            <w:tcW w:w="1800" w:type="dxa"/>
            <w:tcBorders>
              <w:left w:val="nil"/>
              <w:bottom w:val="single" w:sz="4" w:space="0" w:color="auto"/>
              <w:right w:val="nil"/>
            </w:tcBorders>
            <w:shd w:val="clear" w:color="auto" w:fill="auto"/>
          </w:tcPr>
          <w:p w14:paraId="5185AB5D"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(0.9)</w:t>
            </w:r>
          </w:p>
        </w:tc>
        <w:tc>
          <w:tcPr>
            <w:tcW w:w="1614" w:type="dxa"/>
            <w:tcBorders>
              <w:left w:val="nil"/>
              <w:bottom w:val="single" w:sz="4" w:space="0" w:color="auto"/>
              <w:right w:val="nil"/>
            </w:tcBorders>
          </w:tcPr>
          <w:p w14:paraId="100BDF30"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0.8</w:t>
            </w:r>
          </w:p>
        </w:tc>
      </w:tr>
      <w:tr w:rsidR="00794AFD" w:rsidRPr="006D5A57" w14:paraId="11A2E2EC" w14:textId="77777777" w:rsidTr="00794AFD">
        <w:trPr>
          <w:trHeight w:val="161"/>
        </w:trPr>
        <w:tc>
          <w:tcPr>
            <w:tcW w:w="4950" w:type="dxa"/>
            <w:tcBorders>
              <w:top w:val="single" w:sz="4" w:space="0" w:color="auto"/>
              <w:left w:val="nil"/>
              <w:bottom w:val="single" w:sz="4" w:space="0" w:color="auto"/>
              <w:right w:val="nil"/>
            </w:tcBorders>
          </w:tcPr>
          <w:p w14:paraId="22A43447" w14:textId="77777777" w:rsidR="00794AFD" w:rsidRPr="006D5A57" w:rsidRDefault="00794AFD" w:rsidP="00794AFD">
            <w:pPr>
              <w:ind w:left="-108"/>
              <w:rPr>
                <w:rFonts w:asciiTheme="minorHAnsi" w:hAnsiTheme="minorHAnsi" w:cs="Times New Roman"/>
                <w:sz w:val="20"/>
                <w:szCs w:val="20"/>
              </w:rPr>
            </w:pPr>
            <w:r w:rsidRPr="006D5A57">
              <w:rPr>
                <w:rFonts w:asciiTheme="minorHAnsi" w:hAnsiTheme="minorHAnsi" w:cs="Times New Roman"/>
                <w:sz w:val="20"/>
                <w:szCs w:val="20"/>
              </w:rPr>
              <w:t xml:space="preserve">Decrease in net deferred tax liability </w:t>
            </w:r>
          </w:p>
        </w:tc>
        <w:tc>
          <w:tcPr>
            <w:tcW w:w="1800" w:type="dxa"/>
            <w:tcBorders>
              <w:top w:val="single" w:sz="4" w:space="0" w:color="auto"/>
              <w:left w:val="nil"/>
              <w:bottom w:val="single" w:sz="4" w:space="0" w:color="auto"/>
              <w:right w:val="nil"/>
            </w:tcBorders>
            <w:shd w:val="clear" w:color="auto" w:fill="auto"/>
          </w:tcPr>
          <w:p w14:paraId="10764D2E"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(21.4)</w:t>
            </w:r>
          </w:p>
        </w:tc>
        <w:tc>
          <w:tcPr>
            <w:tcW w:w="1614" w:type="dxa"/>
            <w:tcBorders>
              <w:top w:val="single" w:sz="4" w:space="0" w:color="auto"/>
              <w:left w:val="nil"/>
              <w:bottom w:val="single" w:sz="4" w:space="0" w:color="auto"/>
              <w:right w:val="nil"/>
            </w:tcBorders>
          </w:tcPr>
          <w:p w14:paraId="257B98D5"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(11.7)</w:t>
            </w:r>
          </w:p>
        </w:tc>
      </w:tr>
      <w:tr w:rsidR="00794AFD" w:rsidRPr="006D5A57" w14:paraId="06BF46E7" w14:textId="77777777" w:rsidTr="00794AFD">
        <w:tc>
          <w:tcPr>
            <w:tcW w:w="4950" w:type="dxa"/>
            <w:tcBorders>
              <w:top w:val="single" w:sz="4" w:space="0" w:color="auto"/>
              <w:left w:val="nil"/>
              <w:bottom w:val="single" w:sz="4" w:space="0" w:color="auto"/>
              <w:right w:val="nil"/>
            </w:tcBorders>
          </w:tcPr>
          <w:p w14:paraId="30E82C69" w14:textId="77777777" w:rsidR="00794AFD" w:rsidRPr="006D5A57" w:rsidRDefault="00794AFD" w:rsidP="00794AFD">
            <w:pPr>
              <w:ind w:left="-108"/>
              <w:rPr>
                <w:rFonts w:asciiTheme="minorHAnsi" w:hAnsiTheme="minorHAnsi" w:cs="Times New Roman"/>
                <w:sz w:val="20"/>
                <w:szCs w:val="20"/>
              </w:rPr>
            </w:pPr>
            <w:r w:rsidRPr="006D5A57">
              <w:rPr>
                <w:rFonts w:asciiTheme="minorHAnsi" w:hAnsiTheme="minorHAnsi" w:cs="Times New Roman"/>
                <w:sz w:val="20"/>
                <w:szCs w:val="20"/>
              </w:rPr>
              <w:t>Total tax expense in income statement</w:t>
            </w:r>
          </w:p>
        </w:tc>
        <w:tc>
          <w:tcPr>
            <w:tcW w:w="1800" w:type="dxa"/>
            <w:tcBorders>
              <w:top w:val="single" w:sz="4" w:space="0" w:color="auto"/>
              <w:left w:val="nil"/>
              <w:bottom w:val="single" w:sz="4" w:space="0" w:color="auto"/>
              <w:right w:val="nil"/>
            </w:tcBorders>
            <w:shd w:val="clear" w:color="auto" w:fill="auto"/>
          </w:tcPr>
          <w:p w14:paraId="55FC8638"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23.8</w:t>
            </w:r>
          </w:p>
        </w:tc>
        <w:tc>
          <w:tcPr>
            <w:tcW w:w="1614" w:type="dxa"/>
            <w:tcBorders>
              <w:top w:val="single" w:sz="4" w:space="0" w:color="auto"/>
              <w:left w:val="nil"/>
              <w:bottom w:val="single" w:sz="4" w:space="0" w:color="auto"/>
              <w:right w:val="nil"/>
            </w:tcBorders>
          </w:tcPr>
          <w:p w14:paraId="53B5F686"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38.0</w:t>
            </w:r>
          </w:p>
        </w:tc>
      </w:tr>
    </w:tbl>
    <w:p w14:paraId="730FC5AF" w14:textId="77777777" w:rsidR="00794AFD" w:rsidRPr="006D5A57" w:rsidRDefault="00794AFD" w:rsidP="00794AFD">
      <w:pPr>
        <w:rPr>
          <w:rFonts w:asciiTheme="minorHAnsi" w:hAnsiTheme="minorHAnsi" w:cs="Times New Roman"/>
          <w:sz w:val="20"/>
          <w:szCs w:val="20"/>
        </w:rPr>
      </w:pPr>
    </w:p>
    <w:p w14:paraId="3F1FCC80" w14:textId="77777777" w:rsidR="00794AFD" w:rsidRPr="006D5A57" w:rsidRDefault="00794AFD" w:rsidP="00794AFD">
      <w:pPr>
        <w:rPr>
          <w:rFonts w:asciiTheme="minorHAnsi" w:hAnsiTheme="minorHAnsi" w:cs="Times New Roman"/>
          <w:sz w:val="20"/>
          <w:szCs w:val="20"/>
        </w:rPr>
      </w:pPr>
      <w:r w:rsidRPr="006D5A57">
        <w:rPr>
          <w:rFonts w:asciiTheme="minorHAnsi" w:hAnsiTheme="minorHAnsi" w:cs="Times New Roman"/>
          <w:sz w:val="20"/>
          <w:szCs w:val="20"/>
        </w:rPr>
        <w:t>The difference between the total tax expense shown above and the amount calculated by applying the standard rate of corporation tax to the profit before tax is as follows:</w:t>
      </w:r>
    </w:p>
    <w:p w14:paraId="41F52324" w14:textId="77777777" w:rsidR="00794AFD" w:rsidRPr="006D5A57" w:rsidRDefault="00794AFD" w:rsidP="00794AFD">
      <w:pPr>
        <w:jc w:val="both"/>
        <w:rPr>
          <w:rFonts w:asciiTheme="minorHAnsi" w:hAnsiTheme="minorHAnsi" w:cs="Times New Roman"/>
          <w:sz w:val="20"/>
          <w:szCs w:val="20"/>
        </w:rPr>
      </w:pPr>
    </w:p>
    <w:tbl>
      <w:tblPr>
        <w:tblW w:w="8397" w:type="dxa"/>
        <w:tblInd w:w="108" w:type="dxa"/>
        <w:tblLayout w:type="fixed"/>
        <w:tblLook w:val="0000" w:firstRow="0" w:lastRow="0" w:firstColumn="0" w:lastColumn="0" w:noHBand="0" w:noVBand="0"/>
      </w:tblPr>
      <w:tblGrid>
        <w:gridCol w:w="4854"/>
        <w:gridCol w:w="1842"/>
        <w:gridCol w:w="1701"/>
      </w:tblGrid>
      <w:tr w:rsidR="00794AFD" w:rsidRPr="006D5A57" w14:paraId="2DB6ED48" w14:textId="77777777" w:rsidTr="00794AFD">
        <w:trPr>
          <w:trHeight w:val="399"/>
        </w:trPr>
        <w:tc>
          <w:tcPr>
            <w:tcW w:w="4854" w:type="dxa"/>
            <w:tcBorders>
              <w:top w:val="single" w:sz="4" w:space="0" w:color="auto"/>
              <w:left w:val="nil"/>
              <w:bottom w:val="single" w:sz="4" w:space="0" w:color="auto"/>
              <w:right w:val="nil"/>
            </w:tcBorders>
          </w:tcPr>
          <w:p w14:paraId="7451F158" w14:textId="77777777" w:rsidR="00794AFD" w:rsidRPr="006D5A57" w:rsidRDefault="00794AFD" w:rsidP="00794AFD">
            <w:pPr>
              <w:jc w:val="both"/>
              <w:rPr>
                <w:rFonts w:asciiTheme="minorHAnsi" w:hAnsiTheme="minorHAnsi" w:cs="Times New Roman"/>
                <w:sz w:val="20"/>
                <w:szCs w:val="20"/>
              </w:rPr>
            </w:pPr>
          </w:p>
        </w:tc>
        <w:tc>
          <w:tcPr>
            <w:tcW w:w="1842" w:type="dxa"/>
            <w:tcBorders>
              <w:top w:val="single" w:sz="4" w:space="0" w:color="auto"/>
              <w:left w:val="nil"/>
              <w:bottom w:val="single" w:sz="4" w:space="0" w:color="auto"/>
              <w:right w:val="nil"/>
            </w:tcBorders>
          </w:tcPr>
          <w:p w14:paraId="06A4B1F0" w14:textId="77777777" w:rsidR="00794AFD" w:rsidRPr="006D5A57" w:rsidRDefault="00794AFD" w:rsidP="00794AFD">
            <w:pPr>
              <w:jc w:val="right"/>
              <w:rPr>
                <w:rFonts w:asciiTheme="minorHAnsi" w:hAnsiTheme="minorHAnsi" w:cs="Times New Roman"/>
                <w:b/>
                <w:bCs/>
                <w:sz w:val="20"/>
                <w:szCs w:val="20"/>
              </w:rPr>
            </w:pPr>
          </w:p>
          <w:p w14:paraId="774AE621" w14:textId="77777777" w:rsidR="00794AFD" w:rsidRPr="006D5A57" w:rsidRDefault="00794AFD" w:rsidP="00794AFD">
            <w:pPr>
              <w:jc w:val="right"/>
              <w:rPr>
                <w:rFonts w:asciiTheme="minorHAnsi" w:hAnsiTheme="minorHAnsi" w:cs="Times New Roman"/>
                <w:b/>
                <w:bCs/>
                <w:sz w:val="20"/>
                <w:szCs w:val="20"/>
              </w:rPr>
            </w:pPr>
            <w:r w:rsidRPr="006D5A57">
              <w:rPr>
                <w:rFonts w:asciiTheme="minorHAnsi" w:hAnsiTheme="minorHAnsi" w:cs="Times New Roman"/>
                <w:b/>
                <w:bCs/>
                <w:sz w:val="20"/>
                <w:szCs w:val="20"/>
              </w:rPr>
              <w:t>2019</w:t>
            </w:r>
          </w:p>
          <w:p w14:paraId="0F6B64B2" w14:textId="77777777" w:rsidR="00794AFD" w:rsidRPr="006D5A57" w:rsidRDefault="00794AFD" w:rsidP="00794AFD">
            <w:pPr>
              <w:jc w:val="right"/>
              <w:rPr>
                <w:rFonts w:asciiTheme="minorHAnsi" w:hAnsiTheme="minorHAnsi" w:cs="Times New Roman"/>
                <w:sz w:val="20"/>
                <w:szCs w:val="20"/>
              </w:rPr>
            </w:pPr>
            <w:r w:rsidRPr="006D5A57">
              <w:rPr>
                <w:rFonts w:asciiTheme="minorHAnsi" w:hAnsiTheme="minorHAnsi" w:cs="Times New Roman"/>
                <w:b/>
                <w:bCs/>
                <w:sz w:val="20"/>
                <w:szCs w:val="20"/>
              </w:rPr>
              <w:t>£m</w:t>
            </w:r>
          </w:p>
        </w:tc>
        <w:tc>
          <w:tcPr>
            <w:tcW w:w="1701" w:type="dxa"/>
            <w:tcBorders>
              <w:top w:val="single" w:sz="4" w:space="0" w:color="auto"/>
              <w:left w:val="nil"/>
              <w:bottom w:val="single" w:sz="4" w:space="0" w:color="auto"/>
              <w:right w:val="nil"/>
            </w:tcBorders>
          </w:tcPr>
          <w:p w14:paraId="2602B8F0" w14:textId="77777777" w:rsidR="00794AFD" w:rsidRPr="006D5A57" w:rsidRDefault="00794AFD" w:rsidP="00794AFD">
            <w:pPr>
              <w:jc w:val="right"/>
              <w:rPr>
                <w:rFonts w:asciiTheme="minorHAnsi" w:hAnsiTheme="minorHAnsi" w:cs="Times New Roman"/>
                <w:bCs/>
                <w:sz w:val="20"/>
                <w:szCs w:val="20"/>
              </w:rPr>
            </w:pPr>
          </w:p>
          <w:p w14:paraId="517D9279"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2018</w:t>
            </w:r>
          </w:p>
          <w:p w14:paraId="59690A24" w14:textId="77777777" w:rsidR="00794AFD" w:rsidRPr="006D5A57" w:rsidRDefault="00794AFD" w:rsidP="00794AFD">
            <w:pPr>
              <w:jc w:val="right"/>
              <w:rPr>
                <w:rFonts w:asciiTheme="minorHAnsi" w:hAnsiTheme="minorHAnsi" w:cs="Times New Roman"/>
                <w:sz w:val="20"/>
                <w:szCs w:val="20"/>
              </w:rPr>
            </w:pPr>
            <w:r w:rsidRPr="006D5A57">
              <w:rPr>
                <w:rFonts w:asciiTheme="minorHAnsi" w:hAnsiTheme="minorHAnsi" w:cs="Times New Roman"/>
                <w:bCs/>
                <w:sz w:val="20"/>
                <w:szCs w:val="20"/>
              </w:rPr>
              <w:t>£m</w:t>
            </w:r>
          </w:p>
        </w:tc>
      </w:tr>
      <w:tr w:rsidR="00794AFD" w:rsidRPr="006D5A57" w14:paraId="67AB4B6F" w14:textId="77777777" w:rsidTr="00794AFD">
        <w:trPr>
          <w:trHeight w:val="200"/>
        </w:trPr>
        <w:tc>
          <w:tcPr>
            <w:tcW w:w="4854" w:type="dxa"/>
            <w:tcBorders>
              <w:top w:val="single" w:sz="4" w:space="0" w:color="auto"/>
              <w:bottom w:val="single" w:sz="4" w:space="0" w:color="auto"/>
            </w:tcBorders>
          </w:tcPr>
          <w:p w14:paraId="5DB9B3B4" w14:textId="77777777" w:rsidR="00794AFD" w:rsidRPr="006D5A57" w:rsidRDefault="00794AFD" w:rsidP="00794AFD">
            <w:pPr>
              <w:ind w:left="-108"/>
              <w:rPr>
                <w:rFonts w:asciiTheme="minorHAnsi" w:hAnsiTheme="minorHAnsi" w:cs="Times New Roman"/>
                <w:sz w:val="20"/>
                <w:szCs w:val="20"/>
              </w:rPr>
            </w:pPr>
            <w:r w:rsidRPr="006D5A57">
              <w:rPr>
                <w:rFonts w:asciiTheme="minorHAnsi" w:hAnsiTheme="minorHAnsi" w:cs="Times New Roman"/>
                <w:sz w:val="20"/>
                <w:szCs w:val="20"/>
              </w:rPr>
              <w:t>Profit before tax</w:t>
            </w:r>
          </w:p>
        </w:tc>
        <w:tc>
          <w:tcPr>
            <w:tcW w:w="1842" w:type="dxa"/>
            <w:tcBorders>
              <w:top w:val="single" w:sz="4" w:space="0" w:color="auto"/>
              <w:bottom w:val="single" w:sz="4" w:space="0" w:color="auto"/>
            </w:tcBorders>
          </w:tcPr>
          <w:p w14:paraId="382FE459"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135.7</w:t>
            </w:r>
          </w:p>
        </w:tc>
        <w:tc>
          <w:tcPr>
            <w:tcW w:w="1701" w:type="dxa"/>
            <w:tcBorders>
              <w:top w:val="single" w:sz="4" w:space="0" w:color="auto"/>
              <w:bottom w:val="single" w:sz="4" w:space="0" w:color="auto"/>
            </w:tcBorders>
          </w:tcPr>
          <w:p w14:paraId="2057E9A6"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218.7</w:t>
            </w:r>
          </w:p>
        </w:tc>
      </w:tr>
      <w:tr w:rsidR="00794AFD" w:rsidRPr="006D5A57" w14:paraId="00C5113E" w14:textId="77777777" w:rsidTr="00794AFD">
        <w:trPr>
          <w:trHeight w:val="418"/>
        </w:trPr>
        <w:tc>
          <w:tcPr>
            <w:tcW w:w="4854" w:type="dxa"/>
            <w:tcBorders>
              <w:top w:val="single" w:sz="4" w:space="0" w:color="auto"/>
            </w:tcBorders>
          </w:tcPr>
          <w:p w14:paraId="3179E221" w14:textId="77777777" w:rsidR="00794AFD" w:rsidRPr="006D5A57" w:rsidRDefault="00794AFD" w:rsidP="00794AFD">
            <w:pPr>
              <w:ind w:left="-108"/>
              <w:rPr>
                <w:rFonts w:asciiTheme="minorHAnsi" w:hAnsiTheme="minorHAnsi" w:cs="Times New Roman"/>
                <w:sz w:val="20"/>
                <w:szCs w:val="20"/>
              </w:rPr>
            </w:pPr>
            <w:r w:rsidRPr="006D5A57">
              <w:rPr>
                <w:rFonts w:asciiTheme="minorHAnsi" w:hAnsiTheme="minorHAnsi" w:cs="Times New Roman"/>
                <w:sz w:val="20"/>
                <w:szCs w:val="20"/>
              </w:rPr>
              <w:t>Tax on Group profit before tax at the standard Irish corporation tax rate of 12.5%</w:t>
            </w:r>
          </w:p>
        </w:tc>
        <w:tc>
          <w:tcPr>
            <w:tcW w:w="1842" w:type="dxa"/>
            <w:tcBorders>
              <w:top w:val="single" w:sz="4" w:space="0" w:color="auto"/>
            </w:tcBorders>
            <w:shd w:val="clear" w:color="auto" w:fill="auto"/>
          </w:tcPr>
          <w:p w14:paraId="2BE4C8AF" w14:textId="77777777" w:rsidR="00794AFD" w:rsidRPr="00784F67" w:rsidRDefault="00794AFD" w:rsidP="00794AFD">
            <w:pPr>
              <w:jc w:val="right"/>
              <w:rPr>
                <w:rFonts w:asciiTheme="minorHAnsi" w:hAnsiTheme="minorHAnsi" w:cs="Times New Roman"/>
                <w:b/>
                <w:bCs/>
                <w:sz w:val="20"/>
                <w:szCs w:val="20"/>
              </w:rPr>
            </w:pPr>
          </w:p>
          <w:p w14:paraId="02F39A00"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17.0</w:t>
            </w:r>
          </w:p>
        </w:tc>
        <w:tc>
          <w:tcPr>
            <w:tcW w:w="1701" w:type="dxa"/>
            <w:tcBorders>
              <w:top w:val="single" w:sz="4" w:space="0" w:color="auto"/>
            </w:tcBorders>
          </w:tcPr>
          <w:p w14:paraId="56679CDC" w14:textId="77777777" w:rsidR="00794AFD" w:rsidRPr="006D5A57" w:rsidRDefault="00794AFD" w:rsidP="00794AFD">
            <w:pPr>
              <w:jc w:val="right"/>
              <w:rPr>
                <w:rFonts w:asciiTheme="minorHAnsi" w:hAnsiTheme="minorHAnsi" w:cs="Times New Roman"/>
                <w:bCs/>
                <w:sz w:val="20"/>
                <w:szCs w:val="20"/>
              </w:rPr>
            </w:pPr>
          </w:p>
          <w:p w14:paraId="5FF979DE"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27.4</w:t>
            </w:r>
          </w:p>
        </w:tc>
      </w:tr>
      <w:tr w:rsidR="00794AFD" w:rsidRPr="006D5A57" w14:paraId="1FCF46E4" w14:textId="77777777" w:rsidTr="00794AFD">
        <w:trPr>
          <w:trHeight w:val="175"/>
        </w:trPr>
        <w:tc>
          <w:tcPr>
            <w:tcW w:w="4854" w:type="dxa"/>
          </w:tcPr>
          <w:p w14:paraId="233337F7" w14:textId="77777777" w:rsidR="00794AFD" w:rsidRPr="006D5A57" w:rsidRDefault="00794AFD" w:rsidP="00794AFD">
            <w:pPr>
              <w:ind w:left="-108"/>
              <w:rPr>
                <w:rFonts w:asciiTheme="minorHAnsi" w:hAnsiTheme="minorHAnsi" w:cs="Times New Roman"/>
                <w:sz w:val="20"/>
                <w:szCs w:val="20"/>
              </w:rPr>
            </w:pPr>
            <w:r w:rsidRPr="006D5A57">
              <w:rPr>
                <w:rFonts w:asciiTheme="minorHAnsi" w:hAnsiTheme="minorHAnsi" w:cs="Times New Roman"/>
                <w:sz w:val="20"/>
                <w:szCs w:val="20"/>
              </w:rPr>
              <w:t>Depreciation on non-qualifying property, plant and equipment</w:t>
            </w:r>
          </w:p>
        </w:tc>
        <w:tc>
          <w:tcPr>
            <w:tcW w:w="1842" w:type="dxa"/>
            <w:shd w:val="clear" w:color="auto" w:fill="auto"/>
          </w:tcPr>
          <w:p w14:paraId="7EF6BA4C" w14:textId="77777777" w:rsidR="00794AFD" w:rsidRPr="00784F67" w:rsidRDefault="00794AFD" w:rsidP="00794AFD">
            <w:pPr>
              <w:jc w:val="right"/>
              <w:rPr>
                <w:rFonts w:asciiTheme="minorHAnsi" w:hAnsiTheme="minorHAnsi" w:cs="Times New Roman"/>
                <w:b/>
                <w:bCs/>
                <w:sz w:val="20"/>
                <w:szCs w:val="20"/>
              </w:rPr>
            </w:pPr>
          </w:p>
          <w:p w14:paraId="5A55EA75"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0.9</w:t>
            </w:r>
          </w:p>
        </w:tc>
        <w:tc>
          <w:tcPr>
            <w:tcW w:w="1701" w:type="dxa"/>
          </w:tcPr>
          <w:p w14:paraId="2D1081DE" w14:textId="77777777" w:rsidR="00794AFD" w:rsidRPr="006D5A57" w:rsidRDefault="00794AFD" w:rsidP="00794AFD">
            <w:pPr>
              <w:jc w:val="right"/>
              <w:rPr>
                <w:rFonts w:asciiTheme="minorHAnsi" w:hAnsiTheme="minorHAnsi" w:cs="Times New Roman"/>
                <w:bCs/>
                <w:sz w:val="20"/>
                <w:szCs w:val="20"/>
              </w:rPr>
            </w:pPr>
          </w:p>
          <w:p w14:paraId="6D52E2AF"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1.3</w:t>
            </w:r>
          </w:p>
        </w:tc>
      </w:tr>
      <w:tr w:rsidR="00794AFD" w:rsidRPr="006D5A57" w14:paraId="7294AF6C" w14:textId="77777777" w:rsidTr="00794AFD">
        <w:trPr>
          <w:trHeight w:val="200"/>
        </w:trPr>
        <w:tc>
          <w:tcPr>
            <w:tcW w:w="4854" w:type="dxa"/>
          </w:tcPr>
          <w:p w14:paraId="6DDF6148" w14:textId="77777777" w:rsidR="00794AFD" w:rsidRPr="006D5A57" w:rsidRDefault="00794AFD" w:rsidP="00794AFD">
            <w:pPr>
              <w:ind w:left="-108"/>
              <w:rPr>
                <w:rFonts w:asciiTheme="minorHAnsi" w:hAnsiTheme="minorHAnsi" w:cs="Times New Roman"/>
                <w:sz w:val="20"/>
                <w:szCs w:val="20"/>
              </w:rPr>
            </w:pPr>
            <w:bookmarkStart w:id="36" w:name="OLE_LINK42"/>
            <w:bookmarkStart w:id="37" w:name="OLE_LINK43"/>
            <w:r w:rsidRPr="006D5A57">
              <w:rPr>
                <w:rFonts w:asciiTheme="minorHAnsi" w:hAnsiTheme="minorHAnsi" w:cs="Times New Roman"/>
                <w:sz w:val="20"/>
                <w:szCs w:val="20"/>
              </w:rPr>
              <w:t>Effect of different statutory tax rates in overseas jurisdictions</w:t>
            </w:r>
            <w:bookmarkEnd w:id="36"/>
            <w:bookmarkEnd w:id="37"/>
          </w:p>
        </w:tc>
        <w:tc>
          <w:tcPr>
            <w:tcW w:w="1842" w:type="dxa"/>
            <w:shd w:val="clear" w:color="auto" w:fill="auto"/>
          </w:tcPr>
          <w:p w14:paraId="2DA3F9CC" w14:textId="77777777" w:rsidR="00794AFD" w:rsidRPr="00784F67" w:rsidRDefault="00794AFD" w:rsidP="00794AFD">
            <w:pPr>
              <w:jc w:val="right"/>
              <w:rPr>
                <w:rFonts w:asciiTheme="minorHAnsi" w:hAnsiTheme="minorHAnsi" w:cs="Times New Roman"/>
                <w:b/>
                <w:bCs/>
                <w:sz w:val="20"/>
                <w:szCs w:val="20"/>
              </w:rPr>
            </w:pPr>
          </w:p>
          <w:p w14:paraId="06B2DDA8"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(2.8)</w:t>
            </w:r>
          </w:p>
        </w:tc>
        <w:tc>
          <w:tcPr>
            <w:tcW w:w="1701" w:type="dxa"/>
          </w:tcPr>
          <w:p w14:paraId="16EE21A4" w14:textId="77777777" w:rsidR="00794AFD" w:rsidRPr="006D5A57" w:rsidRDefault="00794AFD" w:rsidP="00794AFD">
            <w:pPr>
              <w:jc w:val="right"/>
              <w:rPr>
                <w:rFonts w:asciiTheme="minorHAnsi" w:hAnsiTheme="minorHAnsi" w:cs="Times New Roman"/>
                <w:bCs/>
                <w:sz w:val="20"/>
                <w:szCs w:val="20"/>
              </w:rPr>
            </w:pPr>
          </w:p>
          <w:p w14:paraId="488D5F7A"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4.7</w:t>
            </w:r>
          </w:p>
        </w:tc>
      </w:tr>
      <w:tr w:rsidR="00794AFD" w:rsidRPr="006D5A57" w14:paraId="061C4F9E" w14:textId="77777777" w:rsidTr="00794AFD">
        <w:trPr>
          <w:trHeight w:val="200"/>
        </w:trPr>
        <w:tc>
          <w:tcPr>
            <w:tcW w:w="4854" w:type="dxa"/>
          </w:tcPr>
          <w:p w14:paraId="4D1AB5D9" w14:textId="77777777" w:rsidR="00794AFD" w:rsidRPr="006D5A57" w:rsidRDefault="00794AFD" w:rsidP="00794AFD">
            <w:pPr>
              <w:ind w:left="-108"/>
              <w:rPr>
                <w:rFonts w:asciiTheme="minorHAnsi" w:hAnsiTheme="minorHAnsi" w:cs="Times New Roman"/>
                <w:sz w:val="20"/>
                <w:szCs w:val="20"/>
              </w:rPr>
            </w:pPr>
            <w:r w:rsidRPr="006D5A57">
              <w:rPr>
                <w:rFonts w:asciiTheme="minorHAnsi" w:hAnsiTheme="minorHAnsi" w:cs="Times New Roman"/>
                <w:sz w:val="20"/>
                <w:szCs w:val="20"/>
              </w:rPr>
              <w:t>Non-deductible expenses</w:t>
            </w:r>
          </w:p>
        </w:tc>
        <w:tc>
          <w:tcPr>
            <w:tcW w:w="1842" w:type="dxa"/>
            <w:shd w:val="clear" w:color="auto" w:fill="auto"/>
          </w:tcPr>
          <w:p w14:paraId="14BF2A2A"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1.6</w:t>
            </w:r>
          </w:p>
        </w:tc>
        <w:tc>
          <w:tcPr>
            <w:tcW w:w="1701" w:type="dxa"/>
          </w:tcPr>
          <w:p w14:paraId="04C1490E"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7.0</w:t>
            </w:r>
          </w:p>
        </w:tc>
      </w:tr>
      <w:tr w:rsidR="00794AFD" w:rsidRPr="006D5A57" w14:paraId="4FEDF5AB" w14:textId="77777777" w:rsidTr="00794AFD">
        <w:trPr>
          <w:trHeight w:val="200"/>
        </w:trPr>
        <w:tc>
          <w:tcPr>
            <w:tcW w:w="4854" w:type="dxa"/>
          </w:tcPr>
          <w:p w14:paraId="0727165A" w14:textId="77777777" w:rsidR="00794AFD" w:rsidRPr="006D5A57" w:rsidRDefault="00794AFD" w:rsidP="00794AFD">
            <w:pPr>
              <w:ind w:left="-108"/>
              <w:rPr>
                <w:rFonts w:asciiTheme="minorHAnsi" w:hAnsiTheme="minorHAnsi" w:cs="Times New Roman"/>
                <w:sz w:val="20"/>
                <w:szCs w:val="20"/>
              </w:rPr>
            </w:pPr>
            <w:r w:rsidRPr="006D5A57">
              <w:rPr>
                <w:rFonts w:asciiTheme="minorHAnsi" w:hAnsiTheme="minorHAnsi" w:cs="Times New Roman"/>
                <w:sz w:val="20"/>
                <w:szCs w:val="20"/>
              </w:rPr>
              <w:t>Effect of changes in statutory tax rates</w:t>
            </w:r>
          </w:p>
        </w:tc>
        <w:tc>
          <w:tcPr>
            <w:tcW w:w="1842" w:type="dxa"/>
            <w:shd w:val="clear" w:color="auto" w:fill="auto"/>
          </w:tcPr>
          <w:p w14:paraId="019125C9"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(0.1)</w:t>
            </w:r>
          </w:p>
        </w:tc>
        <w:tc>
          <w:tcPr>
            <w:tcW w:w="1701" w:type="dxa"/>
          </w:tcPr>
          <w:p w14:paraId="38632E24"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(0.7)</w:t>
            </w:r>
          </w:p>
        </w:tc>
      </w:tr>
      <w:tr w:rsidR="00794AFD" w:rsidRPr="006D5A57" w14:paraId="74E82843" w14:textId="77777777" w:rsidTr="00794AFD">
        <w:trPr>
          <w:trHeight w:val="200"/>
        </w:trPr>
        <w:tc>
          <w:tcPr>
            <w:tcW w:w="4854" w:type="dxa"/>
          </w:tcPr>
          <w:p w14:paraId="76F67736" w14:textId="77777777" w:rsidR="00794AFD" w:rsidRPr="006D5A57" w:rsidRDefault="00794AFD" w:rsidP="00794AFD">
            <w:pPr>
              <w:ind w:left="-108"/>
              <w:rPr>
                <w:rFonts w:asciiTheme="minorHAnsi" w:hAnsiTheme="minorHAnsi" w:cs="Times New Roman"/>
                <w:sz w:val="20"/>
                <w:szCs w:val="20"/>
              </w:rPr>
            </w:pPr>
            <w:r w:rsidRPr="006D5A57">
              <w:rPr>
                <w:rFonts w:asciiTheme="minorHAnsi" w:hAnsiTheme="minorHAnsi" w:cs="Times New Roman"/>
                <w:sz w:val="20"/>
                <w:szCs w:val="20"/>
              </w:rPr>
              <w:t>Movement on deferred tax balances not recognised</w:t>
            </w:r>
          </w:p>
        </w:tc>
        <w:tc>
          <w:tcPr>
            <w:tcW w:w="1842" w:type="dxa"/>
            <w:shd w:val="clear" w:color="auto" w:fill="auto"/>
          </w:tcPr>
          <w:p w14:paraId="68484781"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10.5</w:t>
            </w:r>
          </w:p>
        </w:tc>
        <w:tc>
          <w:tcPr>
            <w:tcW w:w="1701" w:type="dxa"/>
          </w:tcPr>
          <w:p w14:paraId="37EC077D"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1.5</w:t>
            </w:r>
          </w:p>
        </w:tc>
      </w:tr>
      <w:tr w:rsidR="00794AFD" w:rsidRPr="006D5A57" w14:paraId="5250D152" w14:textId="77777777" w:rsidTr="00794AFD">
        <w:trPr>
          <w:trHeight w:val="200"/>
        </w:trPr>
        <w:tc>
          <w:tcPr>
            <w:tcW w:w="4854" w:type="dxa"/>
            <w:tcBorders>
              <w:bottom w:val="single" w:sz="4" w:space="0" w:color="auto"/>
            </w:tcBorders>
          </w:tcPr>
          <w:p w14:paraId="095D9B16" w14:textId="77777777" w:rsidR="00794AFD" w:rsidRPr="006D5A57" w:rsidRDefault="00794AFD" w:rsidP="00794AFD">
            <w:pPr>
              <w:ind w:left="-108"/>
              <w:rPr>
                <w:rFonts w:asciiTheme="minorHAnsi" w:hAnsiTheme="minorHAnsi" w:cs="Times New Roman"/>
                <w:sz w:val="20"/>
                <w:szCs w:val="20"/>
              </w:rPr>
            </w:pPr>
            <w:r w:rsidRPr="006D5A57">
              <w:rPr>
                <w:rFonts w:asciiTheme="minorHAnsi" w:hAnsiTheme="minorHAnsi" w:cs="Times New Roman"/>
                <w:sz w:val="20"/>
                <w:szCs w:val="20"/>
              </w:rPr>
              <w:t>Over provision in prior year</w:t>
            </w:r>
          </w:p>
        </w:tc>
        <w:tc>
          <w:tcPr>
            <w:tcW w:w="1842" w:type="dxa"/>
            <w:tcBorders>
              <w:bottom w:val="single" w:sz="4" w:space="0" w:color="auto"/>
            </w:tcBorders>
            <w:shd w:val="clear" w:color="auto" w:fill="auto"/>
          </w:tcPr>
          <w:p w14:paraId="6713617F"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(3.3)</w:t>
            </w:r>
          </w:p>
        </w:tc>
        <w:tc>
          <w:tcPr>
            <w:tcW w:w="1701" w:type="dxa"/>
            <w:tcBorders>
              <w:bottom w:val="single" w:sz="4" w:space="0" w:color="auto"/>
            </w:tcBorders>
          </w:tcPr>
          <w:p w14:paraId="6D90426A" w14:textId="77777777" w:rsidR="00794AFD" w:rsidRPr="006D5A57"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(3.2)</w:t>
            </w:r>
          </w:p>
        </w:tc>
      </w:tr>
      <w:tr w:rsidR="00794AFD" w:rsidRPr="001C5950" w14:paraId="72B234DC" w14:textId="77777777" w:rsidTr="00794AFD">
        <w:trPr>
          <w:trHeight w:val="200"/>
        </w:trPr>
        <w:tc>
          <w:tcPr>
            <w:tcW w:w="4854" w:type="dxa"/>
            <w:tcBorders>
              <w:top w:val="single" w:sz="4" w:space="0" w:color="auto"/>
              <w:bottom w:val="single" w:sz="4" w:space="0" w:color="auto"/>
            </w:tcBorders>
          </w:tcPr>
          <w:p w14:paraId="017B1787" w14:textId="77777777" w:rsidR="00794AFD" w:rsidRPr="006D5A57" w:rsidRDefault="00794AFD" w:rsidP="00794AFD">
            <w:pPr>
              <w:ind w:left="-108"/>
              <w:rPr>
                <w:rFonts w:asciiTheme="minorHAnsi" w:hAnsiTheme="minorHAnsi" w:cs="Times New Roman"/>
                <w:sz w:val="20"/>
                <w:szCs w:val="20"/>
              </w:rPr>
            </w:pPr>
            <w:r w:rsidRPr="006D5A57">
              <w:rPr>
                <w:rFonts w:asciiTheme="minorHAnsi" w:hAnsiTheme="minorHAnsi" w:cs="Times New Roman"/>
                <w:sz w:val="20"/>
                <w:szCs w:val="20"/>
              </w:rPr>
              <w:t>Total tax expense</w:t>
            </w:r>
          </w:p>
        </w:tc>
        <w:tc>
          <w:tcPr>
            <w:tcW w:w="1842" w:type="dxa"/>
            <w:tcBorders>
              <w:top w:val="single" w:sz="4" w:space="0" w:color="auto"/>
              <w:bottom w:val="single" w:sz="4" w:space="0" w:color="auto"/>
            </w:tcBorders>
            <w:shd w:val="clear" w:color="auto" w:fill="auto"/>
          </w:tcPr>
          <w:p w14:paraId="6A423643" w14:textId="77777777" w:rsidR="00794AFD" w:rsidRPr="00784F67" w:rsidRDefault="00794AFD" w:rsidP="00794AFD">
            <w:pPr>
              <w:jc w:val="right"/>
              <w:rPr>
                <w:rFonts w:asciiTheme="minorHAnsi" w:hAnsiTheme="minorHAnsi" w:cs="Times New Roman"/>
                <w:b/>
                <w:bCs/>
                <w:sz w:val="20"/>
                <w:szCs w:val="20"/>
              </w:rPr>
            </w:pPr>
            <w:r w:rsidRPr="00784F67">
              <w:rPr>
                <w:rFonts w:asciiTheme="minorHAnsi" w:hAnsiTheme="minorHAnsi" w:cs="Times New Roman"/>
                <w:b/>
                <w:bCs/>
                <w:sz w:val="20"/>
                <w:szCs w:val="20"/>
              </w:rPr>
              <w:t>23.8</w:t>
            </w:r>
          </w:p>
        </w:tc>
        <w:tc>
          <w:tcPr>
            <w:tcW w:w="1701" w:type="dxa"/>
            <w:tcBorders>
              <w:top w:val="single" w:sz="4" w:space="0" w:color="auto"/>
              <w:bottom w:val="single" w:sz="4" w:space="0" w:color="auto"/>
            </w:tcBorders>
          </w:tcPr>
          <w:p w14:paraId="0928863B" w14:textId="77777777" w:rsidR="00794AFD" w:rsidRPr="009D3006" w:rsidRDefault="00794AFD" w:rsidP="00794AFD">
            <w:pPr>
              <w:jc w:val="right"/>
              <w:rPr>
                <w:rFonts w:asciiTheme="minorHAnsi" w:hAnsiTheme="minorHAnsi" w:cs="Times New Roman"/>
                <w:bCs/>
                <w:sz w:val="20"/>
                <w:szCs w:val="20"/>
              </w:rPr>
            </w:pPr>
            <w:r w:rsidRPr="006D5A57">
              <w:rPr>
                <w:rFonts w:asciiTheme="minorHAnsi" w:hAnsiTheme="minorHAnsi" w:cs="Times New Roman"/>
                <w:bCs/>
                <w:sz w:val="20"/>
                <w:szCs w:val="20"/>
              </w:rPr>
              <w:t>38.0</w:t>
            </w:r>
          </w:p>
        </w:tc>
      </w:tr>
    </w:tbl>
    <w:p w14:paraId="39A2DB4D" w14:textId="77777777" w:rsidR="00794AFD" w:rsidRPr="001C5950" w:rsidRDefault="00794AFD" w:rsidP="00794AFD">
      <w:pPr>
        <w:pStyle w:val="BodyText"/>
        <w:rPr>
          <w:rFonts w:asciiTheme="minorHAnsi" w:hAnsiTheme="minorHAnsi"/>
          <w:b/>
          <w:sz w:val="20"/>
          <w:szCs w:val="20"/>
        </w:rPr>
      </w:pPr>
    </w:p>
    <w:p w14:paraId="37C3EAB8" w14:textId="77777777" w:rsidR="00794AFD" w:rsidRPr="00FC3D06" w:rsidRDefault="00794AFD" w:rsidP="00794AFD">
      <w:pPr>
        <w:rPr>
          <w:rFonts w:asciiTheme="minorHAnsi" w:hAnsiTheme="minorHAnsi" w:cs="Times New Roman"/>
          <w:sz w:val="20"/>
          <w:szCs w:val="20"/>
        </w:rPr>
      </w:pPr>
      <w:r w:rsidRPr="001C5950">
        <w:rPr>
          <w:rFonts w:asciiTheme="minorHAnsi" w:hAnsiTheme="minorHAnsi" w:cs="Times New Roman"/>
          <w:sz w:val="20"/>
          <w:szCs w:val="20"/>
        </w:rPr>
        <w:t xml:space="preserve">Total tax expense for </w:t>
      </w:r>
      <w:r>
        <w:rPr>
          <w:rFonts w:asciiTheme="minorHAnsi" w:hAnsiTheme="minorHAnsi" w:cs="Times New Roman"/>
          <w:sz w:val="20"/>
          <w:szCs w:val="20"/>
        </w:rPr>
        <w:t>2019</w:t>
      </w:r>
      <w:r w:rsidRPr="001C5950">
        <w:rPr>
          <w:rFonts w:asciiTheme="minorHAnsi" w:hAnsiTheme="minorHAnsi" w:cs="Times New Roman"/>
          <w:sz w:val="20"/>
          <w:szCs w:val="20"/>
        </w:rPr>
        <w:t xml:space="preserve"> includes a credit for separately disclosed items amounting </w:t>
      </w:r>
      <w:r w:rsidRPr="00FA0C14">
        <w:rPr>
          <w:rFonts w:asciiTheme="minorHAnsi" w:hAnsiTheme="minorHAnsi" w:cs="Times New Roman"/>
          <w:sz w:val="20"/>
          <w:szCs w:val="20"/>
        </w:rPr>
        <w:t>to £</w:t>
      </w:r>
      <w:r w:rsidRPr="00070ED0">
        <w:rPr>
          <w:rFonts w:asciiTheme="minorHAnsi" w:hAnsiTheme="minorHAnsi" w:cs="Times New Roman"/>
          <w:sz w:val="20"/>
          <w:szCs w:val="20"/>
        </w:rPr>
        <w:t>18.6m</w:t>
      </w:r>
      <w:r w:rsidRPr="001C5950">
        <w:rPr>
          <w:rFonts w:asciiTheme="minorHAnsi" w:hAnsiTheme="minorHAnsi" w:cs="Times New Roman"/>
          <w:sz w:val="20"/>
          <w:szCs w:val="20"/>
        </w:rPr>
        <w:t xml:space="preserve"> (</w:t>
      </w:r>
      <w:r>
        <w:rPr>
          <w:rFonts w:asciiTheme="minorHAnsi" w:hAnsiTheme="minorHAnsi" w:cs="Times New Roman"/>
          <w:sz w:val="20"/>
          <w:szCs w:val="20"/>
        </w:rPr>
        <w:t>2018</w:t>
      </w:r>
      <w:r w:rsidRPr="001C5950">
        <w:rPr>
          <w:rFonts w:asciiTheme="minorHAnsi" w:hAnsiTheme="minorHAnsi" w:cs="Times New Roman"/>
          <w:sz w:val="20"/>
          <w:szCs w:val="20"/>
        </w:rPr>
        <w:t>: £</w:t>
      </w:r>
      <w:r>
        <w:rPr>
          <w:rFonts w:asciiTheme="minorHAnsi" w:hAnsiTheme="minorHAnsi" w:cs="Times New Roman"/>
          <w:sz w:val="20"/>
          <w:szCs w:val="20"/>
        </w:rPr>
        <w:t>15</w:t>
      </w:r>
      <w:r w:rsidRPr="001C5950">
        <w:rPr>
          <w:rFonts w:asciiTheme="minorHAnsi" w:hAnsiTheme="minorHAnsi" w:cs="Times New Roman"/>
          <w:sz w:val="20"/>
          <w:szCs w:val="20"/>
        </w:rPr>
        <w:t>.</w:t>
      </w:r>
      <w:r>
        <w:rPr>
          <w:rFonts w:asciiTheme="minorHAnsi" w:hAnsiTheme="minorHAnsi" w:cs="Times New Roman"/>
          <w:sz w:val="20"/>
          <w:szCs w:val="20"/>
        </w:rPr>
        <w:t>1</w:t>
      </w:r>
      <w:r w:rsidRPr="001C5950">
        <w:rPr>
          <w:rFonts w:asciiTheme="minorHAnsi" w:hAnsiTheme="minorHAnsi" w:cs="Times New Roman"/>
          <w:sz w:val="20"/>
          <w:szCs w:val="20"/>
        </w:rPr>
        <w:t>m) (</w:t>
      </w:r>
      <w:r w:rsidRPr="00FC3D06">
        <w:rPr>
          <w:rFonts w:asciiTheme="minorHAnsi" w:hAnsiTheme="minorHAnsi" w:cs="Times New Roman"/>
          <w:sz w:val="20"/>
          <w:szCs w:val="20"/>
        </w:rPr>
        <w:t>see Note 4).</w:t>
      </w:r>
    </w:p>
    <w:p w14:paraId="72107533" w14:textId="77777777" w:rsidR="00794AFD" w:rsidRPr="00FC3D06" w:rsidRDefault="00794AFD" w:rsidP="00794AFD">
      <w:pPr>
        <w:rPr>
          <w:rFonts w:asciiTheme="minorHAnsi" w:hAnsiTheme="minorHAnsi" w:cs="Times New Roman"/>
          <w:b/>
          <w:sz w:val="20"/>
          <w:szCs w:val="20"/>
        </w:rPr>
      </w:pPr>
    </w:p>
    <w:p w14:paraId="7C6D15FE" w14:textId="77777777" w:rsidR="00794AFD" w:rsidRPr="001C5950" w:rsidRDefault="00794AFD" w:rsidP="00794AFD">
      <w:pPr>
        <w:rPr>
          <w:rFonts w:asciiTheme="minorHAnsi" w:hAnsiTheme="minorHAnsi" w:cs="Times New Roman"/>
          <w:b/>
          <w:sz w:val="20"/>
          <w:szCs w:val="20"/>
        </w:rPr>
      </w:pPr>
      <w:r w:rsidRPr="001C5950">
        <w:rPr>
          <w:rFonts w:asciiTheme="minorHAnsi" w:hAnsiTheme="minorHAnsi" w:cs="Times New Roman"/>
          <w:b/>
          <w:sz w:val="20"/>
          <w:szCs w:val="20"/>
        </w:rPr>
        <w:t>Tax rates</w:t>
      </w:r>
    </w:p>
    <w:p w14:paraId="7FF1A3D6" w14:textId="77777777" w:rsidR="00794AFD" w:rsidRPr="001C5950" w:rsidRDefault="00794AFD" w:rsidP="00794AFD">
      <w:pPr>
        <w:widowControl/>
        <w:autoSpaceDE/>
        <w:autoSpaceDN/>
        <w:adjustRightInd/>
        <w:rPr>
          <w:rFonts w:asciiTheme="minorHAnsi" w:hAnsiTheme="minorHAnsi" w:cs="Times New Roman"/>
          <w:sz w:val="20"/>
          <w:szCs w:val="20"/>
          <w:lang w:val="en-IE"/>
        </w:rPr>
      </w:pPr>
      <w:r w:rsidRPr="001C5950">
        <w:rPr>
          <w:rFonts w:asciiTheme="minorHAnsi" w:hAnsiTheme="minorHAnsi" w:cs="Times New Roman"/>
          <w:sz w:val="20"/>
          <w:szCs w:val="20"/>
          <w:lang w:val="en-IE"/>
        </w:rPr>
        <w:t xml:space="preserve">The Group’s consolidated effective tax rate on profits including separately disclosed items for </w:t>
      </w:r>
      <w:r w:rsidRPr="00FA0C14">
        <w:rPr>
          <w:rFonts w:asciiTheme="minorHAnsi" w:hAnsiTheme="minorHAnsi" w:cs="Times New Roman"/>
          <w:sz w:val="20"/>
          <w:szCs w:val="20"/>
          <w:lang w:val="en-IE"/>
        </w:rPr>
        <w:t xml:space="preserve">2019 is </w:t>
      </w:r>
      <w:r w:rsidRPr="00070ED0">
        <w:rPr>
          <w:rFonts w:asciiTheme="minorHAnsi" w:hAnsiTheme="minorHAnsi" w:cs="Times New Roman"/>
          <w:sz w:val="20"/>
          <w:szCs w:val="20"/>
          <w:lang w:val="en-IE"/>
        </w:rPr>
        <w:t>17.5%</w:t>
      </w:r>
      <w:r w:rsidRPr="00FA0C14">
        <w:rPr>
          <w:rFonts w:asciiTheme="minorHAnsi" w:hAnsiTheme="minorHAnsi" w:cs="Times New Roman"/>
          <w:sz w:val="20"/>
          <w:szCs w:val="20"/>
          <w:lang w:val="en-IE"/>
        </w:rPr>
        <w:t xml:space="preserve"> (2018</w:t>
      </w:r>
      <w:r w:rsidRPr="001C5950">
        <w:rPr>
          <w:rFonts w:asciiTheme="minorHAnsi" w:hAnsiTheme="minorHAnsi" w:cs="Times New Roman"/>
          <w:sz w:val="20"/>
          <w:szCs w:val="20"/>
          <w:lang w:val="en-IE"/>
        </w:rPr>
        <w:t>: 1</w:t>
      </w:r>
      <w:r>
        <w:rPr>
          <w:rFonts w:asciiTheme="minorHAnsi" w:hAnsiTheme="minorHAnsi" w:cs="Times New Roman"/>
          <w:sz w:val="20"/>
          <w:szCs w:val="20"/>
          <w:lang w:val="en-IE"/>
        </w:rPr>
        <w:t>7</w:t>
      </w:r>
      <w:r w:rsidRPr="001C5950">
        <w:rPr>
          <w:rFonts w:asciiTheme="minorHAnsi" w:hAnsiTheme="minorHAnsi" w:cs="Times New Roman"/>
          <w:sz w:val="20"/>
          <w:szCs w:val="20"/>
          <w:lang w:val="en-IE"/>
        </w:rPr>
        <w:t>.</w:t>
      </w:r>
      <w:r>
        <w:rPr>
          <w:rFonts w:asciiTheme="minorHAnsi" w:hAnsiTheme="minorHAnsi" w:cs="Times New Roman"/>
          <w:sz w:val="20"/>
          <w:szCs w:val="20"/>
          <w:lang w:val="en-IE"/>
        </w:rPr>
        <w:t>4</w:t>
      </w:r>
      <w:r w:rsidRPr="001C5950">
        <w:rPr>
          <w:rFonts w:asciiTheme="minorHAnsi" w:hAnsiTheme="minorHAnsi" w:cs="Times New Roman"/>
          <w:sz w:val="20"/>
          <w:szCs w:val="20"/>
          <w:lang w:val="en-IE"/>
        </w:rPr>
        <w:t xml:space="preserve">%). The separately disclosed items impacting the consolidated tax rate include the unwind of deferred tax liabilities recognised in respect of merger related intangibles </w:t>
      </w:r>
      <w:r w:rsidRPr="00FA0C14">
        <w:rPr>
          <w:rFonts w:asciiTheme="minorHAnsi" w:hAnsiTheme="minorHAnsi" w:cs="Times New Roman"/>
          <w:sz w:val="20"/>
          <w:szCs w:val="20"/>
          <w:lang w:val="en-IE"/>
        </w:rPr>
        <w:t xml:space="preserve">and the acquisition of a majority stake in Adjarabet as well as </w:t>
      </w:r>
      <w:r>
        <w:rPr>
          <w:rFonts w:asciiTheme="minorHAnsi" w:hAnsiTheme="minorHAnsi" w:cs="Times New Roman"/>
          <w:sz w:val="20"/>
          <w:szCs w:val="20"/>
          <w:lang w:val="en-IE"/>
        </w:rPr>
        <w:t xml:space="preserve">other deal </w:t>
      </w:r>
      <w:r w:rsidRPr="00FA0C14">
        <w:rPr>
          <w:rFonts w:asciiTheme="minorHAnsi" w:hAnsiTheme="minorHAnsi" w:cs="Times New Roman"/>
          <w:sz w:val="20"/>
          <w:szCs w:val="20"/>
          <w:lang w:val="en-IE"/>
        </w:rPr>
        <w:t xml:space="preserve">related costs. </w:t>
      </w:r>
      <w:r w:rsidRPr="001C5950">
        <w:rPr>
          <w:rFonts w:asciiTheme="minorHAnsi" w:hAnsiTheme="minorHAnsi" w:cs="Times New Roman"/>
          <w:sz w:val="20"/>
          <w:szCs w:val="20"/>
          <w:lang w:val="en-IE"/>
        </w:rPr>
        <w:t>The tax effect of separately disclosed items in the current year amounted to a tax credit of £</w:t>
      </w:r>
      <w:r>
        <w:rPr>
          <w:rFonts w:asciiTheme="minorHAnsi" w:hAnsiTheme="minorHAnsi" w:cs="Times New Roman"/>
          <w:sz w:val="20"/>
          <w:szCs w:val="20"/>
          <w:lang w:val="en-IE"/>
        </w:rPr>
        <w:t>18.6</w:t>
      </w:r>
      <w:r w:rsidRPr="001C5950">
        <w:rPr>
          <w:rFonts w:asciiTheme="minorHAnsi" w:hAnsiTheme="minorHAnsi" w:cs="Times New Roman"/>
          <w:sz w:val="20"/>
          <w:szCs w:val="20"/>
          <w:lang w:val="en-IE"/>
        </w:rPr>
        <w:t>m</w:t>
      </w:r>
      <w:r>
        <w:rPr>
          <w:rFonts w:asciiTheme="minorHAnsi" w:hAnsiTheme="minorHAnsi" w:cs="Times New Roman"/>
          <w:sz w:val="20"/>
          <w:szCs w:val="20"/>
          <w:lang w:val="en-IE"/>
        </w:rPr>
        <w:t xml:space="preserve"> (2018: £15.1m)</w:t>
      </w:r>
      <w:r w:rsidRPr="001C5950">
        <w:rPr>
          <w:rFonts w:asciiTheme="minorHAnsi" w:hAnsiTheme="minorHAnsi" w:cs="Times New Roman"/>
          <w:sz w:val="20"/>
          <w:szCs w:val="20"/>
          <w:lang w:val="en-IE"/>
        </w:rPr>
        <w:t>.</w:t>
      </w:r>
    </w:p>
    <w:p w14:paraId="74273E9A" w14:textId="77777777" w:rsidR="00794AFD" w:rsidRPr="00FC3D06" w:rsidRDefault="00794AFD" w:rsidP="00794AFD">
      <w:pPr>
        <w:widowControl/>
        <w:autoSpaceDE/>
        <w:autoSpaceDN/>
        <w:adjustRightInd/>
        <w:rPr>
          <w:rFonts w:asciiTheme="minorHAnsi" w:hAnsiTheme="minorHAnsi" w:cs="Times New Roman"/>
          <w:sz w:val="20"/>
          <w:szCs w:val="20"/>
          <w:lang w:val="en-IE"/>
        </w:rPr>
      </w:pPr>
    </w:p>
    <w:p w14:paraId="20998F83" w14:textId="77777777" w:rsidR="00794AFD" w:rsidRPr="001C5950" w:rsidRDefault="00794AFD" w:rsidP="00794AFD">
      <w:pPr>
        <w:widowControl/>
        <w:autoSpaceDE/>
        <w:autoSpaceDN/>
        <w:adjustRightInd/>
        <w:rPr>
          <w:rFonts w:asciiTheme="minorHAnsi" w:hAnsiTheme="minorHAnsi" w:cs="Times New Roman"/>
          <w:sz w:val="20"/>
          <w:szCs w:val="20"/>
          <w:lang w:val="en-IE"/>
        </w:rPr>
      </w:pPr>
      <w:r w:rsidRPr="001C5950">
        <w:rPr>
          <w:rFonts w:asciiTheme="minorHAnsi" w:hAnsiTheme="minorHAnsi" w:cs="Times New Roman"/>
          <w:sz w:val="20"/>
          <w:szCs w:val="20"/>
          <w:lang w:val="en-IE"/>
        </w:rPr>
        <w:t xml:space="preserve">The Group’s underlying effective tax rate </w:t>
      </w:r>
      <w:r w:rsidRPr="00FA0C14">
        <w:rPr>
          <w:rFonts w:asciiTheme="minorHAnsi" w:hAnsiTheme="minorHAnsi" w:cs="Times New Roman"/>
          <w:sz w:val="20"/>
          <w:szCs w:val="20"/>
          <w:lang w:val="en-IE"/>
        </w:rPr>
        <w:t xml:space="preserve">of </w:t>
      </w:r>
      <w:r w:rsidRPr="00070ED0">
        <w:rPr>
          <w:rFonts w:asciiTheme="minorHAnsi" w:hAnsiTheme="minorHAnsi" w:cs="Times New Roman"/>
          <w:sz w:val="20"/>
          <w:szCs w:val="20"/>
          <w:lang w:val="en-IE"/>
        </w:rPr>
        <w:t>15.9%</w:t>
      </w:r>
      <w:r w:rsidRPr="00FA0C14">
        <w:rPr>
          <w:rFonts w:asciiTheme="minorHAnsi" w:hAnsiTheme="minorHAnsi" w:cs="Times New Roman"/>
          <w:sz w:val="20"/>
          <w:szCs w:val="20"/>
          <w:lang w:val="en-IE"/>
        </w:rPr>
        <w:t xml:space="preserve"> (2018</w:t>
      </w:r>
      <w:r w:rsidRPr="001C5950">
        <w:rPr>
          <w:rFonts w:asciiTheme="minorHAnsi" w:hAnsiTheme="minorHAnsi" w:cs="Times New Roman"/>
          <w:sz w:val="20"/>
          <w:szCs w:val="20"/>
          <w:lang w:val="en-IE"/>
        </w:rPr>
        <w:t xml:space="preserve">: </w:t>
      </w:r>
      <w:r>
        <w:rPr>
          <w:rFonts w:asciiTheme="minorHAnsi" w:hAnsiTheme="minorHAnsi" w:cs="Times New Roman"/>
          <w:sz w:val="20"/>
          <w:szCs w:val="20"/>
          <w:lang w:val="en-IE"/>
        </w:rPr>
        <w:t>14</w:t>
      </w:r>
      <w:r w:rsidRPr="001C5950">
        <w:rPr>
          <w:rFonts w:asciiTheme="minorHAnsi" w:hAnsiTheme="minorHAnsi" w:cs="Times New Roman"/>
          <w:sz w:val="20"/>
          <w:szCs w:val="20"/>
          <w:lang w:val="en-IE"/>
        </w:rPr>
        <w:t>.</w:t>
      </w:r>
      <w:r>
        <w:rPr>
          <w:rFonts w:asciiTheme="minorHAnsi" w:hAnsiTheme="minorHAnsi" w:cs="Times New Roman"/>
          <w:sz w:val="20"/>
          <w:szCs w:val="20"/>
          <w:lang w:val="en-IE"/>
        </w:rPr>
        <w:t>9</w:t>
      </w:r>
      <w:r w:rsidRPr="001C5950">
        <w:rPr>
          <w:rFonts w:asciiTheme="minorHAnsi" w:hAnsiTheme="minorHAnsi" w:cs="Times New Roman"/>
          <w:sz w:val="20"/>
          <w:szCs w:val="20"/>
          <w:lang w:val="en-IE"/>
        </w:rPr>
        <w:t xml:space="preserve">%) is materially impacted by the geographic mix of profits and reflects a combination of higher and lower headline rates of tax in the various jurisdictions in which the Group operates when compared with the Irish standard rate of corporation tax of 12.5%. </w:t>
      </w:r>
    </w:p>
    <w:p w14:paraId="3E2347EB" w14:textId="77777777" w:rsidR="00794AFD" w:rsidRPr="00FC3D06" w:rsidRDefault="00794AFD" w:rsidP="00794AFD">
      <w:pPr>
        <w:widowControl/>
        <w:autoSpaceDE/>
        <w:autoSpaceDN/>
        <w:adjustRightInd/>
        <w:rPr>
          <w:rFonts w:asciiTheme="minorHAnsi" w:hAnsiTheme="minorHAnsi" w:cs="Times New Roman"/>
          <w:sz w:val="20"/>
          <w:szCs w:val="20"/>
          <w:lang w:val="en-IE"/>
        </w:rPr>
      </w:pPr>
    </w:p>
    <w:p w14:paraId="6A8AC61B" w14:textId="77777777" w:rsidR="00794AFD" w:rsidRPr="001C5950" w:rsidRDefault="00794AFD" w:rsidP="00794AFD">
      <w:pPr>
        <w:widowControl/>
        <w:autoSpaceDE/>
        <w:autoSpaceDN/>
        <w:adjustRightInd/>
        <w:rPr>
          <w:rFonts w:asciiTheme="minorHAnsi" w:hAnsiTheme="minorHAnsi" w:cs="Times New Roman"/>
          <w:sz w:val="20"/>
          <w:szCs w:val="20"/>
          <w:lang w:val="en-IE"/>
        </w:rPr>
      </w:pPr>
      <w:r w:rsidRPr="001C5950">
        <w:rPr>
          <w:rFonts w:asciiTheme="minorHAnsi" w:hAnsiTheme="minorHAnsi" w:cs="Times New Roman"/>
          <w:sz w:val="20"/>
          <w:szCs w:val="20"/>
          <w:lang w:val="en-IE"/>
        </w:rPr>
        <w:t>The Group's underlying effective tax rate is also materially impacted by the movement on deferred tax balances which remain unrecognised due to the doubt over the future recoverability of those assets, as well as the effect of expenses which are not deductible for tax purposes.</w:t>
      </w:r>
    </w:p>
    <w:p w14:paraId="68DEDB70" w14:textId="77777777" w:rsidR="00794AFD" w:rsidRPr="001C5950" w:rsidRDefault="00794AFD" w:rsidP="00794AFD">
      <w:pPr>
        <w:widowControl/>
        <w:autoSpaceDE/>
        <w:autoSpaceDN/>
        <w:adjustRightInd/>
        <w:rPr>
          <w:rFonts w:asciiTheme="minorHAnsi" w:hAnsiTheme="minorHAnsi" w:cs="Times New Roman"/>
          <w:sz w:val="20"/>
          <w:szCs w:val="20"/>
          <w:lang w:val="en-IE"/>
        </w:rPr>
      </w:pPr>
    </w:p>
    <w:p w14:paraId="48954B87" w14:textId="77777777" w:rsidR="00794AFD" w:rsidRPr="00070ED0" w:rsidRDefault="00794AFD" w:rsidP="00794AFD">
      <w:pPr>
        <w:widowControl/>
        <w:autoSpaceDE/>
        <w:autoSpaceDN/>
        <w:adjustRightInd/>
        <w:rPr>
          <w:rFonts w:asciiTheme="minorHAnsi" w:hAnsiTheme="minorHAnsi" w:cs="Times New Roman"/>
          <w:sz w:val="20"/>
          <w:szCs w:val="20"/>
          <w:lang w:val="en-IE"/>
        </w:rPr>
      </w:pPr>
      <w:r w:rsidRPr="00070ED0">
        <w:rPr>
          <w:rFonts w:asciiTheme="minorHAnsi" w:hAnsiTheme="minorHAnsi" w:cs="Times New Roman"/>
          <w:sz w:val="20"/>
          <w:szCs w:val="20"/>
          <w:lang w:val="en-IE"/>
        </w:rPr>
        <w:t>No significant changes are expected to statutory tax rates other than those announced and enacted at 31 December 2019; principally the reduction in the headline rate of UK corporation tax to 17% in April 2020.</w:t>
      </w:r>
    </w:p>
    <w:p w14:paraId="227F4CD7" w14:textId="77777777" w:rsidR="00794AFD" w:rsidRPr="009D3006" w:rsidRDefault="00794AFD" w:rsidP="00794AFD">
      <w:pPr>
        <w:widowControl/>
        <w:autoSpaceDE/>
        <w:autoSpaceDN/>
        <w:adjustRightInd/>
        <w:rPr>
          <w:rFonts w:asciiTheme="minorHAnsi" w:hAnsiTheme="minorHAnsi" w:cs="Times New Roman"/>
          <w:sz w:val="20"/>
          <w:szCs w:val="20"/>
          <w:highlight w:val="yellow"/>
          <w:lang w:val="en-IE"/>
        </w:rPr>
      </w:pPr>
    </w:p>
    <w:p w14:paraId="08B3A2EF" w14:textId="77777777" w:rsidR="00794AFD" w:rsidRPr="00070ED0" w:rsidRDefault="00794AFD" w:rsidP="00794AFD">
      <w:pPr>
        <w:widowControl/>
        <w:autoSpaceDE/>
        <w:autoSpaceDN/>
        <w:adjustRightInd/>
        <w:rPr>
          <w:rFonts w:asciiTheme="minorHAnsi" w:hAnsiTheme="minorHAnsi" w:cs="Times New Roman"/>
          <w:sz w:val="20"/>
          <w:szCs w:val="20"/>
          <w:lang w:val="en-IE"/>
        </w:rPr>
      </w:pPr>
      <w:r w:rsidRPr="00070ED0">
        <w:rPr>
          <w:rFonts w:asciiTheme="minorHAnsi" w:hAnsiTheme="minorHAnsi" w:cs="Times New Roman"/>
          <w:sz w:val="20"/>
          <w:szCs w:val="20"/>
          <w:lang w:val="en-IE"/>
        </w:rPr>
        <w:t xml:space="preserve">The effect of the reduction in the UK headline rate of corporation tax on recognised deferred tax balances in the UK is reflected in the above tax reconciliation. </w:t>
      </w:r>
    </w:p>
    <w:p w14:paraId="6E7E6198" w14:textId="77777777" w:rsidR="00794AFD" w:rsidRPr="009D3006" w:rsidRDefault="00794AFD" w:rsidP="00794AFD">
      <w:pPr>
        <w:widowControl/>
        <w:autoSpaceDE/>
        <w:autoSpaceDN/>
        <w:adjustRightInd/>
        <w:rPr>
          <w:rFonts w:asciiTheme="minorHAnsi" w:hAnsiTheme="minorHAnsi" w:cs="Times New Roman"/>
          <w:sz w:val="20"/>
          <w:szCs w:val="20"/>
          <w:highlight w:val="yellow"/>
          <w:lang w:val="en-IE"/>
        </w:rPr>
      </w:pPr>
    </w:p>
    <w:p w14:paraId="0172FBF5" w14:textId="77777777" w:rsidR="00794AFD" w:rsidRPr="00FC3D06" w:rsidRDefault="00794AFD" w:rsidP="00794AFD">
      <w:pPr>
        <w:widowControl/>
        <w:autoSpaceDE/>
        <w:autoSpaceDN/>
        <w:adjustRightInd/>
        <w:rPr>
          <w:rFonts w:asciiTheme="minorHAnsi" w:hAnsiTheme="minorHAnsi" w:cs="Times New Roman"/>
          <w:sz w:val="20"/>
          <w:szCs w:val="20"/>
          <w:lang w:val="en-IE"/>
        </w:rPr>
      </w:pPr>
      <w:r w:rsidRPr="00070ED0">
        <w:rPr>
          <w:rFonts w:asciiTheme="minorHAnsi" w:hAnsiTheme="minorHAnsi" w:cs="Times New Roman"/>
          <w:sz w:val="20"/>
          <w:szCs w:val="20"/>
          <w:lang w:val="en-IE"/>
        </w:rPr>
        <w:t>The future effective tax rate of the Group is principally affected by the ongoing geographic mix of profits in accordance with the OECD guidelines in relation to Base Erosion and Profit Shifting.</w:t>
      </w:r>
    </w:p>
    <w:p w14:paraId="3338A3AC" w14:textId="77777777" w:rsidR="00794AFD" w:rsidRPr="00FC3D06" w:rsidRDefault="00794AFD" w:rsidP="00794AFD">
      <w:pPr>
        <w:widowControl/>
        <w:autoSpaceDE/>
        <w:autoSpaceDN/>
        <w:adjustRightInd/>
        <w:rPr>
          <w:rFonts w:asciiTheme="minorHAnsi" w:hAnsiTheme="minorHAnsi" w:cs="Times New Roman"/>
          <w:sz w:val="20"/>
          <w:szCs w:val="20"/>
          <w:lang w:val="en-IE"/>
        </w:rPr>
      </w:pPr>
    </w:p>
    <w:p w14:paraId="1EEBC3C5" w14:textId="77777777" w:rsidR="00794AFD" w:rsidRPr="001C5950" w:rsidRDefault="00794AFD" w:rsidP="00794AFD">
      <w:pPr>
        <w:widowControl/>
        <w:autoSpaceDE/>
        <w:autoSpaceDN/>
        <w:adjustRightInd/>
        <w:rPr>
          <w:rFonts w:asciiTheme="minorHAnsi" w:hAnsiTheme="minorHAnsi" w:cs="Times New Roman"/>
          <w:b/>
          <w:bCs/>
          <w:sz w:val="20"/>
          <w:szCs w:val="20"/>
        </w:rPr>
      </w:pPr>
      <w:bookmarkStart w:id="38" w:name="_Hlk31701459"/>
      <w:r>
        <w:rPr>
          <w:rFonts w:asciiTheme="minorHAnsi" w:hAnsiTheme="minorHAnsi" w:cs="Times New Roman"/>
          <w:b/>
          <w:bCs/>
          <w:sz w:val="20"/>
          <w:szCs w:val="20"/>
        </w:rPr>
        <w:t>6</w:t>
      </w:r>
      <w:r w:rsidRPr="001C5950">
        <w:rPr>
          <w:rFonts w:asciiTheme="minorHAnsi" w:hAnsiTheme="minorHAnsi" w:cs="Times New Roman"/>
          <w:b/>
          <w:bCs/>
          <w:sz w:val="20"/>
          <w:szCs w:val="20"/>
        </w:rPr>
        <w:t>.  Earnings per share</w:t>
      </w:r>
    </w:p>
    <w:p w14:paraId="55C22A14" w14:textId="77777777" w:rsidR="00794AFD" w:rsidRPr="00FC3D06" w:rsidRDefault="00794AFD" w:rsidP="00794AFD">
      <w:pPr>
        <w:rPr>
          <w:rFonts w:asciiTheme="minorHAnsi" w:hAnsiTheme="minorHAnsi" w:cs="Times New Roman"/>
          <w:b/>
          <w:bCs/>
          <w:sz w:val="20"/>
          <w:szCs w:val="20"/>
        </w:rPr>
      </w:pPr>
    </w:p>
    <w:p w14:paraId="14D52ABB" w14:textId="77777777" w:rsidR="00794AFD" w:rsidRPr="001C5950" w:rsidRDefault="00794AFD" w:rsidP="00794AFD">
      <w:pPr>
        <w:rPr>
          <w:rFonts w:asciiTheme="minorHAnsi" w:hAnsiTheme="minorHAnsi"/>
          <w:sz w:val="20"/>
          <w:lang w:val="en-IE"/>
        </w:rPr>
      </w:pPr>
      <w:r w:rsidRPr="001C5950">
        <w:rPr>
          <w:rFonts w:asciiTheme="minorHAnsi" w:hAnsiTheme="minorHAnsi"/>
          <w:sz w:val="20"/>
          <w:lang w:val="en-IE"/>
        </w:rPr>
        <w:t>The Group presents basic and diluted earnings per share (“EPS”) data for its ordinary shares. Basic EPS is calculated by dividing the profit or loss attributable to ordinary shareholders of the Company by the weighted average number of ordinary shares outstanding during the year. The weighted average number of shares has been adjusted for amounts held as Treasury Shares and amounts held by the Group’s Employee Benefit Trust (“EBT”).</w:t>
      </w:r>
    </w:p>
    <w:p w14:paraId="50D5017A" w14:textId="77777777" w:rsidR="00794AFD" w:rsidRPr="001C5950" w:rsidRDefault="00794AFD" w:rsidP="00794AFD">
      <w:pPr>
        <w:rPr>
          <w:rFonts w:asciiTheme="minorHAnsi" w:hAnsiTheme="minorHAnsi"/>
          <w:sz w:val="20"/>
          <w:lang w:val="en-IE"/>
        </w:rPr>
      </w:pPr>
    </w:p>
    <w:p w14:paraId="16A69258" w14:textId="77777777" w:rsidR="00794AFD" w:rsidRPr="001C5950" w:rsidRDefault="00794AFD" w:rsidP="00794AFD">
      <w:pPr>
        <w:rPr>
          <w:rFonts w:asciiTheme="minorHAnsi" w:hAnsiTheme="minorHAnsi"/>
          <w:sz w:val="20"/>
          <w:lang w:val="en-IE"/>
        </w:rPr>
      </w:pPr>
      <w:r w:rsidRPr="001C5950">
        <w:rPr>
          <w:rFonts w:asciiTheme="minorHAnsi" w:hAnsiTheme="minorHAnsi"/>
          <w:sz w:val="20"/>
          <w:lang w:val="en-IE"/>
        </w:rPr>
        <w:t>Diluted EPS is determined by adjusting the profit or loss attributable to ordinary shareholders and the weighted average number of ordinary shares outstanding for the effects of all dilutive potential ordinary shares.</w:t>
      </w:r>
    </w:p>
    <w:p w14:paraId="0F48F876" w14:textId="77777777" w:rsidR="00794AFD" w:rsidRPr="00FC3D06" w:rsidRDefault="00794AFD" w:rsidP="00794AFD">
      <w:pPr>
        <w:rPr>
          <w:rFonts w:asciiTheme="minorHAnsi" w:hAnsiTheme="minorHAnsi"/>
          <w:sz w:val="20"/>
          <w:lang w:val="en-IE"/>
        </w:rPr>
      </w:pPr>
    </w:p>
    <w:p w14:paraId="7D708D12" w14:textId="77777777" w:rsidR="00794AFD" w:rsidRPr="001C5950" w:rsidRDefault="00794AFD" w:rsidP="00794AFD">
      <w:pPr>
        <w:rPr>
          <w:rFonts w:asciiTheme="minorHAnsi" w:hAnsiTheme="minorHAnsi"/>
          <w:sz w:val="20"/>
          <w:lang w:val="en-IE"/>
        </w:rPr>
      </w:pPr>
      <w:r w:rsidRPr="001C5950">
        <w:rPr>
          <w:rFonts w:asciiTheme="minorHAnsi" w:hAnsiTheme="minorHAnsi"/>
          <w:sz w:val="20"/>
          <w:lang w:val="en-IE"/>
        </w:rPr>
        <w:t>The calculation of basic and diluted EPS is as follows:</w:t>
      </w:r>
    </w:p>
    <w:p w14:paraId="61E0F34F" w14:textId="77777777" w:rsidR="00794AFD" w:rsidRPr="00FC3D06" w:rsidRDefault="00794AFD" w:rsidP="00794AFD">
      <w:pPr>
        <w:rPr>
          <w:rFonts w:asciiTheme="minorHAnsi" w:hAnsiTheme="minorHAnsi" w:cs="Times New Roman"/>
          <w:sz w:val="20"/>
          <w:szCs w:val="20"/>
          <w:lang w:val="en-IE"/>
        </w:rPr>
      </w:pPr>
    </w:p>
    <w:tbl>
      <w:tblPr>
        <w:tblW w:w="8930" w:type="dxa"/>
        <w:tblInd w:w="108" w:type="dxa"/>
        <w:tblLayout w:type="fixed"/>
        <w:tblLook w:val="0000" w:firstRow="0" w:lastRow="0" w:firstColumn="0" w:lastColumn="0" w:noHBand="0" w:noVBand="0"/>
      </w:tblPr>
      <w:tblGrid>
        <w:gridCol w:w="5812"/>
        <w:gridCol w:w="1559"/>
        <w:gridCol w:w="1559"/>
      </w:tblGrid>
      <w:tr w:rsidR="00794AFD" w:rsidRPr="001C5950" w14:paraId="6B3A3D66" w14:textId="77777777" w:rsidTr="00794AFD">
        <w:tc>
          <w:tcPr>
            <w:tcW w:w="5812" w:type="dxa"/>
            <w:tcBorders>
              <w:top w:val="single" w:sz="4" w:space="0" w:color="auto"/>
              <w:left w:val="nil"/>
              <w:bottom w:val="single" w:sz="4" w:space="0" w:color="auto"/>
              <w:right w:val="nil"/>
            </w:tcBorders>
          </w:tcPr>
          <w:p w14:paraId="0DE2FCA3" w14:textId="77777777" w:rsidR="00794AFD" w:rsidRPr="00FC3D06" w:rsidRDefault="00794AFD" w:rsidP="00794AFD">
            <w:pPr>
              <w:rPr>
                <w:rFonts w:asciiTheme="minorHAnsi" w:hAnsiTheme="minorHAnsi" w:cs="Times New Roman"/>
                <w:sz w:val="20"/>
                <w:szCs w:val="20"/>
              </w:rPr>
            </w:pPr>
          </w:p>
        </w:tc>
        <w:tc>
          <w:tcPr>
            <w:tcW w:w="1559" w:type="dxa"/>
            <w:tcBorders>
              <w:top w:val="single" w:sz="4" w:space="0" w:color="auto"/>
              <w:left w:val="nil"/>
              <w:bottom w:val="single" w:sz="4" w:space="0" w:color="auto"/>
              <w:right w:val="nil"/>
            </w:tcBorders>
          </w:tcPr>
          <w:p w14:paraId="5802B202" w14:textId="77777777" w:rsidR="00794AFD" w:rsidRPr="009D3006" w:rsidRDefault="00794AFD" w:rsidP="00794AFD">
            <w:pPr>
              <w:jc w:val="right"/>
              <w:rPr>
                <w:rFonts w:asciiTheme="minorHAnsi" w:hAnsiTheme="minorHAnsi" w:cs="Times New Roman"/>
                <w:b/>
                <w:sz w:val="20"/>
                <w:szCs w:val="20"/>
                <w:highlight w:val="yellow"/>
              </w:rPr>
            </w:pPr>
          </w:p>
          <w:p w14:paraId="7A73EACA" w14:textId="77777777" w:rsidR="00794AFD" w:rsidRPr="009D3006" w:rsidRDefault="00794AFD" w:rsidP="00794AFD">
            <w:pPr>
              <w:jc w:val="right"/>
              <w:rPr>
                <w:rFonts w:asciiTheme="minorHAnsi" w:hAnsiTheme="minorHAnsi" w:cs="Times New Roman"/>
                <w:b/>
                <w:sz w:val="20"/>
                <w:szCs w:val="20"/>
                <w:highlight w:val="yellow"/>
              </w:rPr>
            </w:pPr>
            <w:r w:rsidRPr="00070ED0">
              <w:rPr>
                <w:rFonts w:asciiTheme="minorHAnsi" w:hAnsiTheme="minorHAnsi" w:cs="Times New Roman"/>
                <w:b/>
                <w:sz w:val="20"/>
                <w:szCs w:val="20"/>
              </w:rPr>
              <w:t>2019</w:t>
            </w:r>
          </w:p>
        </w:tc>
        <w:tc>
          <w:tcPr>
            <w:tcW w:w="1559" w:type="dxa"/>
            <w:tcBorders>
              <w:top w:val="single" w:sz="4" w:space="0" w:color="auto"/>
              <w:left w:val="nil"/>
              <w:bottom w:val="single" w:sz="4" w:space="0" w:color="auto"/>
              <w:right w:val="nil"/>
            </w:tcBorders>
          </w:tcPr>
          <w:p w14:paraId="4C032F15" w14:textId="77777777" w:rsidR="00794AFD" w:rsidRPr="001C5950" w:rsidRDefault="00794AFD" w:rsidP="00794AFD">
            <w:pPr>
              <w:jc w:val="right"/>
              <w:rPr>
                <w:rFonts w:asciiTheme="minorHAnsi" w:hAnsiTheme="minorHAnsi" w:cs="Times New Roman"/>
                <w:sz w:val="20"/>
                <w:szCs w:val="20"/>
              </w:rPr>
            </w:pPr>
          </w:p>
          <w:p w14:paraId="31322174" w14:textId="77777777" w:rsidR="00794AFD" w:rsidRPr="001C5950" w:rsidRDefault="00794AFD" w:rsidP="00794AFD">
            <w:pPr>
              <w:jc w:val="right"/>
              <w:rPr>
                <w:rFonts w:asciiTheme="minorHAnsi" w:hAnsiTheme="minorHAnsi" w:cs="Times New Roman"/>
                <w:sz w:val="20"/>
                <w:szCs w:val="20"/>
              </w:rPr>
            </w:pPr>
            <w:r>
              <w:rPr>
                <w:rFonts w:asciiTheme="minorHAnsi" w:hAnsiTheme="minorHAnsi" w:cs="Times New Roman"/>
                <w:sz w:val="20"/>
                <w:szCs w:val="20"/>
              </w:rPr>
              <w:t>2018</w:t>
            </w:r>
          </w:p>
        </w:tc>
      </w:tr>
      <w:tr w:rsidR="00794AFD" w:rsidRPr="001C5950" w14:paraId="3201DD47" w14:textId="77777777" w:rsidTr="00794AFD">
        <w:tc>
          <w:tcPr>
            <w:tcW w:w="5812" w:type="dxa"/>
            <w:tcBorders>
              <w:top w:val="single" w:sz="4" w:space="0" w:color="auto"/>
              <w:left w:val="nil"/>
              <w:right w:val="nil"/>
            </w:tcBorders>
          </w:tcPr>
          <w:p w14:paraId="34525F3A" w14:textId="77777777" w:rsidR="00794AFD" w:rsidRPr="001C5950" w:rsidRDefault="00794AFD" w:rsidP="00794AFD">
            <w:pPr>
              <w:ind w:left="-108"/>
              <w:rPr>
                <w:rFonts w:asciiTheme="minorHAnsi" w:hAnsiTheme="minorHAnsi" w:cs="Times New Roman"/>
                <w:i/>
                <w:sz w:val="20"/>
                <w:szCs w:val="20"/>
              </w:rPr>
            </w:pPr>
            <w:r w:rsidRPr="001C5950">
              <w:rPr>
                <w:rFonts w:asciiTheme="minorHAnsi" w:hAnsiTheme="minorHAnsi" w:cs="Times New Roman"/>
                <w:i/>
                <w:sz w:val="20"/>
                <w:szCs w:val="20"/>
              </w:rPr>
              <w:t>Numerator in respect of basic and diluted earnings per share (£m):</w:t>
            </w:r>
          </w:p>
        </w:tc>
        <w:tc>
          <w:tcPr>
            <w:tcW w:w="1559" w:type="dxa"/>
            <w:tcBorders>
              <w:top w:val="single" w:sz="4" w:space="0" w:color="auto"/>
              <w:left w:val="nil"/>
              <w:right w:val="nil"/>
            </w:tcBorders>
          </w:tcPr>
          <w:p w14:paraId="571C0092" w14:textId="77777777" w:rsidR="00794AFD" w:rsidRPr="009D3006" w:rsidRDefault="00794AFD" w:rsidP="00794AFD">
            <w:pPr>
              <w:jc w:val="right"/>
              <w:rPr>
                <w:rFonts w:asciiTheme="minorHAnsi" w:hAnsiTheme="minorHAnsi" w:cs="Times New Roman"/>
                <w:sz w:val="20"/>
                <w:szCs w:val="20"/>
                <w:highlight w:val="yellow"/>
              </w:rPr>
            </w:pPr>
          </w:p>
        </w:tc>
        <w:tc>
          <w:tcPr>
            <w:tcW w:w="1559" w:type="dxa"/>
            <w:tcBorders>
              <w:top w:val="single" w:sz="4" w:space="0" w:color="auto"/>
              <w:left w:val="nil"/>
              <w:right w:val="nil"/>
            </w:tcBorders>
          </w:tcPr>
          <w:p w14:paraId="684ECC56" w14:textId="77777777" w:rsidR="00794AFD" w:rsidRPr="001C5950" w:rsidRDefault="00794AFD" w:rsidP="00794AFD">
            <w:pPr>
              <w:jc w:val="right"/>
              <w:rPr>
                <w:rFonts w:asciiTheme="minorHAnsi" w:hAnsiTheme="minorHAnsi" w:cs="Times New Roman"/>
                <w:sz w:val="20"/>
                <w:szCs w:val="20"/>
              </w:rPr>
            </w:pPr>
          </w:p>
        </w:tc>
      </w:tr>
      <w:tr w:rsidR="00794AFD" w:rsidRPr="001C5950" w14:paraId="4A7D1881" w14:textId="77777777" w:rsidTr="00794AFD">
        <w:trPr>
          <w:trHeight w:val="157"/>
        </w:trPr>
        <w:tc>
          <w:tcPr>
            <w:tcW w:w="5812" w:type="dxa"/>
            <w:tcBorders>
              <w:top w:val="nil"/>
              <w:left w:val="nil"/>
              <w:bottom w:val="single" w:sz="4" w:space="0" w:color="auto"/>
              <w:right w:val="nil"/>
            </w:tcBorders>
          </w:tcPr>
          <w:p w14:paraId="0C92C510"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Profit attributable to equity holders of the Company</w:t>
            </w:r>
          </w:p>
        </w:tc>
        <w:tc>
          <w:tcPr>
            <w:tcW w:w="1559" w:type="dxa"/>
            <w:tcBorders>
              <w:top w:val="nil"/>
              <w:left w:val="nil"/>
              <w:bottom w:val="single" w:sz="4" w:space="0" w:color="auto"/>
              <w:right w:val="nil"/>
            </w:tcBorders>
          </w:tcPr>
          <w:p w14:paraId="759EA93C" w14:textId="77777777" w:rsidR="00794AFD" w:rsidRPr="00784F67" w:rsidRDefault="00794AFD" w:rsidP="00794AFD">
            <w:pPr>
              <w:jc w:val="right"/>
              <w:rPr>
                <w:rFonts w:asciiTheme="minorHAnsi" w:hAnsiTheme="minorHAnsi" w:cs="Times New Roman"/>
                <w:b/>
                <w:sz w:val="20"/>
                <w:szCs w:val="20"/>
              </w:rPr>
            </w:pPr>
            <w:r w:rsidRPr="00784F67">
              <w:rPr>
                <w:rFonts w:asciiTheme="minorHAnsi" w:hAnsiTheme="minorHAnsi" w:cs="Times New Roman"/>
                <w:b/>
                <w:sz w:val="20"/>
                <w:szCs w:val="20"/>
              </w:rPr>
              <w:t>144.</w:t>
            </w:r>
            <w:r>
              <w:rPr>
                <w:rFonts w:asciiTheme="minorHAnsi" w:hAnsiTheme="minorHAnsi" w:cs="Times New Roman"/>
                <w:b/>
                <w:sz w:val="20"/>
                <w:szCs w:val="20"/>
              </w:rPr>
              <w:t>0</w:t>
            </w:r>
          </w:p>
        </w:tc>
        <w:tc>
          <w:tcPr>
            <w:tcW w:w="1559" w:type="dxa"/>
            <w:tcBorders>
              <w:top w:val="nil"/>
              <w:left w:val="nil"/>
              <w:bottom w:val="single" w:sz="4" w:space="0" w:color="auto"/>
              <w:right w:val="nil"/>
            </w:tcBorders>
          </w:tcPr>
          <w:p w14:paraId="62CF6C5D" w14:textId="77777777" w:rsidR="00794AFD" w:rsidRPr="009D3006" w:rsidRDefault="00794AFD" w:rsidP="00794AFD">
            <w:pPr>
              <w:jc w:val="right"/>
              <w:rPr>
                <w:rFonts w:asciiTheme="minorHAnsi" w:hAnsiTheme="minorHAnsi" w:cs="Times New Roman"/>
                <w:sz w:val="20"/>
                <w:szCs w:val="20"/>
              </w:rPr>
            </w:pPr>
            <w:r w:rsidRPr="009D3006">
              <w:rPr>
                <w:rFonts w:asciiTheme="minorHAnsi" w:hAnsiTheme="minorHAnsi" w:cs="Times New Roman"/>
                <w:sz w:val="20"/>
                <w:szCs w:val="20"/>
              </w:rPr>
              <w:t>201.4</w:t>
            </w:r>
          </w:p>
        </w:tc>
      </w:tr>
      <w:tr w:rsidR="00794AFD" w:rsidRPr="001C5950" w14:paraId="47FD474F" w14:textId="77777777" w:rsidTr="00794AFD">
        <w:trPr>
          <w:trHeight w:val="120"/>
        </w:trPr>
        <w:tc>
          <w:tcPr>
            <w:tcW w:w="5812" w:type="dxa"/>
            <w:tcBorders>
              <w:top w:val="single" w:sz="4" w:space="0" w:color="auto"/>
              <w:left w:val="nil"/>
              <w:right w:val="nil"/>
            </w:tcBorders>
          </w:tcPr>
          <w:p w14:paraId="3C21FC35" w14:textId="77777777" w:rsidR="00794AFD" w:rsidRPr="001C5950" w:rsidRDefault="00794AFD" w:rsidP="00794AFD">
            <w:pPr>
              <w:ind w:left="-108"/>
              <w:rPr>
                <w:rFonts w:asciiTheme="minorHAnsi" w:hAnsiTheme="minorHAnsi" w:cs="Times New Roman"/>
                <w:sz w:val="20"/>
                <w:szCs w:val="20"/>
              </w:rPr>
            </w:pPr>
          </w:p>
        </w:tc>
        <w:tc>
          <w:tcPr>
            <w:tcW w:w="1559" w:type="dxa"/>
            <w:tcBorders>
              <w:top w:val="single" w:sz="4" w:space="0" w:color="auto"/>
              <w:left w:val="nil"/>
              <w:right w:val="nil"/>
            </w:tcBorders>
          </w:tcPr>
          <w:p w14:paraId="7ED553F1" w14:textId="77777777" w:rsidR="00794AFD" w:rsidRPr="009D3006" w:rsidRDefault="00794AFD" w:rsidP="00794AFD">
            <w:pPr>
              <w:jc w:val="right"/>
              <w:rPr>
                <w:rFonts w:asciiTheme="minorHAnsi" w:hAnsiTheme="minorHAnsi" w:cs="Times New Roman"/>
                <w:b/>
                <w:sz w:val="20"/>
                <w:szCs w:val="20"/>
                <w:highlight w:val="yellow"/>
              </w:rPr>
            </w:pPr>
          </w:p>
        </w:tc>
        <w:tc>
          <w:tcPr>
            <w:tcW w:w="1559" w:type="dxa"/>
            <w:tcBorders>
              <w:top w:val="single" w:sz="4" w:space="0" w:color="auto"/>
              <w:left w:val="nil"/>
              <w:right w:val="nil"/>
            </w:tcBorders>
          </w:tcPr>
          <w:p w14:paraId="59024AD2" w14:textId="77777777" w:rsidR="00794AFD" w:rsidRPr="009D3006" w:rsidRDefault="00794AFD" w:rsidP="00794AFD">
            <w:pPr>
              <w:jc w:val="right"/>
              <w:rPr>
                <w:rFonts w:asciiTheme="minorHAnsi" w:hAnsiTheme="minorHAnsi" w:cs="Times New Roman"/>
                <w:sz w:val="20"/>
                <w:szCs w:val="20"/>
              </w:rPr>
            </w:pPr>
          </w:p>
        </w:tc>
      </w:tr>
      <w:tr w:rsidR="00794AFD" w:rsidRPr="001C5950" w14:paraId="137C831B" w14:textId="77777777" w:rsidTr="00794AFD">
        <w:trPr>
          <w:trHeight w:val="120"/>
        </w:trPr>
        <w:tc>
          <w:tcPr>
            <w:tcW w:w="5812" w:type="dxa"/>
            <w:tcBorders>
              <w:left w:val="nil"/>
              <w:right w:val="nil"/>
            </w:tcBorders>
          </w:tcPr>
          <w:p w14:paraId="5AA5868D"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i/>
                <w:sz w:val="20"/>
                <w:szCs w:val="20"/>
              </w:rPr>
              <w:t>Numerator in respect of adjusted earnings per share (£m):</w:t>
            </w:r>
          </w:p>
        </w:tc>
        <w:tc>
          <w:tcPr>
            <w:tcW w:w="1559" w:type="dxa"/>
            <w:tcBorders>
              <w:left w:val="nil"/>
              <w:right w:val="nil"/>
            </w:tcBorders>
          </w:tcPr>
          <w:p w14:paraId="1B27BBCC" w14:textId="77777777" w:rsidR="00794AFD" w:rsidRPr="009D3006" w:rsidRDefault="00794AFD" w:rsidP="00794AFD">
            <w:pPr>
              <w:jc w:val="right"/>
              <w:rPr>
                <w:rFonts w:asciiTheme="minorHAnsi" w:hAnsiTheme="minorHAnsi" w:cs="Times New Roman"/>
                <w:b/>
                <w:sz w:val="20"/>
                <w:szCs w:val="20"/>
                <w:highlight w:val="yellow"/>
              </w:rPr>
            </w:pPr>
          </w:p>
        </w:tc>
        <w:tc>
          <w:tcPr>
            <w:tcW w:w="1559" w:type="dxa"/>
            <w:tcBorders>
              <w:left w:val="nil"/>
              <w:right w:val="nil"/>
            </w:tcBorders>
          </w:tcPr>
          <w:p w14:paraId="5E5C3C27" w14:textId="77777777" w:rsidR="00794AFD" w:rsidRPr="009D3006" w:rsidRDefault="00794AFD" w:rsidP="00794AFD">
            <w:pPr>
              <w:jc w:val="right"/>
              <w:rPr>
                <w:rFonts w:asciiTheme="minorHAnsi" w:hAnsiTheme="minorHAnsi" w:cs="Times New Roman"/>
                <w:sz w:val="20"/>
                <w:szCs w:val="20"/>
              </w:rPr>
            </w:pPr>
          </w:p>
        </w:tc>
      </w:tr>
      <w:tr w:rsidR="00794AFD" w:rsidRPr="001C5950" w14:paraId="53A3316C" w14:textId="77777777" w:rsidTr="00794AFD">
        <w:trPr>
          <w:trHeight w:val="120"/>
        </w:trPr>
        <w:tc>
          <w:tcPr>
            <w:tcW w:w="5812" w:type="dxa"/>
            <w:tcBorders>
              <w:left w:val="nil"/>
              <w:right w:val="nil"/>
            </w:tcBorders>
          </w:tcPr>
          <w:p w14:paraId="2ABE5B9B"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Profit attributable to equity holders of the Company</w:t>
            </w:r>
          </w:p>
        </w:tc>
        <w:tc>
          <w:tcPr>
            <w:tcW w:w="1559" w:type="dxa"/>
            <w:tcBorders>
              <w:left w:val="nil"/>
              <w:right w:val="nil"/>
            </w:tcBorders>
          </w:tcPr>
          <w:p w14:paraId="63CD1702" w14:textId="77777777" w:rsidR="00794AFD" w:rsidRPr="00784F67" w:rsidRDefault="00794AFD" w:rsidP="00794AFD">
            <w:pPr>
              <w:jc w:val="right"/>
              <w:rPr>
                <w:rFonts w:asciiTheme="minorHAnsi" w:hAnsiTheme="minorHAnsi" w:cs="Times New Roman"/>
                <w:b/>
                <w:sz w:val="20"/>
                <w:szCs w:val="20"/>
              </w:rPr>
            </w:pPr>
            <w:r w:rsidRPr="00784F67">
              <w:rPr>
                <w:rFonts w:asciiTheme="minorHAnsi" w:hAnsiTheme="minorHAnsi" w:cs="Times New Roman"/>
                <w:b/>
                <w:sz w:val="20"/>
                <w:szCs w:val="20"/>
              </w:rPr>
              <w:t>144.</w:t>
            </w:r>
            <w:r>
              <w:rPr>
                <w:rFonts w:asciiTheme="minorHAnsi" w:hAnsiTheme="minorHAnsi" w:cs="Times New Roman"/>
                <w:b/>
                <w:sz w:val="20"/>
                <w:szCs w:val="20"/>
              </w:rPr>
              <w:t>0</w:t>
            </w:r>
          </w:p>
        </w:tc>
        <w:tc>
          <w:tcPr>
            <w:tcW w:w="1559" w:type="dxa"/>
            <w:tcBorders>
              <w:left w:val="nil"/>
              <w:right w:val="nil"/>
            </w:tcBorders>
          </w:tcPr>
          <w:p w14:paraId="4DF88F6D" w14:textId="77777777" w:rsidR="00794AFD" w:rsidRPr="009D3006" w:rsidRDefault="00794AFD" w:rsidP="00794AFD">
            <w:pPr>
              <w:jc w:val="right"/>
              <w:rPr>
                <w:rFonts w:asciiTheme="minorHAnsi" w:hAnsiTheme="minorHAnsi" w:cs="Times New Roman"/>
                <w:sz w:val="20"/>
                <w:szCs w:val="20"/>
              </w:rPr>
            </w:pPr>
            <w:r w:rsidRPr="009D3006">
              <w:rPr>
                <w:rFonts w:asciiTheme="minorHAnsi" w:hAnsiTheme="minorHAnsi" w:cs="Times New Roman"/>
                <w:sz w:val="20"/>
                <w:szCs w:val="20"/>
              </w:rPr>
              <w:t>201.4</w:t>
            </w:r>
          </w:p>
        </w:tc>
      </w:tr>
      <w:tr w:rsidR="00794AFD" w:rsidRPr="001C5950" w14:paraId="3F06BDEF" w14:textId="77777777" w:rsidTr="00794AFD">
        <w:trPr>
          <w:trHeight w:val="120"/>
        </w:trPr>
        <w:tc>
          <w:tcPr>
            <w:tcW w:w="5812" w:type="dxa"/>
            <w:tcBorders>
              <w:left w:val="nil"/>
              <w:bottom w:val="single" w:sz="4" w:space="0" w:color="auto"/>
              <w:right w:val="nil"/>
            </w:tcBorders>
          </w:tcPr>
          <w:p w14:paraId="36ABDA7F"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Separately disclosed items</w:t>
            </w:r>
          </w:p>
        </w:tc>
        <w:tc>
          <w:tcPr>
            <w:tcW w:w="1559" w:type="dxa"/>
            <w:tcBorders>
              <w:left w:val="nil"/>
              <w:bottom w:val="single" w:sz="4" w:space="0" w:color="auto"/>
              <w:right w:val="nil"/>
            </w:tcBorders>
          </w:tcPr>
          <w:p w14:paraId="79EA00F1" w14:textId="77777777" w:rsidR="00794AFD" w:rsidRPr="00784F67" w:rsidRDefault="00794AFD" w:rsidP="00794AFD">
            <w:pPr>
              <w:jc w:val="right"/>
              <w:rPr>
                <w:rFonts w:asciiTheme="minorHAnsi" w:hAnsiTheme="minorHAnsi" w:cs="Times New Roman"/>
                <w:b/>
                <w:sz w:val="20"/>
                <w:szCs w:val="20"/>
              </w:rPr>
            </w:pPr>
            <w:r w:rsidRPr="00784F67">
              <w:rPr>
                <w:rFonts w:asciiTheme="minorHAnsi" w:hAnsiTheme="minorHAnsi" w:cs="Times New Roman"/>
                <w:b/>
                <w:sz w:val="20"/>
                <w:szCs w:val="20"/>
              </w:rPr>
              <w:t>94.4</w:t>
            </w:r>
          </w:p>
        </w:tc>
        <w:tc>
          <w:tcPr>
            <w:tcW w:w="1559" w:type="dxa"/>
            <w:tcBorders>
              <w:left w:val="nil"/>
              <w:bottom w:val="single" w:sz="4" w:space="0" w:color="auto"/>
              <w:right w:val="nil"/>
            </w:tcBorders>
          </w:tcPr>
          <w:p w14:paraId="21331058" w14:textId="77777777" w:rsidR="00794AFD" w:rsidRPr="009D3006" w:rsidRDefault="00794AFD" w:rsidP="00794AFD">
            <w:pPr>
              <w:jc w:val="right"/>
              <w:rPr>
                <w:rFonts w:asciiTheme="minorHAnsi" w:hAnsiTheme="minorHAnsi" w:cs="Times New Roman"/>
                <w:sz w:val="20"/>
                <w:szCs w:val="20"/>
              </w:rPr>
            </w:pPr>
            <w:r w:rsidRPr="009D3006">
              <w:rPr>
                <w:rFonts w:asciiTheme="minorHAnsi" w:hAnsiTheme="minorHAnsi" w:cs="Times New Roman"/>
                <w:sz w:val="20"/>
                <w:szCs w:val="20"/>
              </w:rPr>
              <w:t>114.7</w:t>
            </w:r>
          </w:p>
        </w:tc>
      </w:tr>
      <w:tr w:rsidR="00794AFD" w:rsidRPr="001C5950" w14:paraId="3E357FEE" w14:textId="77777777" w:rsidTr="00794AFD">
        <w:trPr>
          <w:trHeight w:val="120"/>
        </w:trPr>
        <w:tc>
          <w:tcPr>
            <w:tcW w:w="5812" w:type="dxa"/>
            <w:tcBorders>
              <w:top w:val="single" w:sz="4" w:space="0" w:color="auto"/>
              <w:left w:val="nil"/>
              <w:right w:val="nil"/>
            </w:tcBorders>
          </w:tcPr>
          <w:p w14:paraId="00B15BFC"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Profit for adjusted earnings per share calculation</w:t>
            </w:r>
          </w:p>
        </w:tc>
        <w:tc>
          <w:tcPr>
            <w:tcW w:w="1559" w:type="dxa"/>
            <w:tcBorders>
              <w:top w:val="single" w:sz="4" w:space="0" w:color="auto"/>
              <w:left w:val="nil"/>
              <w:right w:val="nil"/>
            </w:tcBorders>
          </w:tcPr>
          <w:p w14:paraId="2F228413" w14:textId="77777777" w:rsidR="00794AFD" w:rsidRPr="00784F67" w:rsidRDefault="00794AFD" w:rsidP="00794AFD">
            <w:pPr>
              <w:jc w:val="right"/>
              <w:rPr>
                <w:rFonts w:asciiTheme="minorHAnsi" w:hAnsiTheme="minorHAnsi" w:cs="Times New Roman"/>
                <w:b/>
                <w:sz w:val="20"/>
                <w:szCs w:val="20"/>
              </w:rPr>
            </w:pPr>
            <w:r w:rsidRPr="00784F67">
              <w:rPr>
                <w:rFonts w:asciiTheme="minorHAnsi" w:hAnsiTheme="minorHAnsi" w:cs="Times New Roman"/>
                <w:b/>
                <w:sz w:val="20"/>
                <w:szCs w:val="20"/>
              </w:rPr>
              <w:t>238.</w:t>
            </w:r>
            <w:r>
              <w:rPr>
                <w:rFonts w:asciiTheme="minorHAnsi" w:hAnsiTheme="minorHAnsi" w:cs="Times New Roman"/>
                <w:b/>
                <w:sz w:val="20"/>
                <w:szCs w:val="20"/>
              </w:rPr>
              <w:t>4</w:t>
            </w:r>
          </w:p>
        </w:tc>
        <w:tc>
          <w:tcPr>
            <w:tcW w:w="1559" w:type="dxa"/>
            <w:tcBorders>
              <w:top w:val="single" w:sz="4" w:space="0" w:color="auto"/>
              <w:left w:val="nil"/>
              <w:right w:val="nil"/>
            </w:tcBorders>
          </w:tcPr>
          <w:p w14:paraId="5A31A937" w14:textId="77777777" w:rsidR="00794AFD" w:rsidRPr="009D3006" w:rsidRDefault="00794AFD" w:rsidP="00794AFD">
            <w:pPr>
              <w:jc w:val="right"/>
              <w:rPr>
                <w:rFonts w:asciiTheme="minorHAnsi" w:hAnsiTheme="minorHAnsi" w:cs="Times New Roman"/>
                <w:sz w:val="20"/>
                <w:szCs w:val="20"/>
              </w:rPr>
            </w:pPr>
            <w:r w:rsidRPr="009D3006">
              <w:rPr>
                <w:rFonts w:asciiTheme="minorHAnsi" w:hAnsiTheme="minorHAnsi" w:cs="Times New Roman"/>
                <w:sz w:val="20"/>
                <w:szCs w:val="20"/>
              </w:rPr>
              <w:t>316.1</w:t>
            </w:r>
          </w:p>
        </w:tc>
      </w:tr>
      <w:tr w:rsidR="00794AFD" w:rsidRPr="001C5950" w14:paraId="7730C60E" w14:textId="77777777" w:rsidTr="00794AFD">
        <w:trPr>
          <w:trHeight w:val="120"/>
        </w:trPr>
        <w:tc>
          <w:tcPr>
            <w:tcW w:w="5812" w:type="dxa"/>
            <w:tcBorders>
              <w:top w:val="single" w:sz="4" w:space="0" w:color="auto"/>
              <w:left w:val="nil"/>
              <w:right w:val="nil"/>
            </w:tcBorders>
          </w:tcPr>
          <w:p w14:paraId="2579A0A2" w14:textId="77777777" w:rsidR="00794AFD" w:rsidRPr="001C5950" w:rsidRDefault="00794AFD" w:rsidP="00794AFD">
            <w:pPr>
              <w:ind w:left="-108"/>
              <w:rPr>
                <w:rFonts w:asciiTheme="minorHAnsi" w:hAnsiTheme="minorHAnsi" w:cs="Times New Roman"/>
                <w:sz w:val="20"/>
                <w:szCs w:val="20"/>
              </w:rPr>
            </w:pPr>
          </w:p>
        </w:tc>
        <w:tc>
          <w:tcPr>
            <w:tcW w:w="1559" w:type="dxa"/>
            <w:tcBorders>
              <w:top w:val="single" w:sz="4" w:space="0" w:color="auto"/>
              <w:left w:val="nil"/>
              <w:right w:val="nil"/>
            </w:tcBorders>
          </w:tcPr>
          <w:p w14:paraId="46143228" w14:textId="77777777" w:rsidR="00794AFD" w:rsidRPr="009D3006" w:rsidRDefault="00794AFD" w:rsidP="00794AFD">
            <w:pPr>
              <w:jc w:val="right"/>
              <w:rPr>
                <w:rFonts w:asciiTheme="minorHAnsi" w:hAnsiTheme="minorHAnsi" w:cs="Times New Roman"/>
                <w:b/>
                <w:sz w:val="20"/>
                <w:szCs w:val="20"/>
                <w:highlight w:val="yellow"/>
              </w:rPr>
            </w:pPr>
          </w:p>
        </w:tc>
        <w:tc>
          <w:tcPr>
            <w:tcW w:w="1559" w:type="dxa"/>
            <w:tcBorders>
              <w:top w:val="single" w:sz="4" w:space="0" w:color="auto"/>
              <w:left w:val="nil"/>
              <w:right w:val="nil"/>
            </w:tcBorders>
          </w:tcPr>
          <w:p w14:paraId="0FD4F111" w14:textId="77777777" w:rsidR="00794AFD" w:rsidRPr="009D3006" w:rsidRDefault="00794AFD" w:rsidP="00794AFD">
            <w:pPr>
              <w:jc w:val="right"/>
              <w:rPr>
                <w:rFonts w:asciiTheme="minorHAnsi" w:hAnsiTheme="minorHAnsi" w:cs="Times New Roman"/>
                <w:sz w:val="20"/>
                <w:szCs w:val="20"/>
              </w:rPr>
            </w:pPr>
          </w:p>
        </w:tc>
      </w:tr>
      <w:tr w:rsidR="00794AFD" w:rsidRPr="001C5950" w14:paraId="774E297A" w14:textId="77777777" w:rsidTr="00794AFD">
        <w:trPr>
          <w:trHeight w:val="120"/>
        </w:trPr>
        <w:tc>
          <w:tcPr>
            <w:tcW w:w="5812" w:type="dxa"/>
            <w:tcBorders>
              <w:left w:val="nil"/>
              <w:bottom w:val="single" w:sz="4" w:space="0" w:color="auto"/>
              <w:right w:val="nil"/>
            </w:tcBorders>
          </w:tcPr>
          <w:p w14:paraId="252AFFB9"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Weighted average number of ordinary shares in issue during the year (in 000’s)</w:t>
            </w:r>
          </w:p>
        </w:tc>
        <w:tc>
          <w:tcPr>
            <w:tcW w:w="1559" w:type="dxa"/>
            <w:tcBorders>
              <w:left w:val="nil"/>
              <w:bottom w:val="single" w:sz="4" w:space="0" w:color="auto"/>
              <w:right w:val="nil"/>
            </w:tcBorders>
          </w:tcPr>
          <w:p w14:paraId="7DA120C3" w14:textId="77777777" w:rsidR="00794AFD" w:rsidRPr="009D3006" w:rsidRDefault="00794AFD" w:rsidP="00794AFD">
            <w:pPr>
              <w:jc w:val="right"/>
              <w:rPr>
                <w:rFonts w:asciiTheme="minorHAnsi" w:hAnsiTheme="minorHAnsi" w:cs="Times New Roman"/>
                <w:b/>
                <w:sz w:val="20"/>
                <w:szCs w:val="20"/>
                <w:highlight w:val="yellow"/>
              </w:rPr>
            </w:pPr>
          </w:p>
          <w:p w14:paraId="2972E0C3" w14:textId="77777777" w:rsidR="00794AFD" w:rsidRPr="009D3006" w:rsidRDefault="00794AFD" w:rsidP="00794AFD">
            <w:pPr>
              <w:jc w:val="right"/>
              <w:rPr>
                <w:rFonts w:asciiTheme="minorHAnsi" w:hAnsiTheme="minorHAnsi" w:cs="Times New Roman"/>
                <w:b/>
                <w:sz w:val="20"/>
                <w:szCs w:val="20"/>
                <w:highlight w:val="yellow"/>
              </w:rPr>
            </w:pPr>
            <w:r w:rsidRPr="00070ED0">
              <w:rPr>
                <w:rFonts w:asciiTheme="minorHAnsi" w:hAnsiTheme="minorHAnsi" w:cs="Times New Roman"/>
                <w:b/>
                <w:sz w:val="20"/>
                <w:szCs w:val="20"/>
              </w:rPr>
              <w:t>78,589</w:t>
            </w:r>
          </w:p>
        </w:tc>
        <w:tc>
          <w:tcPr>
            <w:tcW w:w="1559" w:type="dxa"/>
            <w:tcBorders>
              <w:left w:val="nil"/>
              <w:bottom w:val="single" w:sz="4" w:space="0" w:color="auto"/>
              <w:right w:val="nil"/>
            </w:tcBorders>
          </w:tcPr>
          <w:p w14:paraId="37255F80" w14:textId="77777777" w:rsidR="00794AFD" w:rsidRPr="009D3006" w:rsidRDefault="00794AFD" w:rsidP="00794AFD">
            <w:pPr>
              <w:jc w:val="right"/>
              <w:rPr>
                <w:rFonts w:asciiTheme="minorHAnsi" w:hAnsiTheme="minorHAnsi" w:cs="Times New Roman"/>
                <w:sz w:val="20"/>
                <w:szCs w:val="20"/>
              </w:rPr>
            </w:pPr>
          </w:p>
          <w:p w14:paraId="2FCD6FFE" w14:textId="77777777" w:rsidR="00794AFD" w:rsidRPr="009D3006" w:rsidRDefault="00794AFD" w:rsidP="00794AFD">
            <w:pPr>
              <w:jc w:val="right"/>
              <w:rPr>
                <w:rFonts w:asciiTheme="minorHAnsi" w:hAnsiTheme="minorHAnsi" w:cs="Times New Roman"/>
                <w:sz w:val="20"/>
                <w:szCs w:val="20"/>
              </w:rPr>
            </w:pPr>
            <w:r w:rsidRPr="009D3006">
              <w:rPr>
                <w:rFonts w:asciiTheme="minorHAnsi" w:hAnsiTheme="minorHAnsi" w:cs="Times New Roman"/>
                <w:sz w:val="20"/>
                <w:szCs w:val="20"/>
              </w:rPr>
              <w:t>83,340</w:t>
            </w:r>
          </w:p>
        </w:tc>
      </w:tr>
      <w:tr w:rsidR="00794AFD" w:rsidRPr="001C5950" w14:paraId="234E73B3" w14:textId="77777777" w:rsidTr="00794AFD">
        <w:trPr>
          <w:trHeight w:val="120"/>
        </w:trPr>
        <w:tc>
          <w:tcPr>
            <w:tcW w:w="5812" w:type="dxa"/>
            <w:tcBorders>
              <w:top w:val="single" w:sz="4" w:space="0" w:color="auto"/>
              <w:left w:val="nil"/>
              <w:right w:val="nil"/>
            </w:tcBorders>
          </w:tcPr>
          <w:p w14:paraId="0C9A3518" w14:textId="77777777" w:rsidR="00794AFD" w:rsidRPr="001C5950" w:rsidRDefault="00794AFD" w:rsidP="00794AFD">
            <w:pPr>
              <w:ind w:left="-108"/>
              <w:rPr>
                <w:rFonts w:asciiTheme="minorHAnsi" w:hAnsiTheme="minorHAnsi" w:cs="Times New Roman"/>
                <w:sz w:val="20"/>
                <w:szCs w:val="20"/>
              </w:rPr>
            </w:pPr>
          </w:p>
        </w:tc>
        <w:tc>
          <w:tcPr>
            <w:tcW w:w="1559" w:type="dxa"/>
            <w:tcBorders>
              <w:top w:val="single" w:sz="4" w:space="0" w:color="auto"/>
              <w:left w:val="nil"/>
              <w:right w:val="nil"/>
            </w:tcBorders>
          </w:tcPr>
          <w:p w14:paraId="12F3924B" w14:textId="77777777" w:rsidR="00794AFD" w:rsidRPr="009D3006" w:rsidRDefault="00794AFD" w:rsidP="00794AFD">
            <w:pPr>
              <w:jc w:val="right"/>
              <w:rPr>
                <w:rFonts w:asciiTheme="minorHAnsi" w:hAnsiTheme="minorHAnsi" w:cs="Times New Roman"/>
                <w:b/>
                <w:sz w:val="20"/>
                <w:szCs w:val="20"/>
                <w:highlight w:val="yellow"/>
              </w:rPr>
            </w:pPr>
          </w:p>
        </w:tc>
        <w:tc>
          <w:tcPr>
            <w:tcW w:w="1559" w:type="dxa"/>
            <w:tcBorders>
              <w:top w:val="single" w:sz="4" w:space="0" w:color="auto"/>
              <w:left w:val="nil"/>
              <w:right w:val="nil"/>
            </w:tcBorders>
          </w:tcPr>
          <w:p w14:paraId="2540000B" w14:textId="77777777" w:rsidR="00794AFD" w:rsidRPr="009D3006" w:rsidRDefault="00794AFD" w:rsidP="00794AFD">
            <w:pPr>
              <w:jc w:val="right"/>
              <w:rPr>
                <w:rFonts w:asciiTheme="minorHAnsi" w:hAnsiTheme="minorHAnsi" w:cs="Times New Roman"/>
                <w:sz w:val="20"/>
                <w:szCs w:val="20"/>
              </w:rPr>
            </w:pPr>
          </w:p>
        </w:tc>
      </w:tr>
      <w:tr w:rsidR="00794AFD" w:rsidRPr="001C5950" w14:paraId="4CD17CA2" w14:textId="77777777" w:rsidTr="00794AFD">
        <w:trPr>
          <w:trHeight w:val="120"/>
        </w:trPr>
        <w:tc>
          <w:tcPr>
            <w:tcW w:w="5812" w:type="dxa"/>
            <w:tcBorders>
              <w:left w:val="nil"/>
              <w:bottom w:val="single" w:sz="4" w:space="0" w:color="auto"/>
              <w:right w:val="nil"/>
            </w:tcBorders>
          </w:tcPr>
          <w:p w14:paraId="13B95B5E" w14:textId="77777777" w:rsidR="00794AFD" w:rsidRPr="001C5950" w:rsidRDefault="00794AFD" w:rsidP="00794AFD">
            <w:pPr>
              <w:ind w:left="-115"/>
              <w:rPr>
                <w:rFonts w:asciiTheme="minorHAnsi" w:hAnsiTheme="minorHAnsi" w:cs="Times New Roman"/>
                <w:sz w:val="20"/>
                <w:szCs w:val="20"/>
              </w:rPr>
            </w:pPr>
            <w:r w:rsidRPr="001C5950">
              <w:rPr>
                <w:rFonts w:asciiTheme="minorHAnsi" w:hAnsiTheme="minorHAnsi" w:cs="Times New Roman"/>
                <w:b/>
                <w:sz w:val="20"/>
                <w:szCs w:val="20"/>
              </w:rPr>
              <w:t>Basic earnings per share</w:t>
            </w:r>
          </w:p>
        </w:tc>
        <w:tc>
          <w:tcPr>
            <w:tcW w:w="1559" w:type="dxa"/>
            <w:tcBorders>
              <w:left w:val="nil"/>
              <w:bottom w:val="single" w:sz="4" w:space="0" w:color="auto"/>
              <w:right w:val="nil"/>
            </w:tcBorders>
            <w:shd w:val="clear" w:color="auto" w:fill="auto"/>
          </w:tcPr>
          <w:p w14:paraId="48F2E79C" w14:textId="77777777" w:rsidR="00794AFD" w:rsidRPr="00784F67" w:rsidRDefault="00794AFD" w:rsidP="00794AFD">
            <w:pPr>
              <w:jc w:val="right"/>
              <w:rPr>
                <w:rFonts w:asciiTheme="minorHAnsi" w:hAnsiTheme="minorHAnsi" w:cs="Times New Roman"/>
                <w:b/>
                <w:sz w:val="20"/>
                <w:szCs w:val="20"/>
              </w:rPr>
            </w:pPr>
            <w:r w:rsidRPr="00784F67">
              <w:rPr>
                <w:rFonts w:asciiTheme="minorHAnsi" w:hAnsiTheme="minorHAnsi" w:cs="Times New Roman"/>
                <w:b/>
                <w:sz w:val="20"/>
                <w:szCs w:val="20"/>
              </w:rPr>
              <w:t>£1.83</w:t>
            </w:r>
            <w:r>
              <w:rPr>
                <w:rFonts w:asciiTheme="minorHAnsi" w:hAnsiTheme="minorHAnsi" w:cs="Times New Roman"/>
                <w:b/>
                <w:sz w:val="20"/>
                <w:szCs w:val="20"/>
              </w:rPr>
              <w:t>2</w:t>
            </w:r>
          </w:p>
        </w:tc>
        <w:tc>
          <w:tcPr>
            <w:tcW w:w="1559" w:type="dxa"/>
            <w:tcBorders>
              <w:left w:val="nil"/>
              <w:bottom w:val="single" w:sz="4" w:space="0" w:color="auto"/>
              <w:right w:val="nil"/>
            </w:tcBorders>
          </w:tcPr>
          <w:p w14:paraId="29AC29EF" w14:textId="77777777" w:rsidR="00794AFD" w:rsidRPr="009D3006" w:rsidRDefault="00794AFD" w:rsidP="00794AFD">
            <w:pPr>
              <w:jc w:val="right"/>
              <w:rPr>
                <w:rFonts w:asciiTheme="minorHAnsi" w:hAnsiTheme="minorHAnsi" w:cs="Times New Roman"/>
                <w:sz w:val="20"/>
                <w:szCs w:val="20"/>
              </w:rPr>
            </w:pPr>
            <w:r w:rsidRPr="009D3006">
              <w:rPr>
                <w:rFonts w:asciiTheme="minorHAnsi" w:hAnsiTheme="minorHAnsi" w:cs="Times New Roman"/>
                <w:sz w:val="20"/>
                <w:szCs w:val="20"/>
              </w:rPr>
              <w:t>£2.417</w:t>
            </w:r>
          </w:p>
        </w:tc>
      </w:tr>
      <w:tr w:rsidR="00794AFD" w:rsidRPr="001C5950" w14:paraId="4EE24EE9" w14:textId="77777777" w:rsidTr="00794AFD">
        <w:trPr>
          <w:trHeight w:val="120"/>
        </w:trPr>
        <w:tc>
          <w:tcPr>
            <w:tcW w:w="5812" w:type="dxa"/>
            <w:tcBorders>
              <w:top w:val="single" w:sz="4" w:space="0" w:color="auto"/>
              <w:left w:val="nil"/>
              <w:bottom w:val="single" w:sz="4" w:space="0" w:color="auto"/>
              <w:right w:val="nil"/>
            </w:tcBorders>
          </w:tcPr>
          <w:p w14:paraId="1BA71F48" w14:textId="77777777" w:rsidR="00794AFD" w:rsidRPr="001C5950" w:rsidRDefault="00794AFD" w:rsidP="00794AFD">
            <w:pPr>
              <w:ind w:left="-115"/>
              <w:rPr>
                <w:rFonts w:asciiTheme="minorHAnsi" w:hAnsiTheme="minorHAnsi" w:cs="Times New Roman"/>
                <w:b/>
                <w:sz w:val="20"/>
                <w:szCs w:val="20"/>
              </w:rPr>
            </w:pPr>
            <w:r w:rsidRPr="001C5950">
              <w:rPr>
                <w:rFonts w:asciiTheme="minorHAnsi" w:hAnsiTheme="minorHAnsi" w:cs="Times New Roman"/>
                <w:b/>
                <w:sz w:val="20"/>
                <w:szCs w:val="20"/>
              </w:rPr>
              <w:t>Adjusted basic earnings per share</w:t>
            </w:r>
          </w:p>
        </w:tc>
        <w:tc>
          <w:tcPr>
            <w:tcW w:w="1559" w:type="dxa"/>
            <w:tcBorders>
              <w:top w:val="single" w:sz="4" w:space="0" w:color="auto"/>
              <w:left w:val="nil"/>
              <w:bottom w:val="single" w:sz="4" w:space="0" w:color="auto"/>
              <w:right w:val="nil"/>
            </w:tcBorders>
            <w:shd w:val="clear" w:color="auto" w:fill="auto"/>
          </w:tcPr>
          <w:p w14:paraId="7567CB1E" w14:textId="77777777" w:rsidR="00794AFD" w:rsidRPr="00784F67" w:rsidRDefault="00794AFD" w:rsidP="00794AFD">
            <w:pPr>
              <w:jc w:val="right"/>
              <w:rPr>
                <w:rFonts w:asciiTheme="minorHAnsi" w:hAnsiTheme="minorHAnsi" w:cs="Times New Roman"/>
                <w:b/>
                <w:sz w:val="20"/>
                <w:szCs w:val="20"/>
              </w:rPr>
            </w:pPr>
            <w:r w:rsidRPr="00784F67">
              <w:rPr>
                <w:rFonts w:asciiTheme="minorHAnsi" w:hAnsiTheme="minorHAnsi" w:cs="Times New Roman"/>
                <w:b/>
                <w:sz w:val="20"/>
                <w:szCs w:val="20"/>
              </w:rPr>
              <w:t>£3.03</w:t>
            </w:r>
            <w:r>
              <w:rPr>
                <w:rFonts w:asciiTheme="minorHAnsi" w:hAnsiTheme="minorHAnsi" w:cs="Times New Roman"/>
                <w:b/>
                <w:sz w:val="20"/>
                <w:szCs w:val="20"/>
              </w:rPr>
              <w:t>3</w:t>
            </w:r>
          </w:p>
        </w:tc>
        <w:tc>
          <w:tcPr>
            <w:tcW w:w="1559" w:type="dxa"/>
            <w:tcBorders>
              <w:top w:val="single" w:sz="4" w:space="0" w:color="auto"/>
              <w:left w:val="nil"/>
              <w:bottom w:val="single" w:sz="4" w:space="0" w:color="auto"/>
              <w:right w:val="nil"/>
            </w:tcBorders>
          </w:tcPr>
          <w:p w14:paraId="29E8466B" w14:textId="77777777" w:rsidR="00794AFD" w:rsidRPr="009D3006" w:rsidRDefault="00794AFD" w:rsidP="00794AFD">
            <w:pPr>
              <w:jc w:val="right"/>
              <w:rPr>
                <w:rFonts w:asciiTheme="minorHAnsi" w:hAnsiTheme="minorHAnsi" w:cs="Times New Roman"/>
                <w:sz w:val="20"/>
                <w:szCs w:val="20"/>
              </w:rPr>
            </w:pPr>
            <w:r w:rsidRPr="009D3006">
              <w:rPr>
                <w:rFonts w:asciiTheme="minorHAnsi" w:hAnsiTheme="minorHAnsi" w:cs="Times New Roman"/>
                <w:sz w:val="20"/>
                <w:szCs w:val="20"/>
              </w:rPr>
              <w:t>£3.793</w:t>
            </w:r>
          </w:p>
        </w:tc>
      </w:tr>
      <w:tr w:rsidR="00794AFD" w:rsidRPr="001C5950" w14:paraId="783D3C6D" w14:textId="77777777" w:rsidTr="00794AFD">
        <w:trPr>
          <w:trHeight w:val="120"/>
        </w:trPr>
        <w:tc>
          <w:tcPr>
            <w:tcW w:w="5812" w:type="dxa"/>
            <w:tcBorders>
              <w:top w:val="single" w:sz="4" w:space="0" w:color="auto"/>
              <w:left w:val="nil"/>
              <w:right w:val="nil"/>
            </w:tcBorders>
          </w:tcPr>
          <w:p w14:paraId="5AFA2AE4" w14:textId="77777777" w:rsidR="00794AFD" w:rsidRPr="001C5950" w:rsidRDefault="00794AFD" w:rsidP="00794AFD">
            <w:pPr>
              <w:rPr>
                <w:rFonts w:asciiTheme="minorHAnsi" w:hAnsiTheme="minorHAnsi" w:cs="Times New Roman"/>
                <w:sz w:val="20"/>
                <w:szCs w:val="20"/>
              </w:rPr>
            </w:pPr>
          </w:p>
        </w:tc>
        <w:tc>
          <w:tcPr>
            <w:tcW w:w="1559" w:type="dxa"/>
            <w:tcBorders>
              <w:top w:val="single" w:sz="4" w:space="0" w:color="auto"/>
              <w:left w:val="nil"/>
              <w:right w:val="nil"/>
            </w:tcBorders>
          </w:tcPr>
          <w:p w14:paraId="4A4C5C65" w14:textId="77777777" w:rsidR="00794AFD" w:rsidRPr="009D3006" w:rsidRDefault="00794AFD" w:rsidP="00794AFD">
            <w:pPr>
              <w:jc w:val="right"/>
              <w:rPr>
                <w:rFonts w:asciiTheme="minorHAnsi" w:hAnsiTheme="minorHAnsi" w:cs="Times New Roman"/>
                <w:b/>
                <w:sz w:val="20"/>
                <w:szCs w:val="20"/>
                <w:highlight w:val="yellow"/>
              </w:rPr>
            </w:pPr>
          </w:p>
        </w:tc>
        <w:tc>
          <w:tcPr>
            <w:tcW w:w="1559" w:type="dxa"/>
            <w:tcBorders>
              <w:top w:val="single" w:sz="4" w:space="0" w:color="auto"/>
              <w:left w:val="nil"/>
              <w:right w:val="nil"/>
            </w:tcBorders>
          </w:tcPr>
          <w:p w14:paraId="6E817A49" w14:textId="77777777" w:rsidR="00794AFD" w:rsidRPr="009D3006" w:rsidRDefault="00794AFD" w:rsidP="00794AFD">
            <w:pPr>
              <w:jc w:val="right"/>
              <w:rPr>
                <w:rFonts w:asciiTheme="minorHAnsi" w:hAnsiTheme="minorHAnsi" w:cs="Times New Roman"/>
                <w:sz w:val="20"/>
                <w:szCs w:val="20"/>
              </w:rPr>
            </w:pPr>
          </w:p>
        </w:tc>
      </w:tr>
      <w:tr w:rsidR="00794AFD" w:rsidRPr="001C5950" w14:paraId="409C45D5" w14:textId="77777777" w:rsidTr="00794AFD">
        <w:trPr>
          <w:trHeight w:val="120"/>
        </w:trPr>
        <w:tc>
          <w:tcPr>
            <w:tcW w:w="7371" w:type="dxa"/>
            <w:gridSpan w:val="2"/>
            <w:tcBorders>
              <w:left w:val="nil"/>
              <w:right w:val="nil"/>
            </w:tcBorders>
          </w:tcPr>
          <w:p w14:paraId="60440FD1" w14:textId="77777777" w:rsidR="00794AFD" w:rsidRPr="00070ED0" w:rsidRDefault="00794AFD" w:rsidP="00794AFD">
            <w:pPr>
              <w:ind w:left="-108"/>
              <w:rPr>
                <w:rFonts w:asciiTheme="minorHAnsi" w:hAnsiTheme="minorHAnsi" w:cs="Times New Roman"/>
                <w:i/>
                <w:sz w:val="20"/>
                <w:szCs w:val="20"/>
              </w:rPr>
            </w:pPr>
            <w:r w:rsidRPr="00070ED0">
              <w:rPr>
                <w:rFonts w:asciiTheme="minorHAnsi" w:hAnsiTheme="minorHAnsi" w:cs="Times New Roman"/>
                <w:i/>
                <w:sz w:val="20"/>
                <w:szCs w:val="20"/>
              </w:rPr>
              <w:t>Adjustments to derive denominator in respect of diluted earnings per share</w:t>
            </w:r>
          </w:p>
          <w:p w14:paraId="2E1FA642" w14:textId="77777777" w:rsidR="00794AFD" w:rsidRPr="009D3006" w:rsidRDefault="00794AFD" w:rsidP="00794AFD">
            <w:pPr>
              <w:ind w:left="-108"/>
              <w:rPr>
                <w:rFonts w:asciiTheme="minorHAnsi" w:hAnsiTheme="minorHAnsi" w:cs="Times New Roman"/>
                <w:b/>
                <w:sz w:val="20"/>
                <w:szCs w:val="20"/>
                <w:highlight w:val="yellow"/>
              </w:rPr>
            </w:pPr>
            <w:r w:rsidRPr="00070ED0">
              <w:rPr>
                <w:rFonts w:asciiTheme="minorHAnsi" w:hAnsiTheme="minorHAnsi" w:cs="Times New Roman"/>
                <w:i/>
                <w:sz w:val="20"/>
                <w:szCs w:val="20"/>
              </w:rPr>
              <w:t>(in 000’s):</w:t>
            </w:r>
          </w:p>
        </w:tc>
        <w:tc>
          <w:tcPr>
            <w:tcW w:w="1559" w:type="dxa"/>
            <w:tcBorders>
              <w:left w:val="nil"/>
              <w:right w:val="nil"/>
            </w:tcBorders>
          </w:tcPr>
          <w:p w14:paraId="0F3A09F2" w14:textId="77777777" w:rsidR="00794AFD" w:rsidRPr="009D3006" w:rsidRDefault="00794AFD" w:rsidP="00794AFD">
            <w:pPr>
              <w:jc w:val="right"/>
              <w:rPr>
                <w:rFonts w:asciiTheme="minorHAnsi" w:hAnsiTheme="minorHAnsi" w:cs="Times New Roman"/>
                <w:sz w:val="20"/>
                <w:szCs w:val="20"/>
              </w:rPr>
            </w:pPr>
          </w:p>
        </w:tc>
      </w:tr>
      <w:tr w:rsidR="00794AFD" w:rsidRPr="001C5950" w14:paraId="1DD7D8D6" w14:textId="77777777" w:rsidTr="00794AFD">
        <w:trPr>
          <w:trHeight w:val="120"/>
        </w:trPr>
        <w:tc>
          <w:tcPr>
            <w:tcW w:w="5812" w:type="dxa"/>
            <w:tcBorders>
              <w:left w:val="nil"/>
              <w:right w:val="nil"/>
            </w:tcBorders>
          </w:tcPr>
          <w:p w14:paraId="462FC9B4"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Weighted average number of ordinary shares in issue during the year</w:t>
            </w:r>
          </w:p>
        </w:tc>
        <w:tc>
          <w:tcPr>
            <w:tcW w:w="1559" w:type="dxa"/>
            <w:tcBorders>
              <w:left w:val="nil"/>
              <w:right w:val="nil"/>
            </w:tcBorders>
          </w:tcPr>
          <w:p w14:paraId="3259E99D" w14:textId="77777777" w:rsidR="00794AFD" w:rsidRPr="00784F67" w:rsidRDefault="00794AFD" w:rsidP="00794AFD">
            <w:pPr>
              <w:jc w:val="right"/>
              <w:rPr>
                <w:rFonts w:asciiTheme="minorHAnsi" w:hAnsiTheme="minorHAnsi" w:cs="Times New Roman"/>
                <w:b/>
                <w:sz w:val="20"/>
                <w:szCs w:val="20"/>
              </w:rPr>
            </w:pPr>
            <w:r w:rsidRPr="005B054B">
              <w:rPr>
                <w:rFonts w:asciiTheme="minorHAnsi" w:hAnsiTheme="minorHAnsi" w:cs="Times New Roman"/>
                <w:b/>
                <w:sz w:val="20"/>
                <w:szCs w:val="20"/>
              </w:rPr>
              <w:t>78,589</w:t>
            </w:r>
          </w:p>
        </w:tc>
        <w:tc>
          <w:tcPr>
            <w:tcW w:w="1559" w:type="dxa"/>
            <w:tcBorders>
              <w:left w:val="nil"/>
              <w:right w:val="nil"/>
            </w:tcBorders>
          </w:tcPr>
          <w:p w14:paraId="3E64031A" w14:textId="77777777" w:rsidR="00794AFD" w:rsidRPr="009D3006" w:rsidRDefault="00794AFD" w:rsidP="00794AFD">
            <w:pPr>
              <w:jc w:val="right"/>
              <w:rPr>
                <w:rFonts w:asciiTheme="minorHAnsi" w:hAnsiTheme="minorHAnsi" w:cs="Times New Roman"/>
                <w:sz w:val="20"/>
                <w:szCs w:val="20"/>
              </w:rPr>
            </w:pPr>
            <w:r w:rsidRPr="009D3006">
              <w:rPr>
                <w:rFonts w:asciiTheme="minorHAnsi" w:hAnsiTheme="minorHAnsi" w:cs="Times New Roman"/>
                <w:sz w:val="20"/>
                <w:szCs w:val="20"/>
              </w:rPr>
              <w:t>83,340</w:t>
            </w:r>
          </w:p>
        </w:tc>
      </w:tr>
      <w:tr w:rsidR="00794AFD" w:rsidRPr="001C5950" w14:paraId="7BC119B5" w14:textId="77777777" w:rsidTr="00794AFD">
        <w:trPr>
          <w:trHeight w:val="120"/>
        </w:trPr>
        <w:tc>
          <w:tcPr>
            <w:tcW w:w="5812" w:type="dxa"/>
            <w:tcBorders>
              <w:left w:val="nil"/>
              <w:bottom w:val="single" w:sz="4" w:space="0" w:color="auto"/>
              <w:right w:val="nil"/>
            </w:tcBorders>
          </w:tcPr>
          <w:p w14:paraId="7CA63BCA"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sz w:val="20"/>
              </w:rPr>
              <w:t>Dilutive effect of share options and awards on issue</w:t>
            </w:r>
          </w:p>
        </w:tc>
        <w:tc>
          <w:tcPr>
            <w:tcW w:w="1559" w:type="dxa"/>
            <w:tcBorders>
              <w:left w:val="nil"/>
              <w:bottom w:val="single" w:sz="4" w:space="0" w:color="auto"/>
              <w:right w:val="nil"/>
            </w:tcBorders>
          </w:tcPr>
          <w:p w14:paraId="1050C17A" w14:textId="77777777" w:rsidR="00794AFD" w:rsidRPr="00784F67" w:rsidRDefault="00794AFD" w:rsidP="00794AFD">
            <w:pPr>
              <w:jc w:val="right"/>
              <w:rPr>
                <w:rFonts w:asciiTheme="minorHAnsi" w:hAnsiTheme="minorHAnsi" w:cs="Times New Roman"/>
                <w:b/>
                <w:sz w:val="20"/>
                <w:szCs w:val="20"/>
              </w:rPr>
            </w:pPr>
            <w:r w:rsidRPr="00784F67">
              <w:rPr>
                <w:rFonts w:asciiTheme="minorHAnsi" w:hAnsiTheme="minorHAnsi" w:cs="Times New Roman"/>
                <w:b/>
                <w:sz w:val="20"/>
                <w:szCs w:val="20"/>
              </w:rPr>
              <w:t>426</w:t>
            </w:r>
          </w:p>
        </w:tc>
        <w:tc>
          <w:tcPr>
            <w:tcW w:w="1559" w:type="dxa"/>
            <w:tcBorders>
              <w:left w:val="nil"/>
              <w:bottom w:val="single" w:sz="4" w:space="0" w:color="auto"/>
              <w:right w:val="nil"/>
            </w:tcBorders>
          </w:tcPr>
          <w:p w14:paraId="051B1A00" w14:textId="77777777" w:rsidR="00794AFD" w:rsidRPr="009D3006" w:rsidRDefault="00794AFD" w:rsidP="00794AFD">
            <w:pPr>
              <w:jc w:val="right"/>
              <w:rPr>
                <w:rFonts w:asciiTheme="minorHAnsi" w:hAnsiTheme="minorHAnsi" w:cs="Times New Roman"/>
                <w:sz w:val="20"/>
                <w:szCs w:val="20"/>
              </w:rPr>
            </w:pPr>
            <w:r w:rsidRPr="009D3006">
              <w:rPr>
                <w:rFonts w:asciiTheme="minorHAnsi" w:hAnsiTheme="minorHAnsi" w:cs="Times New Roman"/>
                <w:sz w:val="20"/>
                <w:szCs w:val="20"/>
              </w:rPr>
              <w:t>457</w:t>
            </w:r>
          </w:p>
        </w:tc>
      </w:tr>
      <w:tr w:rsidR="00794AFD" w:rsidRPr="001C5950" w14:paraId="6B6BD047" w14:textId="77777777" w:rsidTr="00794AFD">
        <w:trPr>
          <w:trHeight w:val="120"/>
        </w:trPr>
        <w:tc>
          <w:tcPr>
            <w:tcW w:w="5812" w:type="dxa"/>
            <w:tcBorders>
              <w:top w:val="single" w:sz="4" w:space="0" w:color="auto"/>
              <w:left w:val="nil"/>
              <w:bottom w:val="single" w:sz="4" w:space="0" w:color="auto"/>
              <w:right w:val="nil"/>
            </w:tcBorders>
          </w:tcPr>
          <w:p w14:paraId="3A043F4C"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Adjusted weighted average number of ordinary shares in issue during the year</w:t>
            </w:r>
          </w:p>
        </w:tc>
        <w:tc>
          <w:tcPr>
            <w:tcW w:w="1559" w:type="dxa"/>
            <w:tcBorders>
              <w:top w:val="single" w:sz="4" w:space="0" w:color="auto"/>
              <w:left w:val="nil"/>
              <w:bottom w:val="single" w:sz="4" w:space="0" w:color="auto"/>
              <w:right w:val="nil"/>
            </w:tcBorders>
          </w:tcPr>
          <w:p w14:paraId="4FFD1AE7" w14:textId="77777777" w:rsidR="00794AFD" w:rsidRPr="00784F67" w:rsidRDefault="00794AFD" w:rsidP="00794AFD">
            <w:pPr>
              <w:jc w:val="right"/>
              <w:rPr>
                <w:rFonts w:asciiTheme="minorHAnsi" w:hAnsiTheme="minorHAnsi" w:cs="Times New Roman"/>
                <w:b/>
                <w:sz w:val="20"/>
                <w:szCs w:val="20"/>
              </w:rPr>
            </w:pPr>
          </w:p>
          <w:p w14:paraId="3BFDF705" w14:textId="77777777" w:rsidR="00794AFD" w:rsidRPr="00784F67" w:rsidRDefault="00794AFD" w:rsidP="00794AFD">
            <w:pPr>
              <w:jc w:val="right"/>
              <w:rPr>
                <w:rFonts w:asciiTheme="minorHAnsi" w:hAnsiTheme="minorHAnsi" w:cs="Times New Roman"/>
                <w:b/>
                <w:sz w:val="20"/>
                <w:szCs w:val="20"/>
              </w:rPr>
            </w:pPr>
            <w:r w:rsidRPr="00784F67">
              <w:rPr>
                <w:rFonts w:asciiTheme="minorHAnsi" w:hAnsiTheme="minorHAnsi" w:cs="Times New Roman"/>
                <w:b/>
                <w:sz w:val="20"/>
                <w:szCs w:val="20"/>
              </w:rPr>
              <w:t>79,015</w:t>
            </w:r>
          </w:p>
        </w:tc>
        <w:tc>
          <w:tcPr>
            <w:tcW w:w="1559" w:type="dxa"/>
            <w:tcBorders>
              <w:top w:val="single" w:sz="4" w:space="0" w:color="auto"/>
              <w:left w:val="nil"/>
              <w:bottom w:val="single" w:sz="4" w:space="0" w:color="auto"/>
              <w:right w:val="nil"/>
            </w:tcBorders>
          </w:tcPr>
          <w:p w14:paraId="18FA5243" w14:textId="77777777" w:rsidR="00794AFD" w:rsidRPr="009D3006" w:rsidRDefault="00794AFD" w:rsidP="00794AFD">
            <w:pPr>
              <w:jc w:val="right"/>
              <w:rPr>
                <w:rFonts w:asciiTheme="minorHAnsi" w:hAnsiTheme="minorHAnsi" w:cs="Times New Roman"/>
                <w:sz w:val="20"/>
                <w:szCs w:val="20"/>
              </w:rPr>
            </w:pPr>
          </w:p>
          <w:p w14:paraId="563286D7" w14:textId="77777777" w:rsidR="00794AFD" w:rsidRPr="009D3006" w:rsidRDefault="00794AFD" w:rsidP="00794AFD">
            <w:pPr>
              <w:jc w:val="right"/>
              <w:rPr>
                <w:rFonts w:asciiTheme="minorHAnsi" w:hAnsiTheme="minorHAnsi" w:cs="Times New Roman"/>
                <w:sz w:val="20"/>
                <w:szCs w:val="20"/>
              </w:rPr>
            </w:pPr>
            <w:r w:rsidRPr="009D3006">
              <w:rPr>
                <w:rFonts w:asciiTheme="minorHAnsi" w:hAnsiTheme="minorHAnsi" w:cs="Times New Roman"/>
                <w:sz w:val="20"/>
                <w:szCs w:val="20"/>
              </w:rPr>
              <w:t>83,797</w:t>
            </w:r>
          </w:p>
        </w:tc>
      </w:tr>
      <w:tr w:rsidR="00794AFD" w:rsidRPr="001C5950" w14:paraId="7EA52541" w14:textId="77777777" w:rsidTr="00794AFD">
        <w:trPr>
          <w:trHeight w:val="374"/>
        </w:trPr>
        <w:tc>
          <w:tcPr>
            <w:tcW w:w="5812" w:type="dxa"/>
            <w:tcBorders>
              <w:top w:val="single" w:sz="4" w:space="0" w:color="auto"/>
              <w:left w:val="nil"/>
              <w:bottom w:val="single" w:sz="4" w:space="0" w:color="auto"/>
              <w:right w:val="nil"/>
            </w:tcBorders>
          </w:tcPr>
          <w:p w14:paraId="22221C65" w14:textId="77777777" w:rsidR="00794AFD" w:rsidRPr="001C5950" w:rsidRDefault="00794AFD" w:rsidP="00794AFD">
            <w:pPr>
              <w:ind w:left="-115"/>
              <w:rPr>
                <w:rFonts w:asciiTheme="minorHAnsi" w:hAnsiTheme="minorHAnsi" w:cs="Times New Roman"/>
                <w:b/>
                <w:sz w:val="20"/>
                <w:szCs w:val="20"/>
              </w:rPr>
            </w:pPr>
          </w:p>
          <w:p w14:paraId="11A8180D" w14:textId="77777777" w:rsidR="00794AFD" w:rsidRPr="001C5950" w:rsidRDefault="00794AFD" w:rsidP="00794AFD">
            <w:pPr>
              <w:ind w:left="-115"/>
              <w:rPr>
                <w:rFonts w:asciiTheme="minorHAnsi" w:hAnsiTheme="minorHAnsi" w:cs="Times New Roman"/>
                <w:b/>
                <w:sz w:val="20"/>
                <w:szCs w:val="20"/>
              </w:rPr>
            </w:pPr>
            <w:r w:rsidRPr="001C5950">
              <w:rPr>
                <w:rFonts w:asciiTheme="minorHAnsi" w:hAnsiTheme="minorHAnsi" w:cs="Times New Roman"/>
                <w:b/>
                <w:sz w:val="20"/>
                <w:szCs w:val="20"/>
              </w:rPr>
              <w:t>Diluted earnings per share</w:t>
            </w:r>
          </w:p>
        </w:tc>
        <w:tc>
          <w:tcPr>
            <w:tcW w:w="1559" w:type="dxa"/>
            <w:tcBorders>
              <w:top w:val="single" w:sz="4" w:space="0" w:color="auto"/>
              <w:left w:val="nil"/>
              <w:bottom w:val="single" w:sz="4" w:space="0" w:color="auto"/>
              <w:right w:val="nil"/>
            </w:tcBorders>
            <w:shd w:val="clear" w:color="auto" w:fill="auto"/>
          </w:tcPr>
          <w:p w14:paraId="78AF5787" w14:textId="77777777" w:rsidR="00794AFD" w:rsidRPr="00784F67" w:rsidRDefault="00794AFD" w:rsidP="00794AFD">
            <w:pPr>
              <w:ind w:left="-115"/>
              <w:jc w:val="right"/>
              <w:rPr>
                <w:rFonts w:asciiTheme="minorHAnsi" w:hAnsiTheme="minorHAnsi" w:cs="Times New Roman"/>
                <w:b/>
                <w:sz w:val="20"/>
                <w:szCs w:val="20"/>
              </w:rPr>
            </w:pPr>
          </w:p>
          <w:p w14:paraId="79BDC7B5" w14:textId="77777777" w:rsidR="00794AFD" w:rsidRPr="00784F67" w:rsidRDefault="00794AFD" w:rsidP="00794AFD">
            <w:pPr>
              <w:ind w:left="-115"/>
              <w:jc w:val="right"/>
              <w:rPr>
                <w:rFonts w:asciiTheme="minorHAnsi" w:hAnsiTheme="minorHAnsi" w:cs="Times New Roman"/>
                <w:b/>
                <w:sz w:val="20"/>
                <w:szCs w:val="20"/>
              </w:rPr>
            </w:pPr>
            <w:r w:rsidRPr="00784F67">
              <w:rPr>
                <w:rFonts w:asciiTheme="minorHAnsi" w:hAnsiTheme="minorHAnsi" w:cs="Times New Roman"/>
                <w:b/>
                <w:sz w:val="20"/>
                <w:szCs w:val="20"/>
              </w:rPr>
              <w:t>£1.822</w:t>
            </w:r>
          </w:p>
        </w:tc>
        <w:tc>
          <w:tcPr>
            <w:tcW w:w="1559" w:type="dxa"/>
            <w:tcBorders>
              <w:top w:val="single" w:sz="4" w:space="0" w:color="auto"/>
              <w:left w:val="nil"/>
              <w:bottom w:val="single" w:sz="4" w:space="0" w:color="auto"/>
              <w:right w:val="nil"/>
            </w:tcBorders>
          </w:tcPr>
          <w:p w14:paraId="00A359BA" w14:textId="77777777" w:rsidR="00794AFD" w:rsidRPr="009D3006" w:rsidRDefault="00794AFD" w:rsidP="00794AFD">
            <w:pPr>
              <w:ind w:left="-115"/>
              <w:jc w:val="right"/>
              <w:rPr>
                <w:rFonts w:asciiTheme="minorHAnsi" w:hAnsiTheme="minorHAnsi" w:cs="Times New Roman"/>
                <w:sz w:val="20"/>
                <w:szCs w:val="20"/>
              </w:rPr>
            </w:pPr>
          </w:p>
          <w:p w14:paraId="15B5E880" w14:textId="77777777" w:rsidR="00794AFD" w:rsidRPr="009D3006" w:rsidRDefault="00794AFD" w:rsidP="00794AFD">
            <w:pPr>
              <w:ind w:left="-115"/>
              <w:jc w:val="right"/>
              <w:rPr>
                <w:rFonts w:asciiTheme="minorHAnsi" w:hAnsiTheme="minorHAnsi" w:cs="Times New Roman"/>
                <w:sz w:val="20"/>
                <w:szCs w:val="20"/>
              </w:rPr>
            </w:pPr>
            <w:r w:rsidRPr="009D3006">
              <w:rPr>
                <w:rFonts w:asciiTheme="minorHAnsi" w:hAnsiTheme="minorHAnsi" w:cs="Times New Roman"/>
                <w:sz w:val="20"/>
                <w:szCs w:val="20"/>
              </w:rPr>
              <w:t>£2.404</w:t>
            </w:r>
          </w:p>
        </w:tc>
      </w:tr>
      <w:tr w:rsidR="00794AFD" w:rsidRPr="001C5950" w14:paraId="6365DF83" w14:textId="77777777" w:rsidTr="00794AFD">
        <w:tc>
          <w:tcPr>
            <w:tcW w:w="5812" w:type="dxa"/>
            <w:tcBorders>
              <w:top w:val="single" w:sz="4" w:space="0" w:color="auto"/>
              <w:left w:val="nil"/>
              <w:bottom w:val="single" w:sz="4" w:space="0" w:color="auto"/>
              <w:right w:val="nil"/>
            </w:tcBorders>
          </w:tcPr>
          <w:p w14:paraId="20932125" w14:textId="77777777" w:rsidR="00794AFD" w:rsidRPr="001C5950" w:rsidDel="00A47720" w:rsidRDefault="00794AFD" w:rsidP="00794AFD">
            <w:pPr>
              <w:ind w:left="-115"/>
              <w:rPr>
                <w:rFonts w:asciiTheme="minorHAnsi" w:hAnsiTheme="minorHAnsi" w:cs="Times New Roman"/>
                <w:b/>
                <w:sz w:val="20"/>
                <w:szCs w:val="20"/>
              </w:rPr>
            </w:pPr>
            <w:r w:rsidRPr="001C5950">
              <w:rPr>
                <w:rFonts w:asciiTheme="minorHAnsi" w:hAnsiTheme="minorHAnsi" w:cs="Times New Roman"/>
                <w:b/>
                <w:sz w:val="20"/>
                <w:szCs w:val="20"/>
              </w:rPr>
              <w:t>Adjusted diluted earnings per share</w:t>
            </w:r>
          </w:p>
        </w:tc>
        <w:tc>
          <w:tcPr>
            <w:tcW w:w="1559" w:type="dxa"/>
            <w:tcBorders>
              <w:top w:val="single" w:sz="4" w:space="0" w:color="auto"/>
              <w:left w:val="nil"/>
              <w:bottom w:val="single" w:sz="4" w:space="0" w:color="auto"/>
              <w:right w:val="nil"/>
            </w:tcBorders>
            <w:shd w:val="clear" w:color="auto" w:fill="auto"/>
          </w:tcPr>
          <w:p w14:paraId="476B4150" w14:textId="77777777" w:rsidR="00794AFD" w:rsidRPr="00784F67" w:rsidDel="00A47720" w:rsidRDefault="00794AFD" w:rsidP="00794AFD">
            <w:pPr>
              <w:ind w:left="-115"/>
              <w:jc w:val="right"/>
              <w:rPr>
                <w:rFonts w:asciiTheme="minorHAnsi" w:hAnsiTheme="minorHAnsi" w:cs="Times New Roman"/>
                <w:b/>
                <w:sz w:val="20"/>
                <w:szCs w:val="20"/>
              </w:rPr>
            </w:pPr>
            <w:r w:rsidRPr="00784F67">
              <w:rPr>
                <w:rFonts w:asciiTheme="minorHAnsi" w:hAnsiTheme="minorHAnsi" w:cs="Times New Roman"/>
                <w:b/>
                <w:sz w:val="20"/>
                <w:szCs w:val="20"/>
              </w:rPr>
              <w:t>£3.017</w:t>
            </w:r>
          </w:p>
        </w:tc>
        <w:tc>
          <w:tcPr>
            <w:tcW w:w="1559" w:type="dxa"/>
            <w:tcBorders>
              <w:top w:val="single" w:sz="4" w:space="0" w:color="auto"/>
              <w:left w:val="nil"/>
              <w:bottom w:val="single" w:sz="4" w:space="0" w:color="auto"/>
              <w:right w:val="nil"/>
            </w:tcBorders>
          </w:tcPr>
          <w:p w14:paraId="78B56EBA" w14:textId="77777777" w:rsidR="00794AFD" w:rsidRPr="009D3006" w:rsidDel="00A47720" w:rsidRDefault="00794AFD" w:rsidP="00794AFD">
            <w:pPr>
              <w:ind w:left="-115"/>
              <w:jc w:val="right"/>
              <w:rPr>
                <w:rFonts w:asciiTheme="minorHAnsi" w:hAnsiTheme="minorHAnsi" w:cs="Times New Roman"/>
                <w:sz w:val="20"/>
                <w:szCs w:val="20"/>
              </w:rPr>
            </w:pPr>
            <w:r w:rsidRPr="009D3006">
              <w:rPr>
                <w:rFonts w:asciiTheme="minorHAnsi" w:hAnsiTheme="minorHAnsi" w:cs="Times New Roman"/>
                <w:sz w:val="20"/>
                <w:szCs w:val="20"/>
              </w:rPr>
              <w:t>£3.772</w:t>
            </w:r>
          </w:p>
        </w:tc>
      </w:tr>
      <w:bookmarkEnd w:id="38"/>
    </w:tbl>
    <w:p w14:paraId="563C8DDD" w14:textId="77777777" w:rsidR="00794AFD" w:rsidRPr="00FC3D06" w:rsidRDefault="00794AFD" w:rsidP="00794AFD">
      <w:pPr>
        <w:jc w:val="both"/>
        <w:rPr>
          <w:rFonts w:asciiTheme="minorHAnsi" w:hAnsiTheme="minorHAnsi" w:cs="Times New Roman"/>
          <w:sz w:val="20"/>
          <w:szCs w:val="20"/>
        </w:rPr>
      </w:pPr>
    </w:p>
    <w:p w14:paraId="6C1B38FD"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cs="Times New Roman"/>
          <w:sz w:val="20"/>
          <w:szCs w:val="20"/>
        </w:rPr>
        <w:t xml:space="preserve">The average market value of the Company’s shares of </w:t>
      </w:r>
      <w:r w:rsidRPr="00070ED0">
        <w:rPr>
          <w:rFonts w:asciiTheme="minorHAnsi" w:hAnsiTheme="minorHAnsi" w:cs="Times New Roman"/>
          <w:sz w:val="20"/>
          <w:szCs w:val="20"/>
        </w:rPr>
        <w:t>£68.25</w:t>
      </w:r>
      <w:r w:rsidRPr="001C5950">
        <w:rPr>
          <w:rFonts w:asciiTheme="minorHAnsi" w:hAnsiTheme="minorHAnsi" w:cs="Times New Roman"/>
          <w:sz w:val="20"/>
          <w:szCs w:val="20"/>
        </w:rPr>
        <w:t xml:space="preserve"> (</w:t>
      </w:r>
      <w:r>
        <w:rPr>
          <w:rFonts w:asciiTheme="minorHAnsi" w:hAnsiTheme="minorHAnsi" w:cs="Times New Roman"/>
          <w:sz w:val="20"/>
          <w:szCs w:val="20"/>
        </w:rPr>
        <w:t>2018</w:t>
      </w:r>
      <w:r w:rsidRPr="001C5950">
        <w:rPr>
          <w:rFonts w:asciiTheme="minorHAnsi" w:hAnsiTheme="minorHAnsi" w:cs="Times New Roman"/>
          <w:sz w:val="20"/>
          <w:szCs w:val="20"/>
        </w:rPr>
        <w:t>: £</w:t>
      </w:r>
      <w:r>
        <w:rPr>
          <w:rFonts w:asciiTheme="minorHAnsi" w:hAnsiTheme="minorHAnsi" w:cs="Times New Roman"/>
          <w:sz w:val="20"/>
          <w:szCs w:val="20"/>
        </w:rPr>
        <w:t>74</w:t>
      </w:r>
      <w:r w:rsidRPr="001C5950">
        <w:rPr>
          <w:rFonts w:asciiTheme="minorHAnsi" w:hAnsiTheme="minorHAnsi" w:cs="Times New Roman"/>
          <w:sz w:val="20"/>
          <w:szCs w:val="20"/>
        </w:rPr>
        <w:t>.6</w:t>
      </w:r>
      <w:r>
        <w:rPr>
          <w:rFonts w:asciiTheme="minorHAnsi" w:hAnsiTheme="minorHAnsi" w:cs="Times New Roman"/>
          <w:sz w:val="20"/>
          <w:szCs w:val="20"/>
        </w:rPr>
        <w:t>3</w:t>
      </w:r>
      <w:r w:rsidRPr="001C5950">
        <w:rPr>
          <w:rFonts w:asciiTheme="minorHAnsi" w:hAnsiTheme="minorHAnsi" w:cs="Times New Roman"/>
          <w:sz w:val="20"/>
          <w:szCs w:val="20"/>
        </w:rPr>
        <w:t xml:space="preserve">) was used to calculate the dilutive effect of share options based on the market value for the period that the options were outstanding. </w:t>
      </w:r>
    </w:p>
    <w:p w14:paraId="6B663CB7" w14:textId="77777777" w:rsidR="00794AFD" w:rsidRPr="001C5950" w:rsidRDefault="00794AFD" w:rsidP="00794AFD">
      <w:pPr>
        <w:rPr>
          <w:rFonts w:asciiTheme="minorHAnsi" w:hAnsiTheme="minorHAnsi" w:cs="Times New Roman"/>
          <w:sz w:val="20"/>
          <w:szCs w:val="20"/>
        </w:rPr>
      </w:pPr>
    </w:p>
    <w:p w14:paraId="4C342D98"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cs="Times New Roman"/>
          <w:sz w:val="20"/>
          <w:szCs w:val="20"/>
        </w:rPr>
        <w:t xml:space="preserve">The number of options excluded from the diluted weighted average number of ordinary shares calculation due to their effect being anti-dilutive </w:t>
      </w:r>
      <w:r w:rsidRPr="000944E4">
        <w:rPr>
          <w:rFonts w:asciiTheme="minorHAnsi" w:hAnsiTheme="minorHAnsi" w:cs="Times New Roman"/>
          <w:sz w:val="20"/>
          <w:szCs w:val="20"/>
        </w:rPr>
        <w:t>is 464,380</w:t>
      </w:r>
      <w:r w:rsidRPr="00E161B0">
        <w:rPr>
          <w:rFonts w:asciiTheme="minorHAnsi" w:hAnsiTheme="minorHAnsi" w:cs="Times New Roman"/>
          <w:sz w:val="20"/>
          <w:szCs w:val="20"/>
        </w:rPr>
        <w:t xml:space="preserve"> (2018: 447,540</w:t>
      </w:r>
      <w:r w:rsidRPr="001C5950">
        <w:rPr>
          <w:rFonts w:asciiTheme="minorHAnsi" w:hAnsiTheme="minorHAnsi" w:cs="Times New Roman"/>
          <w:sz w:val="20"/>
          <w:szCs w:val="20"/>
        </w:rPr>
        <w:t>).</w:t>
      </w:r>
    </w:p>
    <w:p w14:paraId="08C5F677" w14:textId="77777777" w:rsidR="00794AFD" w:rsidRPr="001C5950" w:rsidRDefault="00794AFD" w:rsidP="00794AFD">
      <w:pPr>
        <w:rPr>
          <w:rFonts w:asciiTheme="minorHAnsi" w:hAnsiTheme="minorHAnsi" w:cs="Times New Roman"/>
          <w:sz w:val="20"/>
          <w:szCs w:val="20"/>
        </w:rPr>
      </w:pPr>
    </w:p>
    <w:p w14:paraId="2D8CE955" w14:textId="77777777" w:rsidR="00794AFD" w:rsidRPr="00FC3D06" w:rsidRDefault="00794AFD" w:rsidP="00794AFD">
      <w:pPr>
        <w:rPr>
          <w:rFonts w:asciiTheme="minorHAnsi" w:hAnsiTheme="minorHAnsi" w:cs="Times New Roman"/>
          <w:sz w:val="20"/>
          <w:szCs w:val="20"/>
        </w:rPr>
      </w:pPr>
    </w:p>
    <w:p w14:paraId="11E01AE7" w14:textId="77777777" w:rsidR="00794AFD" w:rsidRPr="001C5950" w:rsidRDefault="00794AFD" w:rsidP="00794AFD">
      <w:pPr>
        <w:rPr>
          <w:rFonts w:asciiTheme="minorHAnsi" w:hAnsiTheme="minorHAnsi" w:cs="Times New Roman"/>
          <w:b/>
          <w:bCs/>
          <w:sz w:val="20"/>
          <w:szCs w:val="20"/>
        </w:rPr>
      </w:pPr>
      <w:r w:rsidRPr="00FC3D06">
        <w:rPr>
          <w:rFonts w:asciiTheme="minorHAnsi" w:hAnsiTheme="minorHAnsi" w:cs="Times New Roman"/>
          <w:b/>
          <w:bCs/>
          <w:sz w:val="20"/>
          <w:szCs w:val="20"/>
        </w:rPr>
        <w:br w:type="page"/>
      </w:r>
      <w:r>
        <w:rPr>
          <w:rFonts w:asciiTheme="minorHAnsi" w:hAnsiTheme="minorHAnsi" w:cs="Times New Roman"/>
          <w:b/>
          <w:bCs/>
          <w:sz w:val="20"/>
          <w:szCs w:val="20"/>
        </w:rPr>
        <w:lastRenderedPageBreak/>
        <w:t>7</w:t>
      </w:r>
      <w:r w:rsidRPr="001C5950">
        <w:rPr>
          <w:rFonts w:asciiTheme="minorHAnsi" w:hAnsiTheme="minorHAnsi" w:cs="Times New Roman"/>
          <w:b/>
          <w:bCs/>
          <w:sz w:val="20"/>
          <w:szCs w:val="20"/>
        </w:rPr>
        <w:t>.  Goodwill</w:t>
      </w:r>
    </w:p>
    <w:p w14:paraId="5D74CC29" w14:textId="77777777" w:rsidR="00794AFD" w:rsidRPr="00FC3D06" w:rsidRDefault="00794AFD" w:rsidP="00794AFD">
      <w:pPr>
        <w:rPr>
          <w:rFonts w:asciiTheme="minorHAnsi" w:hAnsiTheme="minorHAnsi" w:cs="Times New Roman"/>
          <w:sz w:val="20"/>
          <w:szCs w:val="20"/>
        </w:rPr>
      </w:pPr>
    </w:p>
    <w:p w14:paraId="64C91C3B"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cs="Times New Roman"/>
          <w:sz w:val="20"/>
          <w:szCs w:val="20"/>
        </w:rPr>
        <w:t>The following cash generating units</w:t>
      </w:r>
      <w:r>
        <w:rPr>
          <w:rFonts w:asciiTheme="minorHAnsi" w:hAnsiTheme="minorHAnsi" w:cs="Times New Roman"/>
          <w:sz w:val="20"/>
          <w:szCs w:val="20"/>
        </w:rPr>
        <w:t xml:space="preserve"> (‘CGU’)</w:t>
      </w:r>
      <w:r w:rsidRPr="001C5950">
        <w:rPr>
          <w:rFonts w:asciiTheme="minorHAnsi" w:hAnsiTheme="minorHAnsi" w:cs="Times New Roman"/>
          <w:sz w:val="20"/>
          <w:szCs w:val="20"/>
        </w:rPr>
        <w:t>, being the lowest level of asset for which there are separately identifiable cash flows, have the following carrying amounts of goodwill:</w:t>
      </w:r>
    </w:p>
    <w:p w14:paraId="124CED63" w14:textId="77777777" w:rsidR="00794AFD" w:rsidRPr="00FC3D06" w:rsidRDefault="00794AFD" w:rsidP="00794AFD">
      <w:pPr>
        <w:rPr>
          <w:rFonts w:asciiTheme="minorHAnsi" w:hAnsiTheme="minorHAnsi" w:cs="Times New Roman"/>
          <w:sz w:val="20"/>
          <w:szCs w:val="20"/>
        </w:rPr>
      </w:pPr>
    </w:p>
    <w:tbl>
      <w:tblPr>
        <w:tblW w:w="10206" w:type="dxa"/>
        <w:tblLayout w:type="fixed"/>
        <w:tblLook w:val="0000" w:firstRow="0" w:lastRow="0" w:firstColumn="0" w:lastColumn="0" w:noHBand="0" w:noVBand="0"/>
      </w:tblPr>
      <w:tblGrid>
        <w:gridCol w:w="3402"/>
        <w:gridCol w:w="1276"/>
        <w:gridCol w:w="1030"/>
        <w:gridCol w:w="1134"/>
        <w:gridCol w:w="1238"/>
        <w:gridCol w:w="1134"/>
        <w:gridCol w:w="992"/>
      </w:tblGrid>
      <w:tr w:rsidR="00794AFD" w:rsidRPr="001C5950" w14:paraId="2D000BA3" w14:textId="77777777" w:rsidTr="00794AFD">
        <w:trPr>
          <w:trHeight w:val="593"/>
        </w:trPr>
        <w:tc>
          <w:tcPr>
            <w:tcW w:w="3402" w:type="dxa"/>
            <w:tcBorders>
              <w:top w:val="single" w:sz="4" w:space="0" w:color="auto"/>
              <w:left w:val="nil"/>
              <w:bottom w:val="single" w:sz="4" w:space="0" w:color="auto"/>
              <w:right w:val="nil"/>
            </w:tcBorders>
          </w:tcPr>
          <w:p w14:paraId="2C3B9C4C" w14:textId="77777777" w:rsidR="00794AFD" w:rsidRPr="00FC3D06" w:rsidRDefault="00794AFD" w:rsidP="00794AFD">
            <w:pPr>
              <w:jc w:val="both"/>
              <w:rPr>
                <w:rFonts w:asciiTheme="minorHAnsi" w:hAnsiTheme="minorHAnsi" w:cs="Times New Roman"/>
                <w:sz w:val="20"/>
                <w:szCs w:val="20"/>
              </w:rPr>
            </w:pPr>
          </w:p>
          <w:p w14:paraId="05E7E555" w14:textId="77777777" w:rsidR="00794AFD" w:rsidRPr="00FC3D06" w:rsidRDefault="00794AFD" w:rsidP="00794AFD">
            <w:pPr>
              <w:jc w:val="both"/>
              <w:rPr>
                <w:rFonts w:asciiTheme="minorHAnsi" w:hAnsiTheme="minorHAnsi" w:cs="Times New Roman"/>
                <w:sz w:val="20"/>
                <w:szCs w:val="20"/>
              </w:rPr>
            </w:pPr>
          </w:p>
        </w:tc>
        <w:tc>
          <w:tcPr>
            <w:tcW w:w="1276" w:type="dxa"/>
            <w:tcBorders>
              <w:top w:val="single" w:sz="4" w:space="0" w:color="auto"/>
              <w:left w:val="nil"/>
              <w:bottom w:val="single" w:sz="4" w:space="0" w:color="auto"/>
              <w:right w:val="nil"/>
            </w:tcBorders>
            <w:vAlign w:val="bottom"/>
          </w:tcPr>
          <w:p w14:paraId="2C559990" w14:textId="77777777" w:rsidR="00794AFD" w:rsidRPr="001C5950" w:rsidRDefault="00794AFD" w:rsidP="00794AFD">
            <w:pPr>
              <w:jc w:val="right"/>
              <w:rPr>
                <w:rFonts w:asciiTheme="minorHAnsi" w:hAnsiTheme="minorHAnsi" w:cs="Times New Roman"/>
                <w:b/>
                <w:bCs/>
                <w:sz w:val="20"/>
                <w:szCs w:val="20"/>
              </w:rPr>
            </w:pPr>
          </w:p>
          <w:p w14:paraId="6AF0FF2E" w14:textId="77777777" w:rsidR="00794AFD" w:rsidRPr="001C595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PPB Online</w:t>
            </w:r>
          </w:p>
          <w:p w14:paraId="3A7A67B2"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£m</w:t>
            </w:r>
          </w:p>
        </w:tc>
        <w:tc>
          <w:tcPr>
            <w:tcW w:w="1030" w:type="dxa"/>
            <w:tcBorders>
              <w:top w:val="single" w:sz="4" w:space="0" w:color="auto"/>
              <w:left w:val="nil"/>
              <w:bottom w:val="single" w:sz="4" w:space="0" w:color="auto"/>
              <w:right w:val="nil"/>
            </w:tcBorders>
            <w:vAlign w:val="bottom"/>
          </w:tcPr>
          <w:p w14:paraId="04E8E55E"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 xml:space="preserve"> Australia</w:t>
            </w:r>
          </w:p>
          <w:p w14:paraId="75B4087C"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£m</w:t>
            </w:r>
          </w:p>
        </w:tc>
        <w:tc>
          <w:tcPr>
            <w:tcW w:w="1134" w:type="dxa"/>
            <w:tcBorders>
              <w:top w:val="single" w:sz="4" w:space="0" w:color="auto"/>
              <w:left w:val="nil"/>
              <w:bottom w:val="single" w:sz="4" w:space="0" w:color="auto"/>
              <w:right w:val="nil"/>
            </w:tcBorders>
            <w:vAlign w:val="bottom"/>
          </w:tcPr>
          <w:p w14:paraId="16B665E0"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US</w:t>
            </w:r>
          </w:p>
          <w:p w14:paraId="6E6EFA58"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£m</w:t>
            </w:r>
          </w:p>
        </w:tc>
        <w:tc>
          <w:tcPr>
            <w:tcW w:w="1238" w:type="dxa"/>
            <w:tcBorders>
              <w:top w:val="single" w:sz="4" w:space="0" w:color="auto"/>
              <w:left w:val="nil"/>
              <w:bottom w:val="single" w:sz="4" w:space="0" w:color="auto"/>
              <w:right w:val="nil"/>
            </w:tcBorders>
            <w:vAlign w:val="bottom"/>
          </w:tcPr>
          <w:p w14:paraId="3286F61C"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UK Retail</w:t>
            </w:r>
          </w:p>
          <w:p w14:paraId="7E9C58A0"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£m</w:t>
            </w:r>
          </w:p>
        </w:tc>
        <w:tc>
          <w:tcPr>
            <w:tcW w:w="1134" w:type="dxa"/>
            <w:tcBorders>
              <w:top w:val="single" w:sz="4" w:space="0" w:color="auto"/>
              <w:left w:val="nil"/>
              <w:bottom w:val="single" w:sz="4" w:space="0" w:color="auto"/>
              <w:right w:val="nil"/>
            </w:tcBorders>
            <w:vAlign w:val="bottom"/>
          </w:tcPr>
          <w:p w14:paraId="4F00E4C4"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Irish Retail</w:t>
            </w:r>
          </w:p>
          <w:p w14:paraId="705509BE"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£m</w:t>
            </w:r>
          </w:p>
        </w:tc>
        <w:tc>
          <w:tcPr>
            <w:tcW w:w="992" w:type="dxa"/>
            <w:tcBorders>
              <w:top w:val="single" w:sz="4" w:space="0" w:color="auto"/>
              <w:left w:val="nil"/>
              <w:bottom w:val="single" w:sz="4" w:space="0" w:color="auto"/>
              <w:right w:val="nil"/>
            </w:tcBorders>
            <w:vAlign w:val="bottom"/>
          </w:tcPr>
          <w:p w14:paraId="0963B65D"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Total</w:t>
            </w:r>
          </w:p>
          <w:p w14:paraId="5157B678"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£m</w:t>
            </w:r>
          </w:p>
        </w:tc>
      </w:tr>
      <w:tr w:rsidR="00794AFD" w:rsidRPr="001C5950" w14:paraId="003575F0" w14:textId="77777777" w:rsidTr="00794AFD">
        <w:trPr>
          <w:trHeight w:val="190"/>
        </w:trPr>
        <w:tc>
          <w:tcPr>
            <w:tcW w:w="3402" w:type="dxa"/>
            <w:tcBorders>
              <w:top w:val="single" w:sz="4" w:space="0" w:color="auto"/>
              <w:left w:val="nil"/>
              <w:right w:val="nil"/>
            </w:tcBorders>
          </w:tcPr>
          <w:p w14:paraId="75CB3139"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 xml:space="preserve">Balance at 1 January </w:t>
            </w:r>
            <w:r>
              <w:rPr>
                <w:rFonts w:asciiTheme="minorHAnsi" w:hAnsiTheme="minorHAnsi" w:cs="Times New Roman"/>
                <w:sz w:val="20"/>
                <w:szCs w:val="20"/>
              </w:rPr>
              <w:t>2018</w:t>
            </w:r>
          </w:p>
        </w:tc>
        <w:tc>
          <w:tcPr>
            <w:tcW w:w="1276" w:type="dxa"/>
            <w:tcBorders>
              <w:top w:val="single" w:sz="4" w:space="0" w:color="auto"/>
              <w:left w:val="nil"/>
              <w:right w:val="nil"/>
            </w:tcBorders>
          </w:tcPr>
          <w:p w14:paraId="0F2C3CB7"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3,432.6</w:t>
            </w:r>
          </w:p>
        </w:tc>
        <w:tc>
          <w:tcPr>
            <w:tcW w:w="1030" w:type="dxa"/>
            <w:tcBorders>
              <w:top w:val="single" w:sz="4" w:space="0" w:color="auto"/>
              <w:left w:val="nil"/>
              <w:right w:val="nil"/>
            </w:tcBorders>
          </w:tcPr>
          <w:p w14:paraId="2F21E643"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44.6</w:t>
            </w:r>
          </w:p>
        </w:tc>
        <w:tc>
          <w:tcPr>
            <w:tcW w:w="1134" w:type="dxa"/>
            <w:tcBorders>
              <w:top w:val="single" w:sz="4" w:space="0" w:color="auto"/>
              <w:left w:val="nil"/>
              <w:right w:val="nil"/>
            </w:tcBorders>
          </w:tcPr>
          <w:p w14:paraId="428B7181"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369.5</w:t>
            </w:r>
          </w:p>
        </w:tc>
        <w:tc>
          <w:tcPr>
            <w:tcW w:w="1238" w:type="dxa"/>
            <w:tcBorders>
              <w:top w:val="single" w:sz="4" w:space="0" w:color="auto"/>
              <w:left w:val="nil"/>
              <w:right w:val="nil"/>
            </w:tcBorders>
          </w:tcPr>
          <w:p w14:paraId="7A8E418B"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18.7</w:t>
            </w:r>
          </w:p>
        </w:tc>
        <w:tc>
          <w:tcPr>
            <w:tcW w:w="1134" w:type="dxa"/>
            <w:tcBorders>
              <w:top w:val="single" w:sz="4" w:space="0" w:color="auto"/>
              <w:left w:val="nil"/>
              <w:right w:val="nil"/>
            </w:tcBorders>
          </w:tcPr>
          <w:p w14:paraId="3E756FFA"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19.8</w:t>
            </w:r>
          </w:p>
        </w:tc>
        <w:tc>
          <w:tcPr>
            <w:tcW w:w="992" w:type="dxa"/>
            <w:tcBorders>
              <w:top w:val="single" w:sz="4" w:space="0" w:color="auto"/>
              <w:left w:val="nil"/>
              <w:right w:val="nil"/>
            </w:tcBorders>
          </w:tcPr>
          <w:p w14:paraId="3A5594AD"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3,885.2</w:t>
            </w:r>
          </w:p>
        </w:tc>
      </w:tr>
      <w:tr w:rsidR="00794AFD" w:rsidRPr="001C5950" w14:paraId="34190527" w14:textId="77777777" w:rsidTr="00794AFD">
        <w:tc>
          <w:tcPr>
            <w:tcW w:w="3402" w:type="dxa"/>
            <w:tcBorders>
              <w:left w:val="nil"/>
              <w:right w:val="nil"/>
            </w:tcBorders>
          </w:tcPr>
          <w:p w14:paraId="1DFA176F"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Impairment</w:t>
            </w:r>
          </w:p>
        </w:tc>
        <w:tc>
          <w:tcPr>
            <w:tcW w:w="1276" w:type="dxa"/>
            <w:tcBorders>
              <w:left w:val="nil"/>
              <w:right w:val="nil"/>
            </w:tcBorders>
          </w:tcPr>
          <w:p w14:paraId="1E61CD5A"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w:t>
            </w:r>
          </w:p>
        </w:tc>
        <w:tc>
          <w:tcPr>
            <w:tcW w:w="1030" w:type="dxa"/>
            <w:tcBorders>
              <w:left w:val="nil"/>
              <w:right w:val="nil"/>
            </w:tcBorders>
          </w:tcPr>
          <w:p w14:paraId="290FB742"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w:t>
            </w:r>
          </w:p>
        </w:tc>
        <w:tc>
          <w:tcPr>
            <w:tcW w:w="1134" w:type="dxa"/>
            <w:tcBorders>
              <w:left w:val="nil"/>
              <w:right w:val="nil"/>
            </w:tcBorders>
          </w:tcPr>
          <w:p w14:paraId="5AF63657"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(26.5)</w:t>
            </w:r>
          </w:p>
        </w:tc>
        <w:tc>
          <w:tcPr>
            <w:tcW w:w="1238" w:type="dxa"/>
            <w:tcBorders>
              <w:left w:val="nil"/>
              <w:right w:val="nil"/>
            </w:tcBorders>
          </w:tcPr>
          <w:p w14:paraId="328F9FDE"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w:t>
            </w:r>
          </w:p>
        </w:tc>
        <w:tc>
          <w:tcPr>
            <w:tcW w:w="1134" w:type="dxa"/>
            <w:tcBorders>
              <w:left w:val="nil"/>
              <w:right w:val="nil"/>
            </w:tcBorders>
          </w:tcPr>
          <w:p w14:paraId="4AF4CF94"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w:t>
            </w:r>
          </w:p>
        </w:tc>
        <w:tc>
          <w:tcPr>
            <w:tcW w:w="992" w:type="dxa"/>
            <w:tcBorders>
              <w:left w:val="nil"/>
              <w:right w:val="nil"/>
            </w:tcBorders>
          </w:tcPr>
          <w:p w14:paraId="2CCC48FE"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(26.5)</w:t>
            </w:r>
          </w:p>
        </w:tc>
      </w:tr>
      <w:tr w:rsidR="00794AFD" w:rsidRPr="001C5950" w14:paraId="27C61F28" w14:textId="77777777" w:rsidTr="00794AFD">
        <w:tc>
          <w:tcPr>
            <w:tcW w:w="3402" w:type="dxa"/>
            <w:tcBorders>
              <w:left w:val="nil"/>
              <w:right w:val="nil"/>
            </w:tcBorders>
          </w:tcPr>
          <w:p w14:paraId="3EE76A95"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Arising on acquisitions during the year (</w:t>
            </w:r>
            <w:r w:rsidRPr="00FC3D06">
              <w:rPr>
                <w:rFonts w:asciiTheme="minorHAnsi" w:hAnsiTheme="minorHAnsi" w:cs="Times New Roman"/>
                <w:sz w:val="20"/>
                <w:szCs w:val="20"/>
              </w:rPr>
              <w:t xml:space="preserve">Note </w:t>
            </w:r>
            <w:r>
              <w:rPr>
                <w:rFonts w:asciiTheme="minorHAnsi" w:hAnsiTheme="minorHAnsi" w:cs="Times New Roman"/>
                <w:sz w:val="20"/>
                <w:szCs w:val="20"/>
              </w:rPr>
              <w:t>8</w:t>
            </w:r>
            <w:r w:rsidRPr="00FC3D06">
              <w:rPr>
                <w:rFonts w:asciiTheme="minorHAnsi" w:hAnsiTheme="minorHAnsi" w:cs="Times New Roman"/>
                <w:sz w:val="20"/>
                <w:szCs w:val="20"/>
              </w:rPr>
              <w:t>)</w:t>
            </w:r>
          </w:p>
        </w:tc>
        <w:tc>
          <w:tcPr>
            <w:tcW w:w="1276" w:type="dxa"/>
            <w:tcBorders>
              <w:left w:val="nil"/>
              <w:right w:val="nil"/>
            </w:tcBorders>
          </w:tcPr>
          <w:p w14:paraId="4EF09F8F" w14:textId="77777777" w:rsidR="00794AFD" w:rsidRPr="00A604FB" w:rsidRDefault="00794AFD" w:rsidP="00794AFD">
            <w:pPr>
              <w:jc w:val="right"/>
              <w:rPr>
                <w:rFonts w:asciiTheme="minorHAnsi" w:hAnsiTheme="minorHAnsi" w:cs="Times New Roman"/>
                <w:sz w:val="20"/>
                <w:szCs w:val="20"/>
              </w:rPr>
            </w:pPr>
          </w:p>
          <w:p w14:paraId="00260B18"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w:t>
            </w:r>
          </w:p>
        </w:tc>
        <w:tc>
          <w:tcPr>
            <w:tcW w:w="1030" w:type="dxa"/>
            <w:tcBorders>
              <w:left w:val="nil"/>
              <w:right w:val="nil"/>
            </w:tcBorders>
          </w:tcPr>
          <w:p w14:paraId="4E843889" w14:textId="77777777" w:rsidR="00794AFD" w:rsidRPr="00A604FB" w:rsidRDefault="00794AFD" w:rsidP="00794AFD">
            <w:pPr>
              <w:jc w:val="right"/>
              <w:rPr>
                <w:rFonts w:asciiTheme="minorHAnsi" w:hAnsiTheme="minorHAnsi" w:cs="Times New Roman"/>
                <w:sz w:val="20"/>
                <w:szCs w:val="20"/>
              </w:rPr>
            </w:pPr>
          </w:p>
          <w:p w14:paraId="4179CF0A"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w:t>
            </w:r>
          </w:p>
        </w:tc>
        <w:tc>
          <w:tcPr>
            <w:tcW w:w="1134" w:type="dxa"/>
            <w:tcBorders>
              <w:left w:val="nil"/>
              <w:right w:val="nil"/>
            </w:tcBorders>
          </w:tcPr>
          <w:p w14:paraId="790890BD" w14:textId="77777777" w:rsidR="00794AFD" w:rsidRPr="00A604FB" w:rsidRDefault="00794AFD" w:rsidP="00794AFD">
            <w:pPr>
              <w:jc w:val="right"/>
              <w:rPr>
                <w:rFonts w:asciiTheme="minorHAnsi" w:hAnsiTheme="minorHAnsi" w:cs="Times New Roman"/>
                <w:sz w:val="20"/>
                <w:szCs w:val="20"/>
              </w:rPr>
            </w:pPr>
          </w:p>
          <w:p w14:paraId="58A5A842"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191.3</w:t>
            </w:r>
          </w:p>
        </w:tc>
        <w:tc>
          <w:tcPr>
            <w:tcW w:w="1238" w:type="dxa"/>
            <w:tcBorders>
              <w:left w:val="nil"/>
              <w:right w:val="nil"/>
            </w:tcBorders>
          </w:tcPr>
          <w:p w14:paraId="6634C0B8" w14:textId="77777777" w:rsidR="00794AFD" w:rsidRPr="00A604FB" w:rsidRDefault="00794AFD" w:rsidP="00794AFD">
            <w:pPr>
              <w:jc w:val="right"/>
              <w:rPr>
                <w:rFonts w:asciiTheme="minorHAnsi" w:hAnsiTheme="minorHAnsi" w:cs="Times New Roman"/>
                <w:sz w:val="20"/>
                <w:szCs w:val="20"/>
              </w:rPr>
            </w:pPr>
          </w:p>
          <w:p w14:paraId="10D23D65"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0.2</w:t>
            </w:r>
          </w:p>
        </w:tc>
        <w:tc>
          <w:tcPr>
            <w:tcW w:w="1134" w:type="dxa"/>
            <w:tcBorders>
              <w:left w:val="nil"/>
              <w:right w:val="nil"/>
            </w:tcBorders>
          </w:tcPr>
          <w:p w14:paraId="6C8A0A67" w14:textId="77777777" w:rsidR="00794AFD" w:rsidRPr="00A604FB" w:rsidRDefault="00794AFD" w:rsidP="00794AFD">
            <w:pPr>
              <w:jc w:val="right"/>
              <w:rPr>
                <w:rFonts w:asciiTheme="minorHAnsi" w:hAnsiTheme="minorHAnsi" w:cs="Times New Roman"/>
                <w:sz w:val="20"/>
                <w:szCs w:val="20"/>
              </w:rPr>
            </w:pPr>
          </w:p>
          <w:p w14:paraId="06BE12E6"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0.9</w:t>
            </w:r>
          </w:p>
        </w:tc>
        <w:tc>
          <w:tcPr>
            <w:tcW w:w="992" w:type="dxa"/>
            <w:tcBorders>
              <w:left w:val="nil"/>
              <w:right w:val="nil"/>
            </w:tcBorders>
          </w:tcPr>
          <w:p w14:paraId="44E7B03C" w14:textId="77777777" w:rsidR="00794AFD" w:rsidRPr="00A604FB" w:rsidRDefault="00794AFD" w:rsidP="00794AFD">
            <w:pPr>
              <w:jc w:val="right"/>
              <w:rPr>
                <w:rFonts w:asciiTheme="minorHAnsi" w:hAnsiTheme="minorHAnsi" w:cs="Times New Roman"/>
                <w:sz w:val="20"/>
                <w:szCs w:val="20"/>
              </w:rPr>
            </w:pPr>
          </w:p>
          <w:p w14:paraId="0760CDDC"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192.4</w:t>
            </w:r>
          </w:p>
        </w:tc>
      </w:tr>
      <w:tr w:rsidR="00794AFD" w:rsidRPr="001C5950" w14:paraId="40D325A2" w14:textId="77777777" w:rsidTr="00794AFD">
        <w:trPr>
          <w:trHeight w:val="193"/>
        </w:trPr>
        <w:tc>
          <w:tcPr>
            <w:tcW w:w="3402" w:type="dxa"/>
            <w:tcBorders>
              <w:left w:val="nil"/>
              <w:bottom w:val="single" w:sz="4" w:space="0" w:color="auto"/>
              <w:right w:val="nil"/>
            </w:tcBorders>
          </w:tcPr>
          <w:p w14:paraId="76A5F7C7"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Foreign currency translation adjustment</w:t>
            </w:r>
          </w:p>
        </w:tc>
        <w:tc>
          <w:tcPr>
            <w:tcW w:w="1276" w:type="dxa"/>
            <w:tcBorders>
              <w:left w:val="nil"/>
              <w:bottom w:val="single" w:sz="4" w:space="0" w:color="auto"/>
              <w:right w:val="nil"/>
            </w:tcBorders>
          </w:tcPr>
          <w:p w14:paraId="581F7A9D"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0.1</w:t>
            </w:r>
          </w:p>
        </w:tc>
        <w:tc>
          <w:tcPr>
            <w:tcW w:w="1030" w:type="dxa"/>
            <w:tcBorders>
              <w:left w:val="nil"/>
              <w:bottom w:val="single" w:sz="4" w:space="0" w:color="auto"/>
              <w:right w:val="nil"/>
            </w:tcBorders>
          </w:tcPr>
          <w:p w14:paraId="4AAFB379"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(2.1)</w:t>
            </w:r>
          </w:p>
        </w:tc>
        <w:tc>
          <w:tcPr>
            <w:tcW w:w="1134" w:type="dxa"/>
            <w:tcBorders>
              <w:left w:val="nil"/>
              <w:bottom w:val="single" w:sz="4" w:space="0" w:color="auto"/>
              <w:right w:val="nil"/>
            </w:tcBorders>
          </w:tcPr>
          <w:p w14:paraId="51850C03"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26.2</w:t>
            </w:r>
          </w:p>
        </w:tc>
        <w:tc>
          <w:tcPr>
            <w:tcW w:w="1238" w:type="dxa"/>
            <w:tcBorders>
              <w:left w:val="nil"/>
              <w:bottom w:val="single" w:sz="4" w:space="0" w:color="auto"/>
              <w:right w:val="nil"/>
            </w:tcBorders>
          </w:tcPr>
          <w:p w14:paraId="782AADDF"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w:t>
            </w:r>
          </w:p>
        </w:tc>
        <w:tc>
          <w:tcPr>
            <w:tcW w:w="1134" w:type="dxa"/>
            <w:tcBorders>
              <w:left w:val="nil"/>
              <w:bottom w:val="single" w:sz="4" w:space="0" w:color="auto"/>
              <w:right w:val="nil"/>
            </w:tcBorders>
          </w:tcPr>
          <w:p w14:paraId="185D3B9A"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w:t>
            </w:r>
          </w:p>
        </w:tc>
        <w:tc>
          <w:tcPr>
            <w:tcW w:w="992" w:type="dxa"/>
            <w:tcBorders>
              <w:left w:val="nil"/>
              <w:right w:val="nil"/>
            </w:tcBorders>
          </w:tcPr>
          <w:p w14:paraId="4BC43286" w14:textId="77777777" w:rsidR="00794AFD" w:rsidRPr="00A604FB" w:rsidRDefault="00794AFD" w:rsidP="00794AFD">
            <w:pPr>
              <w:jc w:val="right"/>
              <w:rPr>
                <w:rFonts w:asciiTheme="minorHAnsi" w:hAnsiTheme="minorHAnsi" w:cs="Times New Roman"/>
                <w:sz w:val="20"/>
                <w:szCs w:val="20"/>
              </w:rPr>
            </w:pPr>
            <w:r w:rsidRPr="00A604FB">
              <w:rPr>
                <w:rFonts w:asciiTheme="minorHAnsi" w:hAnsiTheme="minorHAnsi" w:cs="Times New Roman"/>
                <w:sz w:val="20"/>
                <w:szCs w:val="20"/>
              </w:rPr>
              <w:t>24.2</w:t>
            </w:r>
          </w:p>
        </w:tc>
      </w:tr>
      <w:tr w:rsidR="00794AFD" w:rsidRPr="001C5950" w14:paraId="183B7EB1" w14:textId="77777777" w:rsidTr="00794AFD">
        <w:trPr>
          <w:trHeight w:val="93"/>
        </w:trPr>
        <w:tc>
          <w:tcPr>
            <w:tcW w:w="3402" w:type="dxa"/>
            <w:tcBorders>
              <w:top w:val="single" w:sz="4" w:space="0" w:color="auto"/>
              <w:left w:val="nil"/>
              <w:right w:val="nil"/>
            </w:tcBorders>
          </w:tcPr>
          <w:p w14:paraId="7F57815A"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 xml:space="preserve">Balance at 31 December </w:t>
            </w:r>
            <w:r>
              <w:rPr>
                <w:rFonts w:asciiTheme="minorHAnsi" w:hAnsiTheme="minorHAnsi" w:cs="Times New Roman"/>
                <w:sz w:val="20"/>
                <w:szCs w:val="20"/>
              </w:rPr>
              <w:t>2018</w:t>
            </w:r>
          </w:p>
        </w:tc>
        <w:tc>
          <w:tcPr>
            <w:tcW w:w="1276" w:type="dxa"/>
            <w:tcBorders>
              <w:top w:val="single" w:sz="4" w:space="0" w:color="auto"/>
              <w:left w:val="nil"/>
              <w:right w:val="nil"/>
            </w:tcBorders>
          </w:tcPr>
          <w:p w14:paraId="5B0A612A" w14:textId="77777777" w:rsidR="00794AFD" w:rsidRPr="001C5950" w:rsidRDefault="00794AFD" w:rsidP="00794AFD">
            <w:pPr>
              <w:jc w:val="right"/>
              <w:rPr>
                <w:rFonts w:asciiTheme="minorHAnsi" w:hAnsiTheme="minorHAnsi" w:cs="Times New Roman"/>
                <w:sz w:val="20"/>
                <w:szCs w:val="20"/>
              </w:rPr>
            </w:pPr>
            <w:r w:rsidRPr="001C5950">
              <w:rPr>
                <w:rFonts w:asciiTheme="minorHAnsi" w:hAnsiTheme="minorHAnsi" w:cs="Times New Roman"/>
                <w:b/>
                <w:sz w:val="20"/>
                <w:szCs w:val="20"/>
              </w:rPr>
              <w:t>3,432.7</w:t>
            </w:r>
          </w:p>
        </w:tc>
        <w:tc>
          <w:tcPr>
            <w:tcW w:w="1030" w:type="dxa"/>
            <w:tcBorders>
              <w:top w:val="single" w:sz="4" w:space="0" w:color="auto"/>
              <w:left w:val="nil"/>
              <w:right w:val="nil"/>
            </w:tcBorders>
          </w:tcPr>
          <w:p w14:paraId="383E71AF" w14:textId="77777777" w:rsidR="00794AFD" w:rsidRPr="001C5950" w:rsidRDefault="00794AFD" w:rsidP="00794AFD">
            <w:pPr>
              <w:jc w:val="right"/>
              <w:rPr>
                <w:rFonts w:asciiTheme="minorHAnsi" w:hAnsiTheme="minorHAnsi" w:cs="Times New Roman"/>
                <w:sz w:val="20"/>
                <w:szCs w:val="20"/>
              </w:rPr>
            </w:pPr>
            <w:r w:rsidRPr="001C5950">
              <w:rPr>
                <w:rFonts w:asciiTheme="minorHAnsi" w:hAnsiTheme="minorHAnsi" w:cs="Times New Roman"/>
                <w:b/>
                <w:sz w:val="20"/>
                <w:szCs w:val="20"/>
              </w:rPr>
              <w:t>42.5</w:t>
            </w:r>
          </w:p>
        </w:tc>
        <w:tc>
          <w:tcPr>
            <w:tcW w:w="1134" w:type="dxa"/>
            <w:tcBorders>
              <w:top w:val="single" w:sz="4" w:space="0" w:color="auto"/>
              <w:left w:val="nil"/>
              <w:right w:val="nil"/>
            </w:tcBorders>
          </w:tcPr>
          <w:p w14:paraId="4E9C0FDB" w14:textId="77777777" w:rsidR="00794AFD" w:rsidRPr="001C5950" w:rsidRDefault="00794AFD" w:rsidP="00794AFD">
            <w:pPr>
              <w:jc w:val="right"/>
              <w:rPr>
                <w:rFonts w:asciiTheme="minorHAnsi" w:hAnsiTheme="minorHAnsi" w:cs="Times New Roman"/>
                <w:sz w:val="20"/>
                <w:szCs w:val="20"/>
              </w:rPr>
            </w:pPr>
            <w:r w:rsidRPr="001C5950">
              <w:rPr>
                <w:rFonts w:asciiTheme="minorHAnsi" w:hAnsiTheme="minorHAnsi" w:cs="Times New Roman"/>
                <w:b/>
                <w:sz w:val="20"/>
                <w:szCs w:val="20"/>
              </w:rPr>
              <w:t>560.5</w:t>
            </w:r>
          </w:p>
        </w:tc>
        <w:tc>
          <w:tcPr>
            <w:tcW w:w="1238" w:type="dxa"/>
            <w:tcBorders>
              <w:top w:val="single" w:sz="4" w:space="0" w:color="auto"/>
              <w:left w:val="nil"/>
              <w:right w:val="nil"/>
            </w:tcBorders>
          </w:tcPr>
          <w:p w14:paraId="541910C3" w14:textId="77777777" w:rsidR="00794AFD" w:rsidRPr="001C5950" w:rsidRDefault="00794AFD" w:rsidP="00794AFD">
            <w:pPr>
              <w:jc w:val="right"/>
              <w:rPr>
                <w:rFonts w:asciiTheme="minorHAnsi" w:hAnsiTheme="minorHAnsi" w:cs="Times New Roman"/>
                <w:sz w:val="20"/>
                <w:szCs w:val="20"/>
              </w:rPr>
            </w:pPr>
            <w:r w:rsidRPr="001C5950">
              <w:rPr>
                <w:rFonts w:asciiTheme="minorHAnsi" w:hAnsiTheme="minorHAnsi" w:cs="Times New Roman"/>
                <w:b/>
                <w:sz w:val="20"/>
                <w:szCs w:val="20"/>
              </w:rPr>
              <w:t>18.9</w:t>
            </w:r>
          </w:p>
        </w:tc>
        <w:tc>
          <w:tcPr>
            <w:tcW w:w="1134" w:type="dxa"/>
            <w:tcBorders>
              <w:top w:val="single" w:sz="4" w:space="0" w:color="auto"/>
              <w:left w:val="nil"/>
              <w:right w:val="nil"/>
            </w:tcBorders>
          </w:tcPr>
          <w:p w14:paraId="60A4D843" w14:textId="77777777" w:rsidR="00794AFD" w:rsidRPr="001C5950" w:rsidRDefault="00794AFD" w:rsidP="00794AFD">
            <w:pPr>
              <w:jc w:val="right"/>
              <w:rPr>
                <w:rFonts w:asciiTheme="minorHAnsi" w:hAnsiTheme="minorHAnsi" w:cs="Times New Roman"/>
                <w:sz w:val="20"/>
                <w:szCs w:val="20"/>
              </w:rPr>
            </w:pPr>
            <w:r w:rsidRPr="001C5950">
              <w:rPr>
                <w:rFonts w:asciiTheme="minorHAnsi" w:hAnsiTheme="minorHAnsi" w:cs="Times New Roman"/>
                <w:b/>
                <w:sz w:val="20"/>
                <w:szCs w:val="20"/>
              </w:rPr>
              <w:t>20.7</w:t>
            </w:r>
          </w:p>
        </w:tc>
        <w:tc>
          <w:tcPr>
            <w:tcW w:w="992" w:type="dxa"/>
            <w:tcBorders>
              <w:top w:val="single" w:sz="4" w:space="0" w:color="auto"/>
              <w:left w:val="nil"/>
              <w:right w:val="nil"/>
            </w:tcBorders>
          </w:tcPr>
          <w:p w14:paraId="2F0970DC" w14:textId="77777777" w:rsidR="00794AFD" w:rsidRPr="001C5950" w:rsidRDefault="00794AFD" w:rsidP="00794AFD">
            <w:pPr>
              <w:jc w:val="right"/>
              <w:rPr>
                <w:rFonts w:asciiTheme="minorHAnsi" w:hAnsiTheme="minorHAnsi" w:cs="Times New Roman"/>
                <w:sz w:val="20"/>
                <w:szCs w:val="20"/>
              </w:rPr>
            </w:pPr>
            <w:r w:rsidRPr="001C5950">
              <w:rPr>
                <w:rFonts w:asciiTheme="minorHAnsi" w:hAnsiTheme="minorHAnsi" w:cs="Times New Roman"/>
                <w:b/>
                <w:sz w:val="20"/>
                <w:szCs w:val="20"/>
              </w:rPr>
              <w:t>4,075.3</w:t>
            </w:r>
          </w:p>
        </w:tc>
      </w:tr>
      <w:tr w:rsidR="00794AFD" w:rsidRPr="001C5950" w14:paraId="489D2CE4" w14:textId="77777777" w:rsidTr="00794AFD">
        <w:trPr>
          <w:trHeight w:val="180"/>
        </w:trPr>
        <w:tc>
          <w:tcPr>
            <w:tcW w:w="3402" w:type="dxa"/>
            <w:tcBorders>
              <w:left w:val="nil"/>
              <w:right w:val="nil"/>
            </w:tcBorders>
          </w:tcPr>
          <w:p w14:paraId="3D780CD1"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Arising on acquisitions during the year (</w:t>
            </w:r>
            <w:r w:rsidRPr="00FC3D06">
              <w:rPr>
                <w:rFonts w:asciiTheme="minorHAnsi" w:hAnsiTheme="minorHAnsi" w:cs="Times New Roman"/>
                <w:sz w:val="20"/>
                <w:szCs w:val="20"/>
              </w:rPr>
              <w:t xml:space="preserve">Note </w:t>
            </w:r>
            <w:r>
              <w:rPr>
                <w:rFonts w:asciiTheme="minorHAnsi" w:hAnsiTheme="minorHAnsi" w:cs="Times New Roman"/>
                <w:sz w:val="20"/>
                <w:szCs w:val="20"/>
              </w:rPr>
              <w:t>8</w:t>
            </w:r>
            <w:r w:rsidRPr="00FC3D06">
              <w:rPr>
                <w:rFonts w:asciiTheme="minorHAnsi" w:hAnsiTheme="minorHAnsi" w:cs="Times New Roman"/>
                <w:sz w:val="20"/>
                <w:szCs w:val="20"/>
              </w:rPr>
              <w:t>)</w:t>
            </w:r>
          </w:p>
        </w:tc>
        <w:tc>
          <w:tcPr>
            <w:tcW w:w="1276" w:type="dxa"/>
            <w:tcBorders>
              <w:left w:val="nil"/>
              <w:right w:val="nil"/>
            </w:tcBorders>
            <w:shd w:val="clear" w:color="auto" w:fill="auto"/>
          </w:tcPr>
          <w:p w14:paraId="41907076" w14:textId="77777777" w:rsidR="00794AFD" w:rsidRPr="00070ED0" w:rsidRDefault="00794AFD" w:rsidP="00794AFD">
            <w:pPr>
              <w:jc w:val="right"/>
              <w:rPr>
                <w:rFonts w:asciiTheme="minorHAnsi" w:hAnsiTheme="minorHAnsi" w:cs="Times New Roman"/>
                <w:b/>
                <w:sz w:val="20"/>
                <w:szCs w:val="20"/>
              </w:rPr>
            </w:pPr>
          </w:p>
          <w:p w14:paraId="5D374418"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69.6</w:t>
            </w:r>
          </w:p>
        </w:tc>
        <w:tc>
          <w:tcPr>
            <w:tcW w:w="1030" w:type="dxa"/>
            <w:tcBorders>
              <w:left w:val="nil"/>
              <w:right w:val="nil"/>
            </w:tcBorders>
            <w:shd w:val="clear" w:color="auto" w:fill="auto"/>
          </w:tcPr>
          <w:p w14:paraId="2C3C35C5" w14:textId="77777777" w:rsidR="00794AFD" w:rsidRPr="00070ED0" w:rsidRDefault="00794AFD" w:rsidP="00794AFD">
            <w:pPr>
              <w:jc w:val="right"/>
              <w:rPr>
                <w:rFonts w:asciiTheme="minorHAnsi" w:hAnsiTheme="minorHAnsi" w:cs="Times New Roman"/>
                <w:b/>
                <w:sz w:val="20"/>
                <w:szCs w:val="20"/>
              </w:rPr>
            </w:pPr>
          </w:p>
          <w:p w14:paraId="1CE7935F"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w:t>
            </w:r>
          </w:p>
        </w:tc>
        <w:tc>
          <w:tcPr>
            <w:tcW w:w="1134" w:type="dxa"/>
            <w:tcBorders>
              <w:left w:val="nil"/>
              <w:right w:val="nil"/>
            </w:tcBorders>
            <w:shd w:val="clear" w:color="auto" w:fill="auto"/>
          </w:tcPr>
          <w:p w14:paraId="7B0D5DF4" w14:textId="77777777" w:rsidR="00794AFD" w:rsidRPr="00070ED0" w:rsidRDefault="00794AFD" w:rsidP="00794AFD">
            <w:pPr>
              <w:jc w:val="right"/>
              <w:rPr>
                <w:rFonts w:asciiTheme="minorHAnsi" w:hAnsiTheme="minorHAnsi" w:cs="Times New Roman"/>
                <w:b/>
                <w:sz w:val="20"/>
                <w:szCs w:val="20"/>
              </w:rPr>
            </w:pPr>
          </w:p>
          <w:p w14:paraId="4ADA4D8E"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w:t>
            </w:r>
          </w:p>
        </w:tc>
        <w:tc>
          <w:tcPr>
            <w:tcW w:w="1238" w:type="dxa"/>
            <w:tcBorders>
              <w:left w:val="nil"/>
              <w:right w:val="nil"/>
            </w:tcBorders>
            <w:shd w:val="clear" w:color="auto" w:fill="auto"/>
          </w:tcPr>
          <w:p w14:paraId="33DE1A6D" w14:textId="77777777" w:rsidR="00794AFD" w:rsidRPr="00070ED0" w:rsidRDefault="00794AFD" w:rsidP="00794AFD">
            <w:pPr>
              <w:jc w:val="right"/>
              <w:rPr>
                <w:rFonts w:asciiTheme="minorHAnsi" w:hAnsiTheme="minorHAnsi" w:cs="Times New Roman"/>
                <w:b/>
                <w:sz w:val="20"/>
                <w:szCs w:val="20"/>
              </w:rPr>
            </w:pPr>
          </w:p>
          <w:p w14:paraId="6AA89944"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w:t>
            </w:r>
          </w:p>
        </w:tc>
        <w:tc>
          <w:tcPr>
            <w:tcW w:w="1134" w:type="dxa"/>
            <w:tcBorders>
              <w:left w:val="nil"/>
              <w:right w:val="nil"/>
            </w:tcBorders>
            <w:shd w:val="clear" w:color="auto" w:fill="auto"/>
          </w:tcPr>
          <w:p w14:paraId="610CC574" w14:textId="77777777" w:rsidR="00794AFD" w:rsidRPr="00070ED0" w:rsidRDefault="00794AFD" w:rsidP="00794AFD">
            <w:pPr>
              <w:jc w:val="right"/>
              <w:rPr>
                <w:rFonts w:asciiTheme="minorHAnsi" w:hAnsiTheme="minorHAnsi" w:cs="Times New Roman"/>
                <w:b/>
                <w:sz w:val="20"/>
                <w:szCs w:val="20"/>
              </w:rPr>
            </w:pPr>
          </w:p>
          <w:p w14:paraId="41FFE7BB"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w:t>
            </w:r>
          </w:p>
        </w:tc>
        <w:tc>
          <w:tcPr>
            <w:tcW w:w="992" w:type="dxa"/>
            <w:tcBorders>
              <w:left w:val="nil"/>
              <w:right w:val="nil"/>
            </w:tcBorders>
            <w:shd w:val="clear" w:color="auto" w:fill="auto"/>
          </w:tcPr>
          <w:p w14:paraId="1169BCB0" w14:textId="77777777" w:rsidR="00794AFD" w:rsidRPr="00070ED0" w:rsidRDefault="00794AFD" w:rsidP="00794AFD">
            <w:pPr>
              <w:jc w:val="right"/>
              <w:rPr>
                <w:rFonts w:asciiTheme="minorHAnsi" w:hAnsiTheme="minorHAnsi" w:cs="Times New Roman"/>
                <w:b/>
                <w:sz w:val="20"/>
                <w:szCs w:val="20"/>
              </w:rPr>
            </w:pPr>
          </w:p>
          <w:p w14:paraId="207877EB"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69.6</w:t>
            </w:r>
          </w:p>
        </w:tc>
      </w:tr>
      <w:tr w:rsidR="00794AFD" w:rsidRPr="001C5950" w14:paraId="125C0AE5" w14:textId="77777777" w:rsidTr="00794AFD">
        <w:trPr>
          <w:trHeight w:val="184"/>
        </w:trPr>
        <w:tc>
          <w:tcPr>
            <w:tcW w:w="3402" w:type="dxa"/>
            <w:tcBorders>
              <w:left w:val="nil"/>
              <w:bottom w:val="single" w:sz="4" w:space="0" w:color="auto"/>
              <w:right w:val="nil"/>
            </w:tcBorders>
          </w:tcPr>
          <w:p w14:paraId="50CFFB59"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Foreign currency translation adjustment</w:t>
            </w:r>
          </w:p>
        </w:tc>
        <w:tc>
          <w:tcPr>
            <w:tcW w:w="1276" w:type="dxa"/>
            <w:tcBorders>
              <w:left w:val="nil"/>
              <w:bottom w:val="single" w:sz="4" w:space="0" w:color="auto"/>
              <w:right w:val="nil"/>
            </w:tcBorders>
            <w:shd w:val="clear" w:color="auto" w:fill="auto"/>
          </w:tcPr>
          <w:p w14:paraId="55EA5AF9"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(5.9)</w:t>
            </w:r>
          </w:p>
        </w:tc>
        <w:tc>
          <w:tcPr>
            <w:tcW w:w="1030" w:type="dxa"/>
            <w:tcBorders>
              <w:left w:val="nil"/>
              <w:bottom w:val="single" w:sz="4" w:space="0" w:color="auto"/>
              <w:right w:val="nil"/>
            </w:tcBorders>
            <w:shd w:val="clear" w:color="auto" w:fill="auto"/>
          </w:tcPr>
          <w:p w14:paraId="1AB0F3E7"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(1.4)</w:t>
            </w:r>
          </w:p>
        </w:tc>
        <w:tc>
          <w:tcPr>
            <w:tcW w:w="1134" w:type="dxa"/>
            <w:tcBorders>
              <w:left w:val="nil"/>
              <w:bottom w:val="single" w:sz="4" w:space="0" w:color="auto"/>
              <w:right w:val="nil"/>
            </w:tcBorders>
            <w:shd w:val="clear" w:color="auto" w:fill="auto"/>
          </w:tcPr>
          <w:p w14:paraId="1189988C"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(17.3)</w:t>
            </w:r>
          </w:p>
        </w:tc>
        <w:tc>
          <w:tcPr>
            <w:tcW w:w="1238" w:type="dxa"/>
            <w:tcBorders>
              <w:left w:val="nil"/>
              <w:bottom w:val="single" w:sz="4" w:space="0" w:color="auto"/>
              <w:right w:val="nil"/>
            </w:tcBorders>
            <w:shd w:val="clear" w:color="auto" w:fill="auto"/>
          </w:tcPr>
          <w:p w14:paraId="66ADEC1A"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w:t>
            </w:r>
          </w:p>
        </w:tc>
        <w:tc>
          <w:tcPr>
            <w:tcW w:w="1134" w:type="dxa"/>
            <w:tcBorders>
              <w:left w:val="nil"/>
              <w:bottom w:val="single" w:sz="4" w:space="0" w:color="auto"/>
              <w:right w:val="nil"/>
            </w:tcBorders>
            <w:shd w:val="clear" w:color="auto" w:fill="auto"/>
          </w:tcPr>
          <w:p w14:paraId="394798F5"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w:t>
            </w:r>
          </w:p>
        </w:tc>
        <w:tc>
          <w:tcPr>
            <w:tcW w:w="992" w:type="dxa"/>
            <w:tcBorders>
              <w:left w:val="nil"/>
              <w:bottom w:val="single" w:sz="4" w:space="0" w:color="auto"/>
              <w:right w:val="nil"/>
            </w:tcBorders>
            <w:shd w:val="clear" w:color="auto" w:fill="auto"/>
          </w:tcPr>
          <w:p w14:paraId="0AC3BDFB"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(24.6)</w:t>
            </w:r>
          </w:p>
        </w:tc>
      </w:tr>
      <w:tr w:rsidR="00794AFD" w:rsidRPr="001C5950" w14:paraId="717061E0" w14:textId="77777777" w:rsidTr="00794AFD">
        <w:trPr>
          <w:trHeight w:val="254"/>
        </w:trPr>
        <w:tc>
          <w:tcPr>
            <w:tcW w:w="3402" w:type="dxa"/>
            <w:tcBorders>
              <w:top w:val="single" w:sz="4" w:space="0" w:color="auto"/>
              <w:left w:val="nil"/>
              <w:bottom w:val="single" w:sz="4" w:space="0" w:color="auto"/>
              <w:right w:val="nil"/>
            </w:tcBorders>
          </w:tcPr>
          <w:p w14:paraId="701ABC52"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 xml:space="preserve">Balance at 31 December </w:t>
            </w:r>
            <w:r>
              <w:rPr>
                <w:rFonts w:asciiTheme="minorHAnsi" w:hAnsiTheme="minorHAnsi" w:cs="Times New Roman"/>
                <w:sz w:val="20"/>
                <w:szCs w:val="20"/>
              </w:rPr>
              <w:t>2019</w:t>
            </w:r>
          </w:p>
        </w:tc>
        <w:tc>
          <w:tcPr>
            <w:tcW w:w="1276" w:type="dxa"/>
            <w:tcBorders>
              <w:top w:val="single" w:sz="4" w:space="0" w:color="auto"/>
              <w:left w:val="nil"/>
              <w:bottom w:val="single" w:sz="4" w:space="0" w:color="auto"/>
              <w:right w:val="nil"/>
            </w:tcBorders>
            <w:shd w:val="clear" w:color="auto" w:fill="auto"/>
          </w:tcPr>
          <w:p w14:paraId="4CB77A6B"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3,496.4</w:t>
            </w:r>
          </w:p>
        </w:tc>
        <w:tc>
          <w:tcPr>
            <w:tcW w:w="1030" w:type="dxa"/>
            <w:tcBorders>
              <w:top w:val="single" w:sz="4" w:space="0" w:color="auto"/>
              <w:left w:val="nil"/>
              <w:bottom w:val="single" w:sz="4" w:space="0" w:color="auto"/>
              <w:right w:val="nil"/>
            </w:tcBorders>
            <w:shd w:val="clear" w:color="auto" w:fill="auto"/>
          </w:tcPr>
          <w:p w14:paraId="35E0329D"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41.1</w:t>
            </w:r>
          </w:p>
        </w:tc>
        <w:tc>
          <w:tcPr>
            <w:tcW w:w="1134" w:type="dxa"/>
            <w:tcBorders>
              <w:top w:val="single" w:sz="4" w:space="0" w:color="auto"/>
              <w:left w:val="nil"/>
              <w:bottom w:val="single" w:sz="4" w:space="0" w:color="auto"/>
              <w:right w:val="nil"/>
            </w:tcBorders>
            <w:shd w:val="clear" w:color="auto" w:fill="auto"/>
          </w:tcPr>
          <w:p w14:paraId="75027F68"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543.2</w:t>
            </w:r>
          </w:p>
        </w:tc>
        <w:tc>
          <w:tcPr>
            <w:tcW w:w="1238" w:type="dxa"/>
            <w:tcBorders>
              <w:top w:val="single" w:sz="4" w:space="0" w:color="auto"/>
              <w:left w:val="nil"/>
              <w:bottom w:val="single" w:sz="4" w:space="0" w:color="auto"/>
              <w:right w:val="nil"/>
            </w:tcBorders>
            <w:shd w:val="clear" w:color="auto" w:fill="auto"/>
          </w:tcPr>
          <w:p w14:paraId="7BDEB8D5"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18.9</w:t>
            </w:r>
          </w:p>
        </w:tc>
        <w:tc>
          <w:tcPr>
            <w:tcW w:w="1134" w:type="dxa"/>
            <w:tcBorders>
              <w:top w:val="single" w:sz="4" w:space="0" w:color="auto"/>
              <w:left w:val="nil"/>
              <w:bottom w:val="single" w:sz="4" w:space="0" w:color="auto"/>
              <w:right w:val="nil"/>
            </w:tcBorders>
            <w:shd w:val="clear" w:color="auto" w:fill="auto"/>
          </w:tcPr>
          <w:p w14:paraId="2A65AD8E"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20.7</w:t>
            </w:r>
          </w:p>
        </w:tc>
        <w:tc>
          <w:tcPr>
            <w:tcW w:w="992" w:type="dxa"/>
            <w:tcBorders>
              <w:top w:val="single" w:sz="4" w:space="0" w:color="auto"/>
              <w:left w:val="nil"/>
              <w:bottom w:val="single" w:sz="4" w:space="0" w:color="auto"/>
              <w:right w:val="nil"/>
            </w:tcBorders>
            <w:shd w:val="clear" w:color="auto" w:fill="auto"/>
          </w:tcPr>
          <w:p w14:paraId="19BFE2E6" w14:textId="77777777" w:rsidR="00794AFD" w:rsidRPr="00070ED0" w:rsidRDefault="00794AFD" w:rsidP="00794AFD">
            <w:pPr>
              <w:jc w:val="right"/>
              <w:rPr>
                <w:rFonts w:asciiTheme="minorHAnsi" w:hAnsiTheme="minorHAnsi" w:cs="Times New Roman"/>
                <w:b/>
                <w:sz w:val="20"/>
                <w:szCs w:val="20"/>
              </w:rPr>
            </w:pPr>
            <w:r w:rsidRPr="00070ED0">
              <w:rPr>
                <w:rFonts w:asciiTheme="minorHAnsi" w:hAnsiTheme="minorHAnsi" w:cs="Times New Roman"/>
                <w:b/>
                <w:sz w:val="20"/>
                <w:szCs w:val="20"/>
              </w:rPr>
              <w:t>4,120.3</w:t>
            </w:r>
          </w:p>
        </w:tc>
      </w:tr>
    </w:tbl>
    <w:p w14:paraId="7F67C3C9" w14:textId="77777777" w:rsidR="00794AFD" w:rsidRPr="00FC3D06" w:rsidRDefault="00794AFD" w:rsidP="00794AFD">
      <w:pPr>
        <w:rPr>
          <w:rFonts w:asciiTheme="minorHAnsi" w:hAnsiTheme="minorHAnsi" w:cs="Times New Roman"/>
          <w:sz w:val="20"/>
          <w:szCs w:val="20"/>
        </w:rPr>
      </w:pPr>
    </w:p>
    <w:p w14:paraId="4ACEE823" w14:textId="77777777" w:rsidR="00794AFD" w:rsidRPr="001C5950" w:rsidRDefault="00794AFD" w:rsidP="00794AFD">
      <w:pPr>
        <w:rPr>
          <w:rFonts w:asciiTheme="minorHAnsi" w:hAnsiTheme="minorHAnsi"/>
          <w:sz w:val="20"/>
        </w:rPr>
      </w:pPr>
      <w:r w:rsidRPr="001C5950">
        <w:rPr>
          <w:rFonts w:asciiTheme="minorHAnsi" w:hAnsiTheme="minorHAnsi" w:cs="Times New Roman"/>
          <w:sz w:val="20"/>
          <w:szCs w:val="20"/>
        </w:rPr>
        <w:t xml:space="preserve">The </w:t>
      </w:r>
      <w:r>
        <w:rPr>
          <w:rFonts w:asciiTheme="minorHAnsi" w:hAnsiTheme="minorHAnsi" w:cs="Times New Roman"/>
          <w:sz w:val="20"/>
          <w:szCs w:val="20"/>
        </w:rPr>
        <w:t>PPB Online</w:t>
      </w:r>
      <w:r w:rsidRPr="001C5950">
        <w:rPr>
          <w:rFonts w:asciiTheme="minorHAnsi" w:hAnsiTheme="minorHAnsi" w:cs="Times New Roman"/>
          <w:sz w:val="20"/>
          <w:szCs w:val="20"/>
        </w:rPr>
        <w:t xml:space="preserve"> segment goodwill amount arose from the acquisition of CT Networks Limited (“Cayetano”), a games developer based in the Isle of Man and Bulgaria, in 2011,</w:t>
      </w:r>
      <w:r>
        <w:rPr>
          <w:rFonts w:asciiTheme="minorHAnsi" w:hAnsiTheme="minorHAnsi" w:cs="Times New Roman"/>
          <w:sz w:val="20"/>
          <w:szCs w:val="20"/>
        </w:rPr>
        <w:t xml:space="preserve"> </w:t>
      </w:r>
      <w:r w:rsidRPr="001C5950">
        <w:rPr>
          <w:rFonts w:asciiTheme="minorHAnsi" w:hAnsiTheme="minorHAnsi" w:cs="Times New Roman"/>
          <w:sz w:val="20"/>
          <w:szCs w:val="20"/>
        </w:rPr>
        <w:t>the acquisition of the Betfair online business (excluding operations in the US) acquired as part of the all-share merger with Betfair Group plc in 2016</w:t>
      </w:r>
      <w:r>
        <w:rPr>
          <w:rFonts w:asciiTheme="minorHAnsi" w:hAnsiTheme="minorHAnsi" w:cs="Times New Roman"/>
          <w:sz w:val="20"/>
          <w:szCs w:val="20"/>
        </w:rPr>
        <w:t xml:space="preserve"> and </w:t>
      </w:r>
      <w:r>
        <w:rPr>
          <w:rFonts w:asciiTheme="minorHAnsi" w:hAnsiTheme="minorHAnsi"/>
          <w:sz w:val="20"/>
        </w:rPr>
        <w:t>o</w:t>
      </w:r>
      <w:r w:rsidRPr="001C5950">
        <w:rPr>
          <w:rFonts w:asciiTheme="minorHAnsi" w:hAnsiTheme="minorHAnsi"/>
          <w:sz w:val="20"/>
        </w:rPr>
        <w:t>n 1 February 2019, the acquisition of an initial 51% controlling stake in Adjarabet, the market leader in online betting and gaming in the regulated Georgian market</w:t>
      </w:r>
      <w:r>
        <w:rPr>
          <w:rFonts w:asciiTheme="minorHAnsi" w:hAnsiTheme="minorHAnsi"/>
          <w:sz w:val="20"/>
        </w:rPr>
        <w:t xml:space="preserve"> (see Note 8).</w:t>
      </w:r>
    </w:p>
    <w:p w14:paraId="7EAC52C3" w14:textId="77777777" w:rsidR="00794AFD" w:rsidRPr="001C5950" w:rsidRDefault="00794AFD" w:rsidP="00794AFD">
      <w:pPr>
        <w:pStyle w:val="Default"/>
        <w:rPr>
          <w:rFonts w:asciiTheme="minorHAnsi" w:hAnsiTheme="minorHAnsi" w:cs="Times New Roman"/>
          <w:sz w:val="20"/>
          <w:szCs w:val="20"/>
        </w:rPr>
      </w:pPr>
    </w:p>
    <w:p w14:paraId="33F0110E"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cs="Times New Roman"/>
          <w:sz w:val="20"/>
          <w:szCs w:val="20"/>
        </w:rPr>
        <w:t>The Australia segment goodwill amount arose from the acquisition of an initial 51% interest in Sportsbet Pty Limited (“Sportsbet”) and the subsequent acquisition of International All Sports Limited (“IAS”) by Sportsbet, both in 2009.</w:t>
      </w:r>
    </w:p>
    <w:p w14:paraId="1BCB16A3" w14:textId="77777777" w:rsidR="00794AFD" w:rsidRPr="00FC3D06" w:rsidRDefault="00794AFD" w:rsidP="00794AFD">
      <w:pPr>
        <w:rPr>
          <w:rFonts w:asciiTheme="minorHAnsi" w:hAnsiTheme="minorHAnsi" w:cs="Times New Roman"/>
          <w:sz w:val="20"/>
          <w:szCs w:val="20"/>
        </w:rPr>
      </w:pPr>
    </w:p>
    <w:p w14:paraId="593028CE" w14:textId="77777777" w:rsidR="00794AFD" w:rsidRPr="001C5950" w:rsidRDefault="00794AFD" w:rsidP="00794AFD">
      <w:pPr>
        <w:pStyle w:val="BodyText"/>
        <w:rPr>
          <w:rFonts w:asciiTheme="minorHAnsi" w:hAnsiTheme="minorHAnsi"/>
          <w:sz w:val="20"/>
          <w:szCs w:val="20"/>
          <w:lang w:val="en-IE"/>
        </w:rPr>
      </w:pPr>
      <w:r w:rsidRPr="001C5950">
        <w:rPr>
          <w:rFonts w:asciiTheme="minorHAnsi" w:hAnsiTheme="minorHAnsi" w:cs="Times New Roman"/>
          <w:sz w:val="20"/>
          <w:szCs w:val="20"/>
        </w:rPr>
        <w:t xml:space="preserve">The US segment goodwill amount arose from the acquisition of the US business acquired as part of the all-share merger with Betfair Group plc in 2016 and the acquisition of FanDuel Limited a market leading operator in the daily fantasy sports market in the United States, in </w:t>
      </w:r>
      <w:r>
        <w:rPr>
          <w:rFonts w:asciiTheme="minorHAnsi" w:hAnsiTheme="minorHAnsi" w:cs="Times New Roman"/>
          <w:sz w:val="20"/>
          <w:szCs w:val="20"/>
        </w:rPr>
        <w:t>2018</w:t>
      </w:r>
      <w:r w:rsidRPr="001C5950">
        <w:rPr>
          <w:rFonts w:asciiTheme="minorHAnsi" w:hAnsiTheme="minorHAnsi" w:cs="Times New Roman"/>
          <w:sz w:val="20"/>
          <w:szCs w:val="20"/>
        </w:rPr>
        <w:t xml:space="preserve"> (see Note </w:t>
      </w:r>
      <w:r>
        <w:rPr>
          <w:rFonts w:asciiTheme="minorHAnsi" w:hAnsiTheme="minorHAnsi" w:cs="Times New Roman"/>
          <w:sz w:val="20"/>
          <w:szCs w:val="20"/>
        </w:rPr>
        <w:t>8</w:t>
      </w:r>
      <w:r w:rsidRPr="001C5950">
        <w:rPr>
          <w:rFonts w:asciiTheme="minorHAnsi" w:hAnsiTheme="minorHAnsi" w:cs="Times New Roman"/>
          <w:sz w:val="20"/>
          <w:szCs w:val="20"/>
        </w:rPr>
        <w:t xml:space="preserve">). </w:t>
      </w:r>
      <w:r w:rsidRPr="001C5950">
        <w:rPr>
          <w:rFonts w:asciiTheme="minorHAnsi" w:hAnsiTheme="minorHAnsi"/>
          <w:sz w:val="20"/>
          <w:szCs w:val="20"/>
          <w:lang w:val="en-IE"/>
        </w:rPr>
        <w:t xml:space="preserve">Due to the decision to combine the Group’s US assets with FanDuel (see Note </w:t>
      </w:r>
      <w:r>
        <w:rPr>
          <w:rFonts w:asciiTheme="minorHAnsi" w:hAnsiTheme="minorHAnsi"/>
          <w:sz w:val="20"/>
          <w:szCs w:val="20"/>
          <w:lang w:val="en-IE"/>
        </w:rPr>
        <w:t>8</w:t>
      </w:r>
      <w:r w:rsidRPr="001C5950">
        <w:rPr>
          <w:rFonts w:asciiTheme="minorHAnsi" w:hAnsiTheme="minorHAnsi"/>
          <w:sz w:val="20"/>
          <w:szCs w:val="20"/>
          <w:lang w:val="en-IE"/>
        </w:rPr>
        <w:t xml:space="preserve">) and the impact of this decision on the Group’s existing US daily fantasy sports business, the Group reviewed the carrying value of this business and determined, that an impairment charge of </w:t>
      </w:r>
      <w:r w:rsidRPr="00FC3D06">
        <w:rPr>
          <w:rFonts w:asciiTheme="minorHAnsi" w:hAnsiTheme="minorHAnsi"/>
          <w:sz w:val="20"/>
          <w:szCs w:val="20"/>
          <w:lang w:val="en-IE"/>
        </w:rPr>
        <w:t>£26.5m</w:t>
      </w:r>
      <w:r w:rsidRPr="001C5950">
        <w:rPr>
          <w:rFonts w:asciiTheme="minorHAnsi" w:hAnsiTheme="minorHAnsi"/>
          <w:sz w:val="20"/>
          <w:szCs w:val="20"/>
          <w:lang w:val="en-IE"/>
        </w:rPr>
        <w:t xml:space="preserve"> was required in </w:t>
      </w:r>
      <w:r>
        <w:rPr>
          <w:rFonts w:asciiTheme="minorHAnsi" w:hAnsiTheme="minorHAnsi"/>
          <w:sz w:val="20"/>
          <w:szCs w:val="20"/>
          <w:lang w:val="en-IE"/>
        </w:rPr>
        <w:t>2018</w:t>
      </w:r>
      <w:r w:rsidRPr="001C5950">
        <w:rPr>
          <w:rFonts w:asciiTheme="minorHAnsi" w:hAnsiTheme="minorHAnsi"/>
          <w:sz w:val="20"/>
          <w:szCs w:val="20"/>
          <w:lang w:val="en-IE"/>
        </w:rPr>
        <w:t>.</w:t>
      </w:r>
    </w:p>
    <w:p w14:paraId="279A4C84" w14:textId="77777777" w:rsidR="00794AFD" w:rsidRPr="00FC3D06" w:rsidRDefault="00794AFD" w:rsidP="00794AFD">
      <w:pPr>
        <w:pStyle w:val="Default"/>
        <w:rPr>
          <w:rFonts w:asciiTheme="minorHAnsi" w:hAnsiTheme="minorHAnsi" w:cs="Times New Roman"/>
          <w:sz w:val="20"/>
          <w:szCs w:val="20"/>
        </w:rPr>
      </w:pPr>
    </w:p>
    <w:p w14:paraId="65762A16"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cs="Times New Roman"/>
          <w:sz w:val="20"/>
          <w:szCs w:val="20"/>
        </w:rPr>
        <w:t>Goodwill in UK Retail arose from the acquisition of two London bookmaking businesses in 2004, the acquisition of a retail bookmaking company in Northern Ireland in 2008 and the acquisition of a number of retail bookmaking shop properties since 2010.</w:t>
      </w:r>
    </w:p>
    <w:p w14:paraId="0139686F" w14:textId="77777777" w:rsidR="00794AFD" w:rsidRPr="00FC3D06" w:rsidRDefault="00794AFD" w:rsidP="00794AFD">
      <w:pPr>
        <w:rPr>
          <w:rFonts w:asciiTheme="minorHAnsi" w:hAnsiTheme="minorHAnsi" w:cs="Times New Roman"/>
          <w:sz w:val="20"/>
          <w:szCs w:val="20"/>
        </w:rPr>
      </w:pPr>
    </w:p>
    <w:p w14:paraId="12682705"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cs="Times New Roman"/>
          <w:sz w:val="20"/>
          <w:szCs w:val="20"/>
        </w:rPr>
        <w:t>Goodwill in Irish Retail arose from the amalgamation of three bookmaking businesses to form Paddy Power plc in 1988 and the acquisition of a number of retail bookmaking shop properties since 2007.</w:t>
      </w:r>
    </w:p>
    <w:p w14:paraId="40ADA33D" w14:textId="77777777" w:rsidR="00794AFD" w:rsidRPr="00070ED0" w:rsidRDefault="00794AFD" w:rsidP="00794AFD">
      <w:pPr>
        <w:rPr>
          <w:rFonts w:asciiTheme="minorHAnsi" w:hAnsiTheme="minorHAnsi" w:cs="Times New Roman"/>
          <w:b/>
          <w:bCs/>
          <w:sz w:val="12"/>
          <w:szCs w:val="12"/>
        </w:rPr>
      </w:pPr>
    </w:p>
    <w:p w14:paraId="605C37E2" w14:textId="77777777" w:rsidR="00794AFD" w:rsidRPr="001C5950" w:rsidRDefault="00794AFD" w:rsidP="00794AFD">
      <w:pPr>
        <w:rPr>
          <w:rFonts w:asciiTheme="minorHAnsi" w:hAnsiTheme="minorHAnsi" w:cs="Times New Roman"/>
          <w:b/>
          <w:bCs/>
          <w:sz w:val="20"/>
          <w:szCs w:val="20"/>
        </w:rPr>
      </w:pPr>
      <w:r w:rsidRPr="001C5950">
        <w:rPr>
          <w:rFonts w:asciiTheme="minorHAnsi" w:hAnsiTheme="minorHAnsi" w:cs="Times New Roman"/>
          <w:b/>
          <w:bCs/>
          <w:sz w:val="20"/>
          <w:szCs w:val="20"/>
        </w:rPr>
        <w:t>Impairment tests for cash generating units containing goodwill and indefinite life intangible assets</w:t>
      </w:r>
    </w:p>
    <w:p w14:paraId="4CD8BDA8"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cs="Times New Roman"/>
          <w:bCs/>
          <w:sz w:val="20"/>
          <w:szCs w:val="20"/>
        </w:rPr>
        <w:t xml:space="preserve">In accordance with accounting requirements, the Group performs an annual test for impairment of its cash generating units.  The most recent test was performed at 31 December </w:t>
      </w:r>
      <w:r>
        <w:rPr>
          <w:rFonts w:asciiTheme="minorHAnsi" w:hAnsiTheme="minorHAnsi" w:cs="Times New Roman"/>
          <w:bCs/>
          <w:sz w:val="20"/>
          <w:szCs w:val="20"/>
        </w:rPr>
        <w:t>2019</w:t>
      </w:r>
      <w:r w:rsidRPr="001C5950">
        <w:rPr>
          <w:rFonts w:asciiTheme="minorHAnsi" w:hAnsiTheme="minorHAnsi" w:cs="Times New Roman"/>
          <w:bCs/>
          <w:sz w:val="20"/>
          <w:szCs w:val="20"/>
        </w:rPr>
        <w:t>.</w:t>
      </w:r>
      <w:r>
        <w:rPr>
          <w:rFonts w:asciiTheme="minorHAnsi" w:hAnsiTheme="minorHAnsi" w:cs="Times New Roman"/>
          <w:sz w:val="20"/>
          <w:szCs w:val="20"/>
        </w:rPr>
        <w:t xml:space="preserve"> </w:t>
      </w:r>
      <w:r w:rsidRPr="00D913EE">
        <w:rPr>
          <w:rFonts w:asciiTheme="minorHAnsi" w:hAnsiTheme="minorHAnsi" w:cs="Times New Roman"/>
          <w:sz w:val="20"/>
          <w:szCs w:val="20"/>
        </w:rPr>
        <w:t>Based on the reviews as described above, with the exception of the impairment of USD35.3m (£</w:t>
      </w:r>
      <w:r w:rsidRPr="00070ED0">
        <w:rPr>
          <w:rFonts w:asciiTheme="minorHAnsi" w:hAnsiTheme="minorHAnsi" w:cs="Times New Roman"/>
          <w:sz w:val="20"/>
          <w:szCs w:val="20"/>
        </w:rPr>
        <w:t>26.5m</w:t>
      </w:r>
      <w:r w:rsidRPr="00D913EE">
        <w:rPr>
          <w:rFonts w:asciiTheme="minorHAnsi" w:hAnsiTheme="minorHAnsi" w:cs="Times New Roman"/>
          <w:sz w:val="20"/>
          <w:szCs w:val="20"/>
        </w:rPr>
        <w:t xml:space="preserve">) in 2018 of the US </w:t>
      </w:r>
      <w:r>
        <w:rPr>
          <w:rFonts w:asciiTheme="minorHAnsi" w:hAnsiTheme="minorHAnsi" w:cs="Times New Roman"/>
          <w:sz w:val="20"/>
          <w:szCs w:val="20"/>
        </w:rPr>
        <w:t>DFS</w:t>
      </w:r>
      <w:r w:rsidRPr="00D913EE">
        <w:rPr>
          <w:rFonts w:asciiTheme="minorHAnsi" w:hAnsiTheme="minorHAnsi" w:cs="Times New Roman"/>
          <w:sz w:val="20"/>
          <w:szCs w:val="20"/>
        </w:rPr>
        <w:t xml:space="preserve"> business acquired in 2017 and the IAS brand impairment of AUD6.9m initially provided for in 2011, no impairment has arisen.</w:t>
      </w:r>
    </w:p>
    <w:p w14:paraId="31F0A6BB" w14:textId="77777777" w:rsidR="00794AFD" w:rsidRDefault="00794AFD" w:rsidP="00794AFD">
      <w:pPr>
        <w:widowControl/>
        <w:autoSpaceDE/>
        <w:autoSpaceDN/>
        <w:adjustRightInd/>
        <w:rPr>
          <w:rFonts w:asciiTheme="minorHAnsi" w:hAnsiTheme="minorHAnsi" w:cs="Times New Roman"/>
          <w:sz w:val="20"/>
          <w:szCs w:val="20"/>
        </w:rPr>
      </w:pPr>
    </w:p>
    <w:p w14:paraId="78391F75" w14:textId="77777777" w:rsidR="00794AFD" w:rsidRPr="001C5950" w:rsidRDefault="00794AFD" w:rsidP="00794AFD">
      <w:pPr>
        <w:rPr>
          <w:rFonts w:asciiTheme="minorHAnsi" w:hAnsiTheme="minorHAnsi" w:cs="Times New Roman"/>
          <w:sz w:val="20"/>
          <w:szCs w:val="20"/>
        </w:rPr>
      </w:pPr>
      <w:r>
        <w:rPr>
          <w:rFonts w:asciiTheme="minorHAnsi" w:hAnsiTheme="minorHAnsi" w:cs="Times New Roman"/>
          <w:b/>
          <w:bCs/>
          <w:sz w:val="20"/>
          <w:szCs w:val="20"/>
        </w:rPr>
        <w:t>8</w:t>
      </w:r>
      <w:r w:rsidRPr="001C5950">
        <w:rPr>
          <w:rFonts w:asciiTheme="minorHAnsi" w:hAnsiTheme="minorHAnsi" w:cs="Times New Roman"/>
          <w:b/>
          <w:bCs/>
          <w:sz w:val="20"/>
          <w:szCs w:val="20"/>
        </w:rPr>
        <w:t xml:space="preserve">.  Business combinations </w:t>
      </w:r>
    </w:p>
    <w:p w14:paraId="4278CF4E" w14:textId="77777777" w:rsidR="00794AFD" w:rsidRPr="001C5950" w:rsidRDefault="00794AFD" w:rsidP="00794AFD">
      <w:pPr>
        <w:rPr>
          <w:rFonts w:asciiTheme="minorHAnsi" w:hAnsiTheme="minorHAnsi"/>
          <w:b/>
          <w:bCs/>
          <w:i/>
          <w:sz w:val="20"/>
          <w:szCs w:val="20"/>
        </w:rPr>
      </w:pPr>
    </w:p>
    <w:p w14:paraId="2FB5AA4B" w14:textId="77777777" w:rsidR="00794AFD" w:rsidRPr="001C5950" w:rsidRDefault="00794AFD" w:rsidP="00794AFD">
      <w:pPr>
        <w:rPr>
          <w:rFonts w:asciiTheme="minorHAnsi" w:hAnsiTheme="minorHAnsi"/>
          <w:b/>
          <w:bCs/>
          <w:i/>
          <w:sz w:val="20"/>
          <w:szCs w:val="20"/>
        </w:rPr>
      </w:pPr>
      <w:r w:rsidRPr="001C5950">
        <w:rPr>
          <w:rFonts w:asciiTheme="minorHAnsi" w:hAnsiTheme="minorHAnsi"/>
          <w:b/>
          <w:bCs/>
          <w:i/>
          <w:sz w:val="20"/>
          <w:szCs w:val="20"/>
        </w:rPr>
        <w:t xml:space="preserve">Year ended 31 December </w:t>
      </w:r>
      <w:r>
        <w:rPr>
          <w:rFonts w:asciiTheme="minorHAnsi" w:hAnsiTheme="minorHAnsi"/>
          <w:b/>
          <w:bCs/>
          <w:i/>
          <w:sz w:val="20"/>
          <w:szCs w:val="20"/>
        </w:rPr>
        <w:t>2019</w:t>
      </w:r>
    </w:p>
    <w:p w14:paraId="6752D99C" w14:textId="77777777" w:rsidR="00794AFD" w:rsidRPr="000944E4" w:rsidRDefault="00794AFD" w:rsidP="00794AFD">
      <w:pPr>
        <w:pStyle w:val="BodyText"/>
        <w:rPr>
          <w:rFonts w:asciiTheme="minorHAnsi" w:hAnsiTheme="minorHAnsi" w:cs="Times New Roman"/>
          <w:b/>
          <w:sz w:val="12"/>
          <w:szCs w:val="12"/>
          <w:lang w:val="en-IE"/>
        </w:rPr>
      </w:pPr>
    </w:p>
    <w:p w14:paraId="707311C2" w14:textId="77777777" w:rsidR="00794AFD" w:rsidRPr="00AE4710" w:rsidRDefault="00794AFD" w:rsidP="00794AFD">
      <w:pPr>
        <w:pStyle w:val="BodyText"/>
        <w:rPr>
          <w:rFonts w:asciiTheme="minorHAnsi" w:hAnsiTheme="minorHAnsi"/>
          <w:b/>
          <w:sz w:val="20"/>
          <w:szCs w:val="20"/>
          <w:lang w:val="en-IE"/>
        </w:rPr>
      </w:pPr>
      <w:r w:rsidRPr="001C5950">
        <w:rPr>
          <w:rFonts w:asciiTheme="minorHAnsi" w:hAnsiTheme="minorHAnsi"/>
          <w:b/>
          <w:sz w:val="20"/>
          <w:szCs w:val="20"/>
          <w:lang w:val="en-IE"/>
        </w:rPr>
        <w:t xml:space="preserve">Acquisition of </w:t>
      </w:r>
      <w:r>
        <w:rPr>
          <w:rFonts w:asciiTheme="minorHAnsi" w:hAnsiTheme="minorHAnsi"/>
          <w:b/>
          <w:sz w:val="20"/>
          <w:szCs w:val="20"/>
          <w:lang w:val="en-IE"/>
        </w:rPr>
        <w:t>Adjarabet</w:t>
      </w:r>
    </w:p>
    <w:p w14:paraId="097D2263" w14:textId="77777777" w:rsidR="00794AFD" w:rsidRPr="00FC3D06" w:rsidRDefault="00794AFD" w:rsidP="00794AFD">
      <w:pPr>
        <w:widowControl/>
        <w:autoSpaceDE/>
        <w:autoSpaceDN/>
        <w:adjustRightInd/>
        <w:rPr>
          <w:rFonts w:asciiTheme="minorHAnsi" w:hAnsiTheme="minorHAnsi" w:cs="Times New Roman"/>
          <w:sz w:val="20"/>
          <w:szCs w:val="20"/>
        </w:rPr>
      </w:pPr>
      <w:r w:rsidRPr="001C5950">
        <w:rPr>
          <w:rFonts w:asciiTheme="minorHAnsi" w:hAnsiTheme="minorHAnsi"/>
          <w:sz w:val="20"/>
        </w:rPr>
        <w:t xml:space="preserve">On 1 February 2019, the Group </w:t>
      </w:r>
      <w:r>
        <w:rPr>
          <w:rFonts w:asciiTheme="minorHAnsi" w:hAnsiTheme="minorHAnsi"/>
          <w:sz w:val="20"/>
        </w:rPr>
        <w:t>completed</w:t>
      </w:r>
      <w:r w:rsidRPr="001C5950">
        <w:rPr>
          <w:rFonts w:asciiTheme="minorHAnsi" w:hAnsiTheme="minorHAnsi"/>
          <w:sz w:val="20"/>
        </w:rPr>
        <w:t xml:space="preserve"> the acquisition of an initial 51% controlling stake in Adjarabet, the market leader in online betting and gaming in the regulated Georgian market. The Group, through agreed option agreements, expects to acquire the remaining 49% after three years.</w:t>
      </w:r>
    </w:p>
    <w:p w14:paraId="209CDA74" w14:textId="77777777" w:rsidR="00794AFD" w:rsidRDefault="00794AFD" w:rsidP="00794AFD">
      <w:pPr>
        <w:rPr>
          <w:rFonts w:asciiTheme="minorHAnsi" w:hAnsiTheme="minorHAnsi"/>
          <w:sz w:val="20"/>
        </w:rPr>
      </w:pPr>
    </w:p>
    <w:p w14:paraId="3C75473E" w14:textId="77777777" w:rsidR="00794AFD" w:rsidRDefault="00794AFD" w:rsidP="00794AFD">
      <w:pPr>
        <w:widowControl/>
        <w:autoSpaceDE/>
        <w:autoSpaceDN/>
        <w:adjustRightInd/>
        <w:rPr>
          <w:rFonts w:asciiTheme="minorHAnsi" w:hAnsiTheme="minorHAnsi"/>
          <w:sz w:val="20"/>
        </w:rPr>
      </w:pPr>
      <w:r>
        <w:rPr>
          <w:rFonts w:asciiTheme="minorHAnsi" w:hAnsiTheme="minorHAnsi"/>
          <w:sz w:val="20"/>
        </w:rPr>
        <w:br w:type="page"/>
      </w:r>
    </w:p>
    <w:p w14:paraId="7A3AEAB7" w14:textId="77777777" w:rsidR="00794AFD" w:rsidRPr="001C5950" w:rsidRDefault="00794AFD" w:rsidP="00794AFD">
      <w:pPr>
        <w:rPr>
          <w:rFonts w:asciiTheme="minorHAnsi" w:hAnsiTheme="minorHAnsi" w:cs="Times New Roman"/>
          <w:sz w:val="20"/>
          <w:szCs w:val="20"/>
        </w:rPr>
      </w:pPr>
      <w:r>
        <w:rPr>
          <w:rFonts w:asciiTheme="minorHAnsi" w:hAnsiTheme="minorHAnsi" w:cs="Times New Roman"/>
          <w:b/>
          <w:bCs/>
          <w:sz w:val="20"/>
          <w:szCs w:val="20"/>
        </w:rPr>
        <w:lastRenderedPageBreak/>
        <w:t>8</w:t>
      </w:r>
      <w:r w:rsidRPr="001C5950">
        <w:rPr>
          <w:rFonts w:asciiTheme="minorHAnsi" w:hAnsiTheme="minorHAnsi" w:cs="Times New Roman"/>
          <w:b/>
          <w:bCs/>
          <w:sz w:val="20"/>
          <w:szCs w:val="20"/>
        </w:rPr>
        <w:t xml:space="preserve">.  Business combinations </w:t>
      </w:r>
      <w:r>
        <w:rPr>
          <w:rFonts w:asciiTheme="minorHAnsi" w:hAnsiTheme="minorHAnsi" w:cs="Times New Roman"/>
          <w:b/>
          <w:bCs/>
          <w:sz w:val="20"/>
          <w:szCs w:val="20"/>
        </w:rPr>
        <w:t>(continued)</w:t>
      </w:r>
    </w:p>
    <w:p w14:paraId="414B5C7A" w14:textId="77777777" w:rsidR="00794AFD" w:rsidRPr="000944E4" w:rsidRDefault="00794AFD" w:rsidP="00794AFD">
      <w:pPr>
        <w:rPr>
          <w:rFonts w:asciiTheme="minorHAnsi" w:hAnsiTheme="minorHAnsi"/>
          <w:sz w:val="12"/>
          <w:szCs w:val="12"/>
        </w:rPr>
      </w:pPr>
    </w:p>
    <w:p w14:paraId="032780AD" w14:textId="77777777" w:rsidR="00794AFD" w:rsidRDefault="00794AFD" w:rsidP="00794AFD">
      <w:pPr>
        <w:rPr>
          <w:rFonts w:asciiTheme="minorHAnsi" w:hAnsiTheme="minorHAnsi"/>
          <w:sz w:val="20"/>
          <w:lang w:val="en-IE"/>
        </w:rPr>
      </w:pPr>
      <w:r w:rsidRPr="001C5950">
        <w:rPr>
          <w:rFonts w:asciiTheme="minorHAnsi" w:hAnsiTheme="minorHAnsi"/>
          <w:sz w:val="20"/>
        </w:rPr>
        <w:t xml:space="preserve">In 2018, Adjarabet generated revenues (unaudited) of 215m Georgian </w:t>
      </w:r>
      <w:proofErr w:type="spellStart"/>
      <w:r w:rsidRPr="001C5950">
        <w:rPr>
          <w:rFonts w:asciiTheme="minorHAnsi" w:hAnsiTheme="minorHAnsi"/>
          <w:sz w:val="20"/>
        </w:rPr>
        <w:t>Lari</w:t>
      </w:r>
      <w:proofErr w:type="spellEnd"/>
      <w:r w:rsidRPr="001C5950">
        <w:rPr>
          <w:rFonts w:asciiTheme="minorHAnsi" w:hAnsiTheme="minorHAnsi"/>
          <w:sz w:val="20"/>
        </w:rPr>
        <w:t xml:space="preserve"> (GEL) (£64m) and EBITDA (unaudited) of GEL68m (£20m). The initial cash consideration being paid by the</w:t>
      </w:r>
      <w:r>
        <w:rPr>
          <w:rFonts w:asciiTheme="minorHAnsi" w:hAnsiTheme="minorHAnsi"/>
          <w:sz w:val="20"/>
        </w:rPr>
        <w:t xml:space="preserve"> Group for the 51% stake is £102</w:t>
      </w:r>
      <w:r w:rsidRPr="001C5950">
        <w:rPr>
          <w:rFonts w:asciiTheme="minorHAnsi" w:hAnsiTheme="minorHAnsi"/>
          <w:sz w:val="20"/>
        </w:rPr>
        <w:t xml:space="preserve">m. A mechanism has also been agreed, consisting of call and put options, which enables the Group to acquire the remaining 49% after three years at a valuation equivalent to 7 times 2021 EBITDA. The call/put option consideration can be settled, at the Group’s election, in cash or shares. </w:t>
      </w:r>
      <w:r>
        <w:rPr>
          <w:rFonts w:asciiTheme="minorHAnsi" w:hAnsiTheme="minorHAnsi"/>
          <w:sz w:val="20"/>
          <w:lang w:val="en-IE"/>
        </w:rPr>
        <w:t>As a consequence of both the put and call options being only exercisable at fair value being the future EBITDA and earnings multiple which are considered to be two key inputs into valuing the option, it was determined that the fair value was not material and was close to nominal value.</w:t>
      </w:r>
    </w:p>
    <w:p w14:paraId="1D8023D9" w14:textId="77777777" w:rsidR="00794AFD" w:rsidRPr="0084401F" w:rsidRDefault="00794AFD" w:rsidP="00794AFD">
      <w:pPr>
        <w:rPr>
          <w:rFonts w:asciiTheme="minorHAnsi" w:hAnsiTheme="minorHAnsi"/>
          <w:sz w:val="8"/>
          <w:szCs w:val="8"/>
          <w:lang w:val="en-IE"/>
        </w:rPr>
      </w:pPr>
    </w:p>
    <w:p w14:paraId="57EBFBBF" w14:textId="77777777" w:rsidR="00794AFD" w:rsidRPr="00065EB2" w:rsidRDefault="00794AFD" w:rsidP="00794AFD">
      <w:pPr>
        <w:rPr>
          <w:rFonts w:asciiTheme="minorHAnsi" w:hAnsiTheme="minorHAnsi"/>
          <w:sz w:val="20"/>
          <w:lang w:eastAsia="en-GB"/>
        </w:rPr>
      </w:pPr>
      <w:r w:rsidRPr="0094635F">
        <w:rPr>
          <w:rFonts w:asciiTheme="minorHAnsi" w:hAnsiTheme="minorHAnsi"/>
          <w:sz w:val="20"/>
          <w:lang w:eastAsia="en-GB"/>
        </w:rPr>
        <w:t>Since the date of acquisition to 31 December 2019, the Adjarabet business has contributed £</w:t>
      </w:r>
      <w:r w:rsidRPr="00070ED0">
        <w:rPr>
          <w:rFonts w:asciiTheme="minorHAnsi" w:hAnsiTheme="minorHAnsi"/>
          <w:sz w:val="20"/>
          <w:lang w:eastAsia="en-GB"/>
        </w:rPr>
        <w:t>74.7m of revenue and £21.0m of operating profit</w:t>
      </w:r>
      <w:r>
        <w:rPr>
          <w:rFonts w:asciiTheme="minorHAnsi" w:hAnsiTheme="minorHAnsi"/>
          <w:sz w:val="20"/>
          <w:lang w:eastAsia="en-GB"/>
        </w:rPr>
        <w:t xml:space="preserve">. </w:t>
      </w:r>
      <w:r w:rsidRPr="0094635F">
        <w:rPr>
          <w:rFonts w:asciiTheme="minorHAnsi" w:hAnsiTheme="minorHAnsi"/>
          <w:sz w:val="20"/>
          <w:lang w:eastAsia="en-GB"/>
        </w:rPr>
        <w:t>If the Adjarabet acquisition had occurred on 1 January 2019, their contribution to revenue and operating profit would have been £</w:t>
      </w:r>
      <w:r w:rsidRPr="00070ED0">
        <w:rPr>
          <w:rFonts w:asciiTheme="minorHAnsi" w:hAnsiTheme="minorHAnsi"/>
          <w:sz w:val="20"/>
          <w:lang w:eastAsia="en-GB"/>
        </w:rPr>
        <w:t>79.6m and £21.7m</w:t>
      </w:r>
      <w:r w:rsidRPr="0094635F">
        <w:rPr>
          <w:rFonts w:asciiTheme="minorHAnsi" w:hAnsiTheme="minorHAnsi"/>
          <w:sz w:val="20"/>
          <w:lang w:eastAsia="en-GB"/>
        </w:rPr>
        <w:t xml:space="preserve"> respectively for the year ended 31 December 2019.</w:t>
      </w:r>
    </w:p>
    <w:p w14:paraId="1325BCE9" w14:textId="77777777" w:rsidR="00794AFD" w:rsidRPr="00065EB2" w:rsidRDefault="00794AFD" w:rsidP="00794AFD">
      <w:pPr>
        <w:rPr>
          <w:rFonts w:asciiTheme="minorHAnsi" w:hAnsiTheme="minorHAnsi"/>
          <w:sz w:val="20"/>
          <w:lang w:val="en-IE"/>
        </w:rPr>
      </w:pPr>
      <w:r w:rsidRPr="00065EB2">
        <w:rPr>
          <w:rFonts w:asciiTheme="minorHAnsi" w:hAnsiTheme="minorHAnsi"/>
          <w:sz w:val="20"/>
          <w:lang w:val="en-IE"/>
        </w:rPr>
        <w:t>Details of the fair value of identifiable assets and liabilities acquired, purchase consideration and goodwill are as follows:</w:t>
      </w:r>
    </w:p>
    <w:p w14:paraId="29CCE70D" w14:textId="77777777" w:rsidR="00794AFD" w:rsidRPr="004D4236" w:rsidRDefault="00794AFD" w:rsidP="00794AFD">
      <w:pPr>
        <w:rPr>
          <w:rFonts w:asciiTheme="minorHAnsi" w:hAnsiTheme="minorHAnsi"/>
          <w:sz w:val="12"/>
          <w:szCs w:val="12"/>
          <w:lang w:val="en-IE"/>
        </w:rPr>
      </w:pPr>
    </w:p>
    <w:p w14:paraId="34C89E3D" w14:textId="77777777" w:rsidR="00794AFD" w:rsidRPr="00FC3D06" w:rsidRDefault="00794AFD" w:rsidP="00794AFD">
      <w:pPr>
        <w:pStyle w:val="BodyText"/>
        <w:rPr>
          <w:rFonts w:asciiTheme="minorHAnsi" w:hAnsiTheme="minorHAnsi" w:cs="Times New Roman"/>
          <w:sz w:val="20"/>
          <w:szCs w:val="20"/>
          <w:lang w:val="en-IE"/>
        </w:rPr>
      </w:pPr>
      <w:r w:rsidRPr="00065EB2">
        <w:rPr>
          <w:rFonts w:asciiTheme="minorHAnsi" w:hAnsiTheme="minorHAnsi"/>
          <w:sz w:val="20"/>
          <w:szCs w:val="20"/>
          <w:lang w:val="en-IE"/>
        </w:rPr>
        <w:t>Included within</w:t>
      </w:r>
      <w:r>
        <w:rPr>
          <w:rFonts w:asciiTheme="minorHAnsi" w:hAnsiTheme="minorHAnsi"/>
          <w:sz w:val="20"/>
          <w:szCs w:val="20"/>
          <w:lang w:val="en-IE"/>
        </w:rPr>
        <w:t xml:space="preserve"> the intangible assets were £74.4</w:t>
      </w:r>
      <w:r w:rsidRPr="00065EB2">
        <w:rPr>
          <w:rFonts w:asciiTheme="minorHAnsi" w:hAnsiTheme="minorHAnsi"/>
          <w:sz w:val="20"/>
          <w:szCs w:val="20"/>
          <w:lang w:val="en-IE"/>
        </w:rPr>
        <w:t>m of separately identifiable intangibles comprising brand and customer relations acquired as part of the acquisition, with the additional effect of a</w:t>
      </w:r>
      <w:r>
        <w:rPr>
          <w:rFonts w:asciiTheme="minorHAnsi" w:hAnsiTheme="minorHAnsi"/>
          <w:sz w:val="20"/>
          <w:szCs w:val="20"/>
          <w:lang w:val="en-IE"/>
        </w:rPr>
        <w:t xml:space="preserve"> deferred tax liability of £11.1</w:t>
      </w:r>
      <w:r w:rsidRPr="00065EB2">
        <w:rPr>
          <w:rFonts w:asciiTheme="minorHAnsi" w:hAnsiTheme="minorHAnsi"/>
          <w:sz w:val="20"/>
          <w:szCs w:val="20"/>
          <w:lang w:val="en-IE"/>
        </w:rPr>
        <w:t xml:space="preserve">m thereon. These intangible assets are being amortised over their useful economic lives of up to ten years. Receivables acquired amounted </w:t>
      </w:r>
      <w:r w:rsidRPr="001D7D4D">
        <w:rPr>
          <w:rFonts w:asciiTheme="minorHAnsi" w:hAnsiTheme="minorHAnsi"/>
          <w:sz w:val="20"/>
          <w:szCs w:val="20"/>
          <w:lang w:val="en-IE"/>
        </w:rPr>
        <w:t>to £1.2m. The</w:t>
      </w:r>
      <w:r w:rsidRPr="00065EB2">
        <w:rPr>
          <w:rFonts w:asciiTheme="minorHAnsi" w:hAnsiTheme="minorHAnsi"/>
          <w:sz w:val="20"/>
          <w:szCs w:val="20"/>
          <w:lang w:val="en-IE"/>
        </w:rPr>
        <w:t xml:space="preserve"> book value equated to the fair value as all amounts are expected to be received. </w:t>
      </w:r>
    </w:p>
    <w:p w14:paraId="0F6B4CB3" w14:textId="77777777" w:rsidR="00794AFD" w:rsidRPr="000944E4" w:rsidRDefault="00794AFD" w:rsidP="00794AFD">
      <w:pPr>
        <w:pStyle w:val="BodyText"/>
        <w:rPr>
          <w:rFonts w:asciiTheme="minorHAnsi" w:hAnsiTheme="minorHAnsi"/>
          <w:sz w:val="12"/>
          <w:szCs w:val="12"/>
          <w:lang w:val="en-IE"/>
        </w:rPr>
      </w:pPr>
    </w:p>
    <w:p w14:paraId="226A2DE5" w14:textId="77777777" w:rsidR="00794AFD" w:rsidRPr="00114721" w:rsidRDefault="00794AFD" w:rsidP="00794AFD">
      <w:pPr>
        <w:pStyle w:val="BodyText"/>
        <w:rPr>
          <w:rFonts w:asciiTheme="minorHAnsi" w:hAnsiTheme="minorHAnsi"/>
          <w:sz w:val="20"/>
          <w:szCs w:val="20"/>
          <w:lang w:val="en-IE"/>
        </w:rPr>
      </w:pPr>
      <w:r w:rsidRPr="001C5950">
        <w:rPr>
          <w:rFonts w:asciiTheme="minorHAnsi" w:hAnsiTheme="minorHAnsi"/>
          <w:sz w:val="20"/>
          <w:szCs w:val="20"/>
          <w:lang w:val="en-IE"/>
        </w:rPr>
        <w:t xml:space="preserve">The main factors leading to the recognition of goodwill (none of which is deductible for tax purposes) is growth by combining business activities, a strong workforce, leveraging existing products and synergy savings. </w:t>
      </w:r>
      <w:r w:rsidRPr="001C5950">
        <w:rPr>
          <w:rFonts w:asciiTheme="minorHAnsi" w:hAnsiTheme="minorHAnsi"/>
          <w:sz w:val="20"/>
          <w:lang w:val="en-IE"/>
        </w:rPr>
        <w:t>The goodwill has b</w:t>
      </w:r>
      <w:r>
        <w:rPr>
          <w:rFonts w:asciiTheme="minorHAnsi" w:hAnsiTheme="minorHAnsi"/>
          <w:sz w:val="20"/>
          <w:lang w:val="en-IE"/>
        </w:rPr>
        <w:t>een allocated to the existing PPB Online</w:t>
      </w:r>
      <w:r w:rsidRPr="001C5950">
        <w:rPr>
          <w:rFonts w:asciiTheme="minorHAnsi" w:hAnsiTheme="minorHAnsi"/>
          <w:sz w:val="20"/>
          <w:lang w:val="en-IE"/>
        </w:rPr>
        <w:t xml:space="preserve"> CGU and it has been deemed that a separate CGU is not appropriate.</w:t>
      </w:r>
    </w:p>
    <w:p w14:paraId="5E6F6CE0" w14:textId="77777777" w:rsidR="00794AFD" w:rsidRDefault="00794AFD" w:rsidP="00794AFD">
      <w:pPr>
        <w:pStyle w:val="BodyText"/>
        <w:rPr>
          <w:rFonts w:asciiTheme="minorHAnsi" w:hAnsiTheme="minorHAnsi" w:cs="Times New Roman"/>
          <w:sz w:val="20"/>
          <w:szCs w:val="20"/>
          <w:lang w:val="en-IE"/>
        </w:rPr>
      </w:pPr>
    </w:p>
    <w:tbl>
      <w:tblPr>
        <w:tblW w:w="7264" w:type="dxa"/>
        <w:tblInd w:w="108" w:type="dxa"/>
        <w:tblLayout w:type="fixed"/>
        <w:tblLook w:val="0000" w:firstRow="0" w:lastRow="0" w:firstColumn="0" w:lastColumn="0" w:noHBand="0" w:noVBand="0"/>
      </w:tblPr>
      <w:tblGrid>
        <w:gridCol w:w="5137"/>
        <w:gridCol w:w="2127"/>
      </w:tblGrid>
      <w:tr w:rsidR="00794AFD" w:rsidRPr="001C5950" w14:paraId="11904E53" w14:textId="77777777" w:rsidTr="00794AFD">
        <w:trPr>
          <w:trHeight w:val="432"/>
        </w:trPr>
        <w:tc>
          <w:tcPr>
            <w:tcW w:w="5137" w:type="dxa"/>
            <w:tcBorders>
              <w:top w:val="single" w:sz="4" w:space="0" w:color="auto"/>
              <w:left w:val="nil"/>
              <w:bottom w:val="single" w:sz="4" w:space="0" w:color="auto"/>
              <w:right w:val="nil"/>
            </w:tcBorders>
          </w:tcPr>
          <w:p w14:paraId="73B0C089" w14:textId="77777777" w:rsidR="00794AFD" w:rsidRPr="001C5950" w:rsidRDefault="00794AFD" w:rsidP="00794AFD">
            <w:pPr>
              <w:ind w:left="-108"/>
              <w:jc w:val="both"/>
              <w:rPr>
                <w:rFonts w:asciiTheme="minorHAnsi" w:hAnsiTheme="minorHAnsi"/>
                <w:sz w:val="20"/>
              </w:rPr>
            </w:pPr>
          </w:p>
        </w:tc>
        <w:tc>
          <w:tcPr>
            <w:tcW w:w="2127" w:type="dxa"/>
            <w:tcBorders>
              <w:top w:val="single" w:sz="4" w:space="0" w:color="auto"/>
              <w:left w:val="nil"/>
              <w:bottom w:val="single" w:sz="4" w:space="0" w:color="auto"/>
              <w:right w:val="nil"/>
            </w:tcBorders>
          </w:tcPr>
          <w:p w14:paraId="5ED74EF0" w14:textId="77777777" w:rsidR="00794AFD" w:rsidRPr="001C5950" w:rsidRDefault="00794AFD" w:rsidP="00794AFD">
            <w:pPr>
              <w:jc w:val="right"/>
              <w:rPr>
                <w:rFonts w:asciiTheme="minorHAnsi" w:hAnsiTheme="minorHAnsi"/>
                <w:b/>
                <w:bCs/>
                <w:sz w:val="20"/>
              </w:rPr>
            </w:pPr>
            <w:r>
              <w:rPr>
                <w:rFonts w:asciiTheme="minorHAnsi" w:hAnsiTheme="minorHAnsi"/>
                <w:b/>
                <w:bCs/>
                <w:sz w:val="20"/>
              </w:rPr>
              <w:t>F</w:t>
            </w:r>
            <w:r w:rsidRPr="001C5950">
              <w:rPr>
                <w:rFonts w:asciiTheme="minorHAnsi" w:hAnsiTheme="minorHAnsi"/>
                <w:b/>
                <w:bCs/>
                <w:sz w:val="20"/>
              </w:rPr>
              <w:t>air values as at</w:t>
            </w:r>
          </w:p>
          <w:p w14:paraId="04FC411B" w14:textId="77777777" w:rsidR="00794AFD" w:rsidRPr="001C5950" w:rsidRDefault="00794AFD" w:rsidP="00794AFD">
            <w:pPr>
              <w:jc w:val="right"/>
              <w:rPr>
                <w:rFonts w:asciiTheme="minorHAnsi" w:hAnsiTheme="minorHAnsi"/>
                <w:b/>
                <w:bCs/>
                <w:sz w:val="20"/>
              </w:rPr>
            </w:pPr>
            <w:r>
              <w:rPr>
                <w:rFonts w:asciiTheme="minorHAnsi" w:hAnsiTheme="minorHAnsi"/>
                <w:b/>
                <w:bCs/>
                <w:sz w:val="20"/>
              </w:rPr>
              <w:t>1</w:t>
            </w:r>
            <w:r w:rsidRPr="001C5950">
              <w:rPr>
                <w:rFonts w:asciiTheme="minorHAnsi" w:hAnsiTheme="minorHAnsi"/>
                <w:b/>
                <w:bCs/>
                <w:sz w:val="20"/>
              </w:rPr>
              <w:t xml:space="preserve"> </w:t>
            </w:r>
            <w:r>
              <w:rPr>
                <w:rFonts w:asciiTheme="minorHAnsi" w:hAnsiTheme="minorHAnsi"/>
                <w:b/>
                <w:bCs/>
                <w:sz w:val="20"/>
              </w:rPr>
              <w:t>February</w:t>
            </w:r>
            <w:r w:rsidRPr="001C5950">
              <w:rPr>
                <w:rFonts w:asciiTheme="minorHAnsi" w:hAnsiTheme="minorHAnsi"/>
                <w:b/>
                <w:bCs/>
                <w:sz w:val="20"/>
              </w:rPr>
              <w:t xml:space="preserve"> 201</w:t>
            </w:r>
            <w:r>
              <w:rPr>
                <w:rFonts w:asciiTheme="minorHAnsi" w:hAnsiTheme="minorHAnsi"/>
                <w:b/>
                <w:bCs/>
                <w:sz w:val="20"/>
              </w:rPr>
              <w:t>9</w:t>
            </w:r>
          </w:p>
          <w:p w14:paraId="5C5A5C35" w14:textId="77777777" w:rsidR="00794AFD" w:rsidRPr="001C5950" w:rsidRDefault="00794AFD" w:rsidP="00794AFD">
            <w:pPr>
              <w:jc w:val="right"/>
              <w:rPr>
                <w:rFonts w:asciiTheme="minorHAnsi" w:hAnsiTheme="minorHAnsi"/>
                <w:bCs/>
                <w:sz w:val="20"/>
              </w:rPr>
            </w:pPr>
            <w:r w:rsidRPr="001C5950">
              <w:rPr>
                <w:rFonts w:asciiTheme="minorHAnsi" w:hAnsiTheme="minorHAnsi"/>
                <w:b/>
                <w:bCs/>
                <w:sz w:val="20"/>
              </w:rPr>
              <w:t>£m</w:t>
            </w:r>
          </w:p>
        </w:tc>
      </w:tr>
      <w:tr w:rsidR="00794AFD" w:rsidRPr="001C5950" w14:paraId="603A2DED" w14:textId="77777777" w:rsidTr="00794AFD">
        <w:trPr>
          <w:trHeight w:val="80"/>
        </w:trPr>
        <w:tc>
          <w:tcPr>
            <w:tcW w:w="5137" w:type="dxa"/>
            <w:tcBorders>
              <w:top w:val="single" w:sz="4" w:space="0" w:color="auto"/>
              <w:left w:val="nil"/>
              <w:bottom w:val="nil"/>
              <w:right w:val="nil"/>
            </w:tcBorders>
          </w:tcPr>
          <w:p w14:paraId="68197D4C" w14:textId="77777777" w:rsidR="00794AFD" w:rsidRPr="001C5950" w:rsidRDefault="00794AFD" w:rsidP="00794AFD">
            <w:pPr>
              <w:spacing w:after="120"/>
              <w:ind w:left="-108"/>
              <w:rPr>
                <w:rFonts w:asciiTheme="minorHAnsi" w:hAnsiTheme="minorHAnsi"/>
                <w:b/>
                <w:bCs/>
                <w:sz w:val="20"/>
              </w:rPr>
            </w:pPr>
            <w:r w:rsidRPr="001C5950">
              <w:rPr>
                <w:rFonts w:asciiTheme="minorHAnsi" w:hAnsiTheme="minorHAnsi"/>
                <w:b/>
                <w:bCs/>
                <w:sz w:val="20"/>
              </w:rPr>
              <w:t>Assets</w:t>
            </w:r>
          </w:p>
        </w:tc>
        <w:tc>
          <w:tcPr>
            <w:tcW w:w="2127" w:type="dxa"/>
            <w:tcBorders>
              <w:top w:val="single" w:sz="4" w:space="0" w:color="auto"/>
              <w:left w:val="nil"/>
              <w:bottom w:val="nil"/>
              <w:right w:val="nil"/>
            </w:tcBorders>
          </w:tcPr>
          <w:p w14:paraId="34E8C0D3" w14:textId="77777777" w:rsidR="00794AFD" w:rsidRPr="001C5950" w:rsidRDefault="00794AFD" w:rsidP="00794AFD">
            <w:pPr>
              <w:jc w:val="right"/>
              <w:rPr>
                <w:rFonts w:asciiTheme="minorHAnsi" w:hAnsiTheme="minorHAnsi"/>
                <w:bCs/>
                <w:sz w:val="20"/>
              </w:rPr>
            </w:pPr>
          </w:p>
        </w:tc>
      </w:tr>
      <w:tr w:rsidR="00794AFD" w:rsidRPr="001C5950" w14:paraId="5A449978" w14:textId="77777777" w:rsidTr="00794AFD">
        <w:tc>
          <w:tcPr>
            <w:tcW w:w="5137" w:type="dxa"/>
            <w:tcBorders>
              <w:top w:val="nil"/>
              <w:left w:val="nil"/>
              <w:bottom w:val="nil"/>
              <w:right w:val="nil"/>
            </w:tcBorders>
          </w:tcPr>
          <w:p w14:paraId="3300BDAE"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Property, plant and equipment</w:t>
            </w:r>
          </w:p>
        </w:tc>
        <w:tc>
          <w:tcPr>
            <w:tcW w:w="2127" w:type="dxa"/>
            <w:tcBorders>
              <w:top w:val="nil"/>
              <w:left w:val="nil"/>
              <w:bottom w:val="nil"/>
              <w:right w:val="nil"/>
            </w:tcBorders>
          </w:tcPr>
          <w:p w14:paraId="3E799B38" w14:textId="77777777" w:rsidR="00794AFD" w:rsidRPr="00F2569B" w:rsidRDefault="00794AFD" w:rsidP="00794AFD">
            <w:pPr>
              <w:jc w:val="right"/>
              <w:rPr>
                <w:rFonts w:asciiTheme="minorHAnsi" w:hAnsiTheme="minorHAnsi"/>
                <w:bCs/>
                <w:sz w:val="20"/>
              </w:rPr>
            </w:pPr>
            <w:r w:rsidRPr="00F2569B">
              <w:rPr>
                <w:rFonts w:asciiTheme="minorHAnsi" w:hAnsiTheme="minorHAnsi"/>
                <w:bCs/>
                <w:sz w:val="20"/>
              </w:rPr>
              <w:t>2.6</w:t>
            </w:r>
          </w:p>
        </w:tc>
      </w:tr>
      <w:tr w:rsidR="00794AFD" w:rsidRPr="001C5950" w14:paraId="567116C5" w14:textId="77777777" w:rsidTr="00794AFD">
        <w:tc>
          <w:tcPr>
            <w:tcW w:w="5137" w:type="dxa"/>
            <w:tcBorders>
              <w:top w:val="nil"/>
              <w:left w:val="nil"/>
              <w:bottom w:val="single" w:sz="4" w:space="0" w:color="auto"/>
              <w:right w:val="nil"/>
            </w:tcBorders>
          </w:tcPr>
          <w:p w14:paraId="14C0808A"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Intangible assets</w:t>
            </w:r>
          </w:p>
        </w:tc>
        <w:tc>
          <w:tcPr>
            <w:tcW w:w="2127" w:type="dxa"/>
            <w:tcBorders>
              <w:top w:val="nil"/>
              <w:left w:val="nil"/>
              <w:bottom w:val="single" w:sz="4" w:space="0" w:color="auto"/>
              <w:right w:val="nil"/>
            </w:tcBorders>
          </w:tcPr>
          <w:p w14:paraId="380FEFD9" w14:textId="77777777" w:rsidR="00794AFD" w:rsidRPr="00F2569B" w:rsidRDefault="00794AFD" w:rsidP="00794AFD">
            <w:pPr>
              <w:jc w:val="right"/>
              <w:rPr>
                <w:rFonts w:asciiTheme="minorHAnsi" w:hAnsiTheme="minorHAnsi"/>
                <w:bCs/>
                <w:sz w:val="20"/>
              </w:rPr>
            </w:pPr>
            <w:r>
              <w:rPr>
                <w:rFonts w:asciiTheme="minorHAnsi" w:hAnsiTheme="minorHAnsi"/>
                <w:bCs/>
                <w:sz w:val="20"/>
              </w:rPr>
              <w:t>75.6</w:t>
            </w:r>
          </w:p>
        </w:tc>
      </w:tr>
      <w:tr w:rsidR="00794AFD" w:rsidRPr="001C5950" w14:paraId="55F11B2A" w14:textId="77777777" w:rsidTr="00794AFD">
        <w:tc>
          <w:tcPr>
            <w:tcW w:w="5137" w:type="dxa"/>
            <w:tcBorders>
              <w:top w:val="single" w:sz="4" w:space="0" w:color="auto"/>
              <w:left w:val="nil"/>
              <w:bottom w:val="single" w:sz="4" w:space="0" w:color="auto"/>
              <w:right w:val="nil"/>
            </w:tcBorders>
          </w:tcPr>
          <w:p w14:paraId="4B837395" w14:textId="77777777" w:rsidR="00794AFD" w:rsidRPr="001C5950" w:rsidRDefault="00794AFD" w:rsidP="00794AFD">
            <w:pPr>
              <w:ind w:left="-108"/>
              <w:rPr>
                <w:rFonts w:asciiTheme="minorHAnsi" w:hAnsiTheme="minorHAnsi"/>
                <w:b/>
                <w:bCs/>
                <w:sz w:val="20"/>
              </w:rPr>
            </w:pPr>
            <w:r w:rsidRPr="001C5950">
              <w:rPr>
                <w:rFonts w:asciiTheme="minorHAnsi" w:hAnsiTheme="minorHAnsi"/>
                <w:b/>
                <w:bCs/>
                <w:sz w:val="20"/>
              </w:rPr>
              <w:t>Total non-current assets</w:t>
            </w:r>
          </w:p>
        </w:tc>
        <w:tc>
          <w:tcPr>
            <w:tcW w:w="2127" w:type="dxa"/>
            <w:tcBorders>
              <w:top w:val="single" w:sz="4" w:space="0" w:color="auto"/>
              <w:left w:val="nil"/>
              <w:bottom w:val="single" w:sz="4" w:space="0" w:color="auto"/>
              <w:right w:val="nil"/>
            </w:tcBorders>
          </w:tcPr>
          <w:p w14:paraId="0CF60A2D" w14:textId="77777777" w:rsidR="00794AFD" w:rsidRPr="00F2569B" w:rsidRDefault="00794AFD" w:rsidP="00794AFD">
            <w:pPr>
              <w:tabs>
                <w:tab w:val="center" w:pos="786"/>
                <w:tab w:val="right" w:pos="1572"/>
              </w:tabs>
              <w:jc w:val="right"/>
              <w:rPr>
                <w:rFonts w:asciiTheme="minorHAnsi" w:hAnsiTheme="minorHAnsi"/>
                <w:bCs/>
                <w:sz w:val="20"/>
              </w:rPr>
            </w:pPr>
            <w:r>
              <w:rPr>
                <w:rFonts w:asciiTheme="minorHAnsi" w:hAnsiTheme="minorHAnsi"/>
                <w:bCs/>
                <w:sz w:val="20"/>
              </w:rPr>
              <w:t>78.2</w:t>
            </w:r>
          </w:p>
        </w:tc>
      </w:tr>
      <w:tr w:rsidR="00794AFD" w:rsidRPr="001C5950" w14:paraId="3BAF9FEB" w14:textId="77777777" w:rsidTr="00794AFD">
        <w:trPr>
          <w:trHeight w:val="331"/>
        </w:trPr>
        <w:tc>
          <w:tcPr>
            <w:tcW w:w="5137" w:type="dxa"/>
            <w:tcBorders>
              <w:top w:val="single" w:sz="4" w:space="0" w:color="auto"/>
              <w:left w:val="nil"/>
              <w:right w:val="nil"/>
            </w:tcBorders>
          </w:tcPr>
          <w:p w14:paraId="1DAC0AA7" w14:textId="77777777" w:rsidR="00794AFD" w:rsidRPr="001C5950" w:rsidRDefault="00794AFD" w:rsidP="00794AFD">
            <w:pPr>
              <w:ind w:left="-108"/>
              <w:rPr>
                <w:rFonts w:asciiTheme="minorHAnsi" w:hAnsiTheme="minorHAnsi"/>
                <w:sz w:val="20"/>
              </w:rPr>
            </w:pPr>
          </w:p>
          <w:p w14:paraId="6C216DD3"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Trade and other receivables</w:t>
            </w:r>
          </w:p>
        </w:tc>
        <w:tc>
          <w:tcPr>
            <w:tcW w:w="2127" w:type="dxa"/>
            <w:tcBorders>
              <w:top w:val="single" w:sz="4" w:space="0" w:color="auto"/>
              <w:left w:val="nil"/>
              <w:right w:val="nil"/>
            </w:tcBorders>
          </w:tcPr>
          <w:p w14:paraId="597F2A97" w14:textId="77777777" w:rsidR="00794AFD" w:rsidRPr="00F2569B" w:rsidRDefault="00794AFD" w:rsidP="00794AFD">
            <w:pPr>
              <w:jc w:val="right"/>
              <w:rPr>
                <w:rFonts w:asciiTheme="minorHAnsi" w:hAnsiTheme="minorHAnsi"/>
                <w:bCs/>
                <w:sz w:val="20"/>
              </w:rPr>
            </w:pPr>
          </w:p>
          <w:p w14:paraId="7E91D544" w14:textId="77777777" w:rsidR="00794AFD" w:rsidRPr="00F2569B" w:rsidRDefault="00794AFD" w:rsidP="00794AFD">
            <w:pPr>
              <w:jc w:val="right"/>
              <w:rPr>
                <w:rFonts w:asciiTheme="minorHAnsi" w:hAnsiTheme="minorHAnsi"/>
                <w:bCs/>
                <w:sz w:val="20"/>
              </w:rPr>
            </w:pPr>
            <w:r w:rsidRPr="00F2569B">
              <w:rPr>
                <w:rFonts w:asciiTheme="minorHAnsi" w:hAnsiTheme="minorHAnsi"/>
                <w:bCs/>
                <w:sz w:val="20"/>
              </w:rPr>
              <w:t>2.7</w:t>
            </w:r>
          </w:p>
        </w:tc>
      </w:tr>
      <w:tr w:rsidR="00794AFD" w:rsidRPr="001C5950" w14:paraId="121BBED5" w14:textId="77777777" w:rsidTr="00794AFD">
        <w:trPr>
          <w:trHeight w:val="149"/>
        </w:trPr>
        <w:tc>
          <w:tcPr>
            <w:tcW w:w="5137" w:type="dxa"/>
            <w:tcBorders>
              <w:left w:val="nil"/>
              <w:right w:val="nil"/>
            </w:tcBorders>
          </w:tcPr>
          <w:p w14:paraId="5B96CAEB"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Financial assets – restricted cash</w:t>
            </w:r>
          </w:p>
        </w:tc>
        <w:tc>
          <w:tcPr>
            <w:tcW w:w="2127" w:type="dxa"/>
            <w:tcBorders>
              <w:left w:val="nil"/>
              <w:right w:val="nil"/>
            </w:tcBorders>
          </w:tcPr>
          <w:p w14:paraId="42F37D53" w14:textId="77777777" w:rsidR="00794AFD" w:rsidRPr="00F2569B" w:rsidRDefault="00794AFD" w:rsidP="00794AFD">
            <w:pPr>
              <w:jc w:val="right"/>
              <w:rPr>
                <w:rFonts w:asciiTheme="minorHAnsi" w:hAnsiTheme="minorHAnsi"/>
                <w:bCs/>
                <w:sz w:val="20"/>
              </w:rPr>
            </w:pPr>
            <w:r w:rsidRPr="00F2569B">
              <w:rPr>
                <w:rFonts w:asciiTheme="minorHAnsi" w:hAnsiTheme="minorHAnsi"/>
                <w:bCs/>
                <w:sz w:val="20"/>
              </w:rPr>
              <w:t>1.6</w:t>
            </w:r>
          </w:p>
        </w:tc>
      </w:tr>
      <w:tr w:rsidR="00794AFD" w:rsidRPr="001C5950" w14:paraId="4D01AA99" w14:textId="77777777" w:rsidTr="00794AFD">
        <w:trPr>
          <w:trHeight w:val="194"/>
        </w:trPr>
        <w:tc>
          <w:tcPr>
            <w:tcW w:w="5137" w:type="dxa"/>
            <w:tcBorders>
              <w:left w:val="nil"/>
              <w:right w:val="nil"/>
            </w:tcBorders>
          </w:tcPr>
          <w:p w14:paraId="4D74B783"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Cash and cash equivalents acquired</w:t>
            </w:r>
          </w:p>
        </w:tc>
        <w:tc>
          <w:tcPr>
            <w:tcW w:w="2127" w:type="dxa"/>
            <w:tcBorders>
              <w:left w:val="nil"/>
              <w:right w:val="nil"/>
            </w:tcBorders>
          </w:tcPr>
          <w:p w14:paraId="11B0F708" w14:textId="77777777" w:rsidR="00794AFD" w:rsidRPr="00F2569B" w:rsidRDefault="00794AFD" w:rsidP="00794AFD">
            <w:pPr>
              <w:jc w:val="right"/>
              <w:rPr>
                <w:rFonts w:asciiTheme="minorHAnsi" w:hAnsiTheme="minorHAnsi"/>
                <w:bCs/>
                <w:sz w:val="20"/>
              </w:rPr>
            </w:pPr>
            <w:r w:rsidRPr="00F2569B">
              <w:rPr>
                <w:rFonts w:asciiTheme="minorHAnsi" w:hAnsiTheme="minorHAnsi"/>
                <w:bCs/>
                <w:sz w:val="20"/>
              </w:rPr>
              <w:t>0.2</w:t>
            </w:r>
          </w:p>
        </w:tc>
      </w:tr>
      <w:tr w:rsidR="00794AFD" w:rsidRPr="001C5950" w14:paraId="4EBA7B74" w14:textId="77777777" w:rsidTr="00794AFD">
        <w:trPr>
          <w:trHeight w:val="215"/>
        </w:trPr>
        <w:tc>
          <w:tcPr>
            <w:tcW w:w="5137" w:type="dxa"/>
            <w:tcBorders>
              <w:top w:val="single" w:sz="4" w:space="0" w:color="auto"/>
              <w:left w:val="nil"/>
              <w:bottom w:val="single" w:sz="4" w:space="0" w:color="auto"/>
              <w:right w:val="nil"/>
            </w:tcBorders>
          </w:tcPr>
          <w:p w14:paraId="53FA8E5E" w14:textId="77777777" w:rsidR="00794AFD" w:rsidRPr="001C5950" w:rsidRDefault="00794AFD" w:rsidP="00794AFD">
            <w:pPr>
              <w:ind w:left="-108"/>
              <w:rPr>
                <w:rFonts w:asciiTheme="minorHAnsi" w:hAnsiTheme="minorHAnsi"/>
                <w:b/>
                <w:bCs/>
                <w:sz w:val="20"/>
              </w:rPr>
            </w:pPr>
            <w:r w:rsidRPr="001C5950">
              <w:rPr>
                <w:rFonts w:asciiTheme="minorHAnsi" w:hAnsiTheme="minorHAnsi"/>
                <w:b/>
                <w:bCs/>
                <w:sz w:val="20"/>
              </w:rPr>
              <w:t>Total current assets</w:t>
            </w:r>
          </w:p>
        </w:tc>
        <w:tc>
          <w:tcPr>
            <w:tcW w:w="2127" w:type="dxa"/>
            <w:tcBorders>
              <w:top w:val="single" w:sz="4" w:space="0" w:color="auto"/>
              <w:left w:val="nil"/>
              <w:bottom w:val="single" w:sz="4" w:space="0" w:color="auto"/>
              <w:right w:val="nil"/>
            </w:tcBorders>
          </w:tcPr>
          <w:p w14:paraId="4E347D5F" w14:textId="77777777" w:rsidR="00794AFD" w:rsidRPr="00F2569B" w:rsidRDefault="00794AFD" w:rsidP="00794AFD">
            <w:pPr>
              <w:jc w:val="right"/>
              <w:rPr>
                <w:rFonts w:asciiTheme="minorHAnsi" w:hAnsiTheme="minorHAnsi"/>
                <w:bCs/>
                <w:sz w:val="20"/>
              </w:rPr>
            </w:pPr>
            <w:r w:rsidRPr="00F2569B">
              <w:rPr>
                <w:rFonts w:asciiTheme="minorHAnsi" w:hAnsiTheme="minorHAnsi"/>
                <w:bCs/>
                <w:sz w:val="20"/>
              </w:rPr>
              <w:t>4.5</w:t>
            </w:r>
          </w:p>
        </w:tc>
      </w:tr>
      <w:tr w:rsidR="00794AFD" w:rsidRPr="001C5950" w14:paraId="16FDBDD1" w14:textId="77777777" w:rsidTr="00794AFD">
        <w:trPr>
          <w:trHeight w:val="261"/>
        </w:trPr>
        <w:tc>
          <w:tcPr>
            <w:tcW w:w="5137" w:type="dxa"/>
            <w:tcBorders>
              <w:top w:val="single" w:sz="4" w:space="0" w:color="auto"/>
              <w:left w:val="nil"/>
              <w:bottom w:val="single" w:sz="4" w:space="0" w:color="auto"/>
              <w:right w:val="nil"/>
            </w:tcBorders>
          </w:tcPr>
          <w:p w14:paraId="631EF817" w14:textId="77777777" w:rsidR="00794AFD" w:rsidRPr="001C5950" w:rsidRDefault="00794AFD" w:rsidP="00794AFD">
            <w:pPr>
              <w:ind w:left="-108"/>
              <w:rPr>
                <w:rFonts w:asciiTheme="minorHAnsi" w:hAnsiTheme="minorHAnsi"/>
                <w:b/>
                <w:bCs/>
                <w:sz w:val="20"/>
              </w:rPr>
            </w:pPr>
            <w:r w:rsidRPr="001C5950">
              <w:rPr>
                <w:rFonts w:asciiTheme="minorHAnsi" w:hAnsiTheme="minorHAnsi"/>
                <w:b/>
                <w:bCs/>
                <w:sz w:val="20"/>
              </w:rPr>
              <w:t>Total assets</w:t>
            </w:r>
          </w:p>
        </w:tc>
        <w:tc>
          <w:tcPr>
            <w:tcW w:w="2127" w:type="dxa"/>
            <w:tcBorders>
              <w:top w:val="single" w:sz="4" w:space="0" w:color="auto"/>
              <w:left w:val="nil"/>
              <w:bottom w:val="single" w:sz="4" w:space="0" w:color="auto"/>
              <w:right w:val="nil"/>
            </w:tcBorders>
          </w:tcPr>
          <w:p w14:paraId="36207A39" w14:textId="77777777" w:rsidR="00794AFD" w:rsidRPr="00F2569B" w:rsidRDefault="00794AFD" w:rsidP="00794AFD">
            <w:pPr>
              <w:jc w:val="right"/>
              <w:rPr>
                <w:rFonts w:asciiTheme="minorHAnsi" w:hAnsiTheme="minorHAnsi"/>
                <w:bCs/>
                <w:sz w:val="20"/>
              </w:rPr>
            </w:pPr>
            <w:r>
              <w:rPr>
                <w:rFonts w:asciiTheme="minorHAnsi" w:hAnsiTheme="minorHAnsi"/>
                <w:bCs/>
                <w:sz w:val="20"/>
              </w:rPr>
              <w:t>82.7</w:t>
            </w:r>
          </w:p>
        </w:tc>
      </w:tr>
      <w:tr w:rsidR="00794AFD" w:rsidRPr="001C5950" w14:paraId="345A45CA" w14:textId="77777777" w:rsidTr="00794AFD">
        <w:trPr>
          <w:trHeight w:val="576"/>
        </w:trPr>
        <w:tc>
          <w:tcPr>
            <w:tcW w:w="5137" w:type="dxa"/>
            <w:tcBorders>
              <w:top w:val="single" w:sz="4" w:space="0" w:color="auto"/>
              <w:left w:val="nil"/>
              <w:bottom w:val="nil"/>
              <w:right w:val="nil"/>
            </w:tcBorders>
          </w:tcPr>
          <w:p w14:paraId="1F67BDFD" w14:textId="77777777" w:rsidR="00794AFD" w:rsidRPr="001C5950" w:rsidRDefault="00794AFD" w:rsidP="00794AFD">
            <w:pPr>
              <w:ind w:left="-108"/>
              <w:rPr>
                <w:rFonts w:asciiTheme="minorHAnsi" w:hAnsiTheme="minorHAnsi"/>
                <w:b/>
                <w:bCs/>
                <w:sz w:val="20"/>
              </w:rPr>
            </w:pPr>
          </w:p>
          <w:p w14:paraId="69F05C30" w14:textId="77777777" w:rsidR="00794AFD" w:rsidRPr="001C5950" w:rsidRDefault="00794AFD" w:rsidP="00794AFD">
            <w:pPr>
              <w:ind w:left="-108"/>
              <w:rPr>
                <w:rFonts w:asciiTheme="minorHAnsi" w:hAnsiTheme="minorHAnsi"/>
                <w:b/>
                <w:bCs/>
                <w:sz w:val="20"/>
              </w:rPr>
            </w:pPr>
            <w:r w:rsidRPr="001C5950">
              <w:rPr>
                <w:rFonts w:asciiTheme="minorHAnsi" w:hAnsiTheme="minorHAnsi"/>
                <w:b/>
                <w:bCs/>
                <w:sz w:val="20"/>
              </w:rPr>
              <w:t>Liabilities</w:t>
            </w:r>
          </w:p>
        </w:tc>
        <w:tc>
          <w:tcPr>
            <w:tcW w:w="2127" w:type="dxa"/>
            <w:tcBorders>
              <w:top w:val="single" w:sz="4" w:space="0" w:color="auto"/>
              <w:left w:val="nil"/>
              <w:right w:val="nil"/>
            </w:tcBorders>
          </w:tcPr>
          <w:p w14:paraId="450D9001" w14:textId="77777777" w:rsidR="00794AFD" w:rsidRPr="00F2569B" w:rsidRDefault="00794AFD" w:rsidP="00794AFD">
            <w:pPr>
              <w:jc w:val="right"/>
              <w:rPr>
                <w:rFonts w:asciiTheme="minorHAnsi" w:hAnsiTheme="minorHAnsi"/>
                <w:bCs/>
                <w:sz w:val="20"/>
              </w:rPr>
            </w:pPr>
          </w:p>
        </w:tc>
      </w:tr>
      <w:tr w:rsidR="00794AFD" w:rsidRPr="001C5950" w14:paraId="2B05E06F" w14:textId="77777777" w:rsidTr="00794AFD">
        <w:trPr>
          <w:trHeight w:val="185"/>
        </w:trPr>
        <w:tc>
          <w:tcPr>
            <w:tcW w:w="5137" w:type="dxa"/>
            <w:tcBorders>
              <w:top w:val="nil"/>
              <w:left w:val="nil"/>
              <w:bottom w:val="nil"/>
              <w:right w:val="nil"/>
            </w:tcBorders>
          </w:tcPr>
          <w:p w14:paraId="06341E8B"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Trade and other payables</w:t>
            </w:r>
          </w:p>
        </w:tc>
        <w:tc>
          <w:tcPr>
            <w:tcW w:w="2127" w:type="dxa"/>
            <w:tcBorders>
              <w:left w:val="nil"/>
              <w:right w:val="nil"/>
            </w:tcBorders>
          </w:tcPr>
          <w:p w14:paraId="18846AE7" w14:textId="77777777" w:rsidR="00794AFD" w:rsidRPr="00F2569B" w:rsidRDefault="00794AFD" w:rsidP="00794AFD">
            <w:pPr>
              <w:jc w:val="right"/>
              <w:rPr>
                <w:rFonts w:asciiTheme="minorHAnsi" w:hAnsiTheme="minorHAnsi"/>
                <w:bCs/>
                <w:sz w:val="20"/>
              </w:rPr>
            </w:pPr>
            <w:r>
              <w:rPr>
                <w:rFonts w:asciiTheme="minorHAnsi" w:hAnsiTheme="minorHAnsi"/>
                <w:bCs/>
                <w:sz w:val="20"/>
              </w:rPr>
              <w:t>5</w:t>
            </w:r>
            <w:r w:rsidRPr="00F2569B">
              <w:rPr>
                <w:rFonts w:asciiTheme="minorHAnsi" w:hAnsiTheme="minorHAnsi"/>
                <w:bCs/>
                <w:sz w:val="20"/>
              </w:rPr>
              <w:t>.</w:t>
            </w:r>
            <w:r>
              <w:rPr>
                <w:rFonts w:asciiTheme="minorHAnsi" w:hAnsiTheme="minorHAnsi"/>
                <w:bCs/>
                <w:sz w:val="20"/>
              </w:rPr>
              <w:t>7</w:t>
            </w:r>
          </w:p>
        </w:tc>
      </w:tr>
      <w:tr w:rsidR="00794AFD" w:rsidRPr="001C5950" w14:paraId="708EC7DA" w14:textId="77777777" w:rsidTr="00794AFD">
        <w:trPr>
          <w:trHeight w:val="185"/>
        </w:trPr>
        <w:tc>
          <w:tcPr>
            <w:tcW w:w="5137" w:type="dxa"/>
            <w:tcBorders>
              <w:top w:val="nil"/>
              <w:left w:val="nil"/>
              <w:bottom w:val="nil"/>
              <w:right w:val="nil"/>
            </w:tcBorders>
          </w:tcPr>
          <w:p w14:paraId="1B7FC4DD" w14:textId="77777777" w:rsidR="00794AFD" w:rsidRPr="001C5950" w:rsidRDefault="00794AFD" w:rsidP="00794AFD">
            <w:pPr>
              <w:ind w:left="-108"/>
              <w:rPr>
                <w:rFonts w:asciiTheme="minorHAnsi" w:hAnsiTheme="minorHAnsi"/>
                <w:sz w:val="20"/>
              </w:rPr>
            </w:pPr>
            <w:r w:rsidRPr="001C5950">
              <w:rPr>
                <w:rFonts w:asciiTheme="minorHAnsi" w:hAnsiTheme="minorHAnsi"/>
                <w:sz w:val="20"/>
              </w:rPr>
              <w:t>Customer balances</w:t>
            </w:r>
          </w:p>
        </w:tc>
        <w:tc>
          <w:tcPr>
            <w:tcW w:w="2127" w:type="dxa"/>
            <w:tcBorders>
              <w:left w:val="nil"/>
              <w:right w:val="nil"/>
            </w:tcBorders>
          </w:tcPr>
          <w:p w14:paraId="0FB01127" w14:textId="77777777" w:rsidR="00794AFD" w:rsidRPr="00F2569B" w:rsidRDefault="00794AFD" w:rsidP="00794AFD">
            <w:pPr>
              <w:jc w:val="right"/>
              <w:rPr>
                <w:rFonts w:asciiTheme="minorHAnsi" w:hAnsiTheme="minorHAnsi"/>
                <w:bCs/>
                <w:sz w:val="20"/>
              </w:rPr>
            </w:pPr>
            <w:r w:rsidRPr="00F2569B">
              <w:rPr>
                <w:rFonts w:asciiTheme="minorHAnsi" w:hAnsiTheme="minorHAnsi"/>
                <w:bCs/>
                <w:sz w:val="20"/>
              </w:rPr>
              <w:t>1.6</w:t>
            </w:r>
          </w:p>
        </w:tc>
      </w:tr>
      <w:tr w:rsidR="00794AFD" w:rsidRPr="001C5950" w14:paraId="12BD37DC" w14:textId="77777777" w:rsidTr="00794AFD">
        <w:trPr>
          <w:trHeight w:val="227"/>
        </w:trPr>
        <w:tc>
          <w:tcPr>
            <w:tcW w:w="5137" w:type="dxa"/>
            <w:tcBorders>
              <w:top w:val="single" w:sz="4" w:space="0" w:color="auto"/>
              <w:left w:val="nil"/>
              <w:bottom w:val="single" w:sz="4" w:space="0" w:color="auto"/>
              <w:right w:val="nil"/>
            </w:tcBorders>
          </w:tcPr>
          <w:p w14:paraId="3095E95D" w14:textId="77777777" w:rsidR="00794AFD" w:rsidRPr="001C5950" w:rsidRDefault="00794AFD" w:rsidP="00794AFD">
            <w:pPr>
              <w:ind w:left="-108"/>
              <w:rPr>
                <w:rFonts w:asciiTheme="minorHAnsi" w:hAnsiTheme="minorHAnsi"/>
                <w:b/>
                <w:bCs/>
                <w:sz w:val="20"/>
              </w:rPr>
            </w:pPr>
            <w:r w:rsidRPr="001C5950">
              <w:rPr>
                <w:rFonts w:asciiTheme="minorHAnsi" w:hAnsiTheme="minorHAnsi"/>
                <w:b/>
                <w:bCs/>
                <w:sz w:val="20"/>
              </w:rPr>
              <w:t>Total current liabilities</w:t>
            </w:r>
          </w:p>
        </w:tc>
        <w:tc>
          <w:tcPr>
            <w:tcW w:w="2127" w:type="dxa"/>
            <w:tcBorders>
              <w:top w:val="single" w:sz="4" w:space="0" w:color="auto"/>
              <w:left w:val="nil"/>
              <w:bottom w:val="single" w:sz="4" w:space="0" w:color="auto"/>
              <w:right w:val="nil"/>
            </w:tcBorders>
          </w:tcPr>
          <w:p w14:paraId="02264F4F" w14:textId="77777777" w:rsidR="00794AFD" w:rsidRPr="00F2569B" w:rsidRDefault="00794AFD" w:rsidP="00794AFD">
            <w:pPr>
              <w:jc w:val="right"/>
              <w:rPr>
                <w:rFonts w:asciiTheme="minorHAnsi" w:hAnsiTheme="minorHAnsi"/>
                <w:bCs/>
                <w:sz w:val="20"/>
              </w:rPr>
            </w:pPr>
            <w:r>
              <w:rPr>
                <w:rFonts w:asciiTheme="minorHAnsi" w:hAnsiTheme="minorHAnsi"/>
                <w:bCs/>
                <w:sz w:val="20"/>
              </w:rPr>
              <w:t>7</w:t>
            </w:r>
            <w:r w:rsidRPr="00F2569B">
              <w:rPr>
                <w:rFonts w:asciiTheme="minorHAnsi" w:hAnsiTheme="minorHAnsi"/>
                <w:bCs/>
                <w:sz w:val="20"/>
              </w:rPr>
              <w:t>.</w:t>
            </w:r>
            <w:r>
              <w:rPr>
                <w:rFonts w:asciiTheme="minorHAnsi" w:hAnsiTheme="minorHAnsi"/>
                <w:bCs/>
                <w:sz w:val="20"/>
              </w:rPr>
              <w:t>3</w:t>
            </w:r>
          </w:p>
        </w:tc>
      </w:tr>
      <w:tr w:rsidR="00794AFD" w:rsidRPr="001C5950" w14:paraId="2D09CF62" w14:textId="77777777" w:rsidTr="00794AFD">
        <w:trPr>
          <w:trHeight w:val="202"/>
        </w:trPr>
        <w:tc>
          <w:tcPr>
            <w:tcW w:w="5137" w:type="dxa"/>
            <w:tcBorders>
              <w:top w:val="single" w:sz="4" w:space="0" w:color="auto"/>
              <w:left w:val="nil"/>
              <w:right w:val="nil"/>
            </w:tcBorders>
          </w:tcPr>
          <w:p w14:paraId="0014A235" w14:textId="77777777" w:rsidR="00794AFD" w:rsidRPr="001C5950" w:rsidRDefault="00794AFD" w:rsidP="00794AFD">
            <w:pPr>
              <w:ind w:left="-108"/>
              <w:rPr>
                <w:rFonts w:asciiTheme="minorHAnsi" w:hAnsiTheme="minorHAnsi"/>
                <w:b/>
                <w:bCs/>
                <w:sz w:val="20"/>
              </w:rPr>
            </w:pPr>
          </w:p>
        </w:tc>
        <w:tc>
          <w:tcPr>
            <w:tcW w:w="2127" w:type="dxa"/>
            <w:tcBorders>
              <w:top w:val="single" w:sz="4" w:space="0" w:color="auto"/>
              <w:left w:val="nil"/>
              <w:right w:val="nil"/>
            </w:tcBorders>
          </w:tcPr>
          <w:p w14:paraId="329F86F9" w14:textId="77777777" w:rsidR="00794AFD" w:rsidRPr="00F2569B" w:rsidRDefault="00794AFD" w:rsidP="00794AFD">
            <w:pPr>
              <w:jc w:val="right"/>
              <w:rPr>
                <w:rFonts w:asciiTheme="minorHAnsi" w:hAnsiTheme="minorHAnsi"/>
                <w:bCs/>
                <w:sz w:val="20"/>
              </w:rPr>
            </w:pPr>
          </w:p>
        </w:tc>
      </w:tr>
      <w:tr w:rsidR="00794AFD" w:rsidRPr="001C5950" w14:paraId="1C93D50F" w14:textId="77777777" w:rsidTr="00794AFD">
        <w:tc>
          <w:tcPr>
            <w:tcW w:w="5137" w:type="dxa"/>
            <w:tcBorders>
              <w:top w:val="nil"/>
              <w:left w:val="nil"/>
              <w:right w:val="nil"/>
            </w:tcBorders>
          </w:tcPr>
          <w:p w14:paraId="6C65AA4E" w14:textId="77777777" w:rsidR="00794AFD" w:rsidRPr="001C5950" w:rsidRDefault="00794AFD" w:rsidP="00794AFD">
            <w:pPr>
              <w:ind w:left="-108"/>
              <w:rPr>
                <w:rFonts w:asciiTheme="minorHAnsi" w:hAnsiTheme="minorHAnsi"/>
                <w:bCs/>
                <w:sz w:val="20"/>
              </w:rPr>
            </w:pPr>
            <w:r w:rsidRPr="001C5950">
              <w:rPr>
                <w:rFonts w:asciiTheme="minorHAnsi" w:hAnsiTheme="minorHAnsi"/>
                <w:bCs/>
                <w:sz w:val="20"/>
              </w:rPr>
              <w:t>Trade and other payables</w:t>
            </w:r>
          </w:p>
        </w:tc>
        <w:tc>
          <w:tcPr>
            <w:tcW w:w="2127" w:type="dxa"/>
            <w:tcBorders>
              <w:left w:val="nil"/>
              <w:right w:val="nil"/>
            </w:tcBorders>
          </w:tcPr>
          <w:p w14:paraId="13436C06" w14:textId="77777777" w:rsidR="00794AFD" w:rsidRPr="00F2569B" w:rsidRDefault="00794AFD" w:rsidP="00794AFD">
            <w:pPr>
              <w:jc w:val="right"/>
              <w:rPr>
                <w:rFonts w:asciiTheme="minorHAnsi" w:hAnsiTheme="minorHAnsi"/>
                <w:bCs/>
                <w:sz w:val="20"/>
              </w:rPr>
            </w:pPr>
            <w:r w:rsidRPr="00F2569B">
              <w:rPr>
                <w:rFonts w:asciiTheme="minorHAnsi" w:hAnsiTheme="minorHAnsi"/>
                <w:bCs/>
                <w:sz w:val="20"/>
              </w:rPr>
              <w:t>0.7</w:t>
            </w:r>
          </w:p>
        </w:tc>
      </w:tr>
      <w:tr w:rsidR="00794AFD" w:rsidRPr="001C5950" w14:paraId="43112656" w14:textId="77777777" w:rsidTr="00794AFD">
        <w:tc>
          <w:tcPr>
            <w:tcW w:w="5137" w:type="dxa"/>
            <w:tcBorders>
              <w:top w:val="nil"/>
              <w:left w:val="nil"/>
              <w:right w:val="nil"/>
            </w:tcBorders>
          </w:tcPr>
          <w:p w14:paraId="6E6160BC" w14:textId="77777777" w:rsidR="00794AFD" w:rsidRPr="001C5950" w:rsidRDefault="00794AFD" w:rsidP="00794AFD">
            <w:pPr>
              <w:ind w:left="-108"/>
              <w:rPr>
                <w:rFonts w:asciiTheme="minorHAnsi" w:hAnsiTheme="minorHAnsi"/>
                <w:bCs/>
                <w:sz w:val="20"/>
              </w:rPr>
            </w:pPr>
            <w:r w:rsidRPr="001C5950">
              <w:rPr>
                <w:rFonts w:asciiTheme="minorHAnsi" w:hAnsiTheme="minorHAnsi"/>
                <w:bCs/>
                <w:sz w:val="20"/>
              </w:rPr>
              <w:t>Deferred tax liabilities</w:t>
            </w:r>
          </w:p>
        </w:tc>
        <w:tc>
          <w:tcPr>
            <w:tcW w:w="2127" w:type="dxa"/>
            <w:tcBorders>
              <w:left w:val="nil"/>
              <w:right w:val="nil"/>
            </w:tcBorders>
          </w:tcPr>
          <w:p w14:paraId="28C906A8" w14:textId="77777777" w:rsidR="00794AFD" w:rsidRPr="00F2569B" w:rsidRDefault="00794AFD" w:rsidP="00794AFD">
            <w:pPr>
              <w:jc w:val="right"/>
              <w:rPr>
                <w:rFonts w:asciiTheme="minorHAnsi" w:hAnsiTheme="minorHAnsi"/>
                <w:bCs/>
                <w:sz w:val="20"/>
              </w:rPr>
            </w:pPr>
            <w:r w:rsidRPr="00F2569B">
              <w:rPr>
                <w:rFonts w:asciiTheme="minorHAnsi" w:hAnsiTheme="minorHAnsi"/>
                <w:bCs/>
                <w:sz w:val="20"/>
              </w:rPr>
              <w:t>11.</w:t>
            </w:r>
            <w:r>
              <w:rPr>
                <w:rFonts w:asciiTheme="minorHAnsi" w:hAnsiTheme="minorHAnsi"/>
                <w:bCs/>
                <w:sz w:val="20"/>
              </w:rPr>
              <w:t>1</w:t>
            </w:r>
          </w:p>
        </w:tc>
      </w:tr>
      <w:tr w:rsidR="00794AFD" w:rsidRPr="001C5950" w14:paraId="1EC9B49F" w14:textId="77777777" w:rsidTr="00794AFD">
        <w:tc>
          <w:tcPr>
            <w:tcW w:w="5137" w:type="dxa"/>
            <w:tcBorders>
              <w:top w:val="single" w:sz="4" w:space="0" w:color="auto"/>
              <w:left w:val="nil"/>
              <w:bottom w:val="single" w:sz="4" w:space="0" w:color="auto"/>
              <w:right w:val="nil"/>
            </w:tcBorders>
          </w:tcPr>
          <w:p w14:paraId="03F879C7" w14:textId="77777777" w:rsidR="00794AFD" w:rsidRPr="001C5950" w:rsidRDefault="00794AFD" w:rsidP="00794AFD">
            <w:pPr>
              <w:ind w:left="-108"/>
              <w:rPr>
                <w:rFonts w:asciiTheme="minorHAnsi" w:hAnsiTheme="minorHAnsi"/>
                <w:b/>
                <w:bCs/>
                <w:sz w:val="20"/>
              </w:rPr>
            </w:pPr>
            <w:r w:rsidRPr="001C5950">
              <w:rPr>
                <w:rFonts w:asciiTheme="minorHAnsi" w:hAnsiTheme="minorHAnsi"/>
                <w:b/>
                <w:bCs/>
                <w:sz w:val="20"/>
              </w:rPr>
              <w:t>Total non-current liabilities</w:t>
            </w:r>
          </w:p>
        </w:tc>
        <w:tc>
          <w:tcPr>
            <w:tcW w:w="2127" w:type="dxa"/>
            <w:tcBorders>
              <w:top w:val="single" w:sz="4" w:space="0" w:color="auto"/>
              <w:left w:val="nil"/>
              <w:bottom w:val="single" w:sz="4" w:space="0" w:color="auto"/>
              <w:right w:val="nil"/>
            </w:tcBorders>
          </w:tcPr>
          <w:p w14:paraId="6E64742C" w14:textId="77777777" w:rsidR="00794AFD" w:rsidRPr="00F2569B" w:rsidRDefault="00794AFD" w:rsidP="00794AFD">
            <w:pPr>
              <w:jc w:val="right"/>
              <w:rPr>
                <w:rFonts w:asciiTheme="minorHAnsi" w:hAnsiTheme="minorHAnsi"/>
                <w:bCs/>
                <w:sz w:val="20"/>
              </w:rPr>
            </w:pPr>
            <w:r>
              <w:rPr>
                <w:rFonts w:asciiTheme="minorHAnsi" w:hAnsiTheme="minorHAnsi"/>
                <w:bCs/>
                <w:sz w:val="20"/>
              </w:rPr>
              <w:t>11.8</w:t>
            </w:r>
          </w:p>
        </w:tc>
      </w:tr>
      <w:tr w:rsidR="00794AFD" w:rsidRPr="001C5950" w14:paraId="762497D6" w14:textId="77777777" w:rsidTr="00794AFD">
        <w:trPr>
          <w:trHeight w:val="247"/>
        </w:trPr>
        <w:tc>
          <w:tcPr>
            <w:tcW w:w="5137" w:type="dxa"/>
            <w:tcBorders>
              <w:top w:val="single" w:sz="4" w:space="0" w:color="auto"/>
              <w:left w:val="nil"/>
              <w:bottom w:val="single" w:sz="4" w:space="0" w:color="auto"/>
              <w:right w:val="nil"/>
            </w:tcBorders>
          </w:tcPr>
          <w:p w14:paraId="3B22FC52" w14:textId="77777777" w:rsidR="00794AFD" w:rsidRPr="001C5950" w:rsidRDefault="00794AFD" w:rsidP="00794AFD">
            <w:pPr>
              <w:ind w:left="-108"/>
              <w:rPr>
                <w:rFonts w:asciiTheme="minorHAnsi" w:hAnsiTheme="minorHAnsi"/>
                <w:b/>
                <w:bCs/>
                <w:sz w:val="20"/>
              </w:rPr>
            </w:pPr>
            <w:r w:rsidRPr="001C5950">
              <w:rPr>
                <w:rFonts w:asciiTheme="minorHAnsi" w:hAnsiTheme="minorHAnsi"/>
                <w:b/>
                <w:bCs/>
                <w:sz w:val="20"/>
              </w:rPr>
              <w:t>Total liabilities</w:t>
            </w:r>
          </w:p>
        </w:tc>
        <w:tc>
          <w:tcPr>
            <w:tcW w:w="2127" w:type="dxa"/>
            <w:tcBorders>
              <w:top w:val="single" w:sz="4" w:space="0" w:color="auto"/>
              <w:left w:val="nil"/>
              <w:bottom w:val="single" w:sz="4" w:space="0" w:color="auto"/>
              <w:right w:val="nil"/>
            </w:tcBorders>
          </w:tcPr>
          <w:p w14:paraId="4836B758" w14:textId="77777777" w:rsidR="00794AFD" w:rsidRPr="00F2569B" w:rsidRDefault="00794AFD" w:rsidP="00794AFD">
            <w:pPr>
              <w:jc w:val="right"/>
              <w:rPr>
                <w:rFonts w:asciiTheme="minorHAnsi" w:hAnsiTheme="minorHAnsi"/>
                <w:bCs/>
                <w:sz w:val="20"/>
              </w:rPr>
            </w:pPr>
            <w:r w:rsidRPr="00F2569B">
              <w:rPr>
                <w:rFonts w:asciiTheme="minorHAnsi" w:hAnsiTheme="minorHAnsi"/>
                <w:bCs/>
                <w:sz w:val="20"/>
              </w:rPr>
              <w:t>1</w:t>
            </w:r>
            <w:r>
              <w:rPr>
                <w:rFonts w:asciiTheme="minorHAnsi" w:hAnsiTheme="minorHAnsi"/>
                <w:bCs/>
                <w:sz w:val="20"/>
              </w:rPr>
              <w:t>9</w:t>
            </w:r>
            <w:r w:rsidRPr="00F2569B">
              <w:rPr>
                <w:rFonts w:asciiTheme="minorHAnsi" w:hAnsiTheme="minorHAnsi"/>
                <w:bCs/>
                <w:sz w:val="20"/>
              </w:rPr>
              <w:t>.</w:t>
            </w:r>
            <w:r>
              <w:rPr>
                <w:rFonts w:asciiTheme="minorHAnsi" w:hAnsiTheme="minorHAnsi"/>
                <w:bCs/>
                <w:sz w:val="20"/>
              </w:rPr>
              <w:t>1</w:t>
            </w:r>
          </w:p>
        </w:tc>
      </w:tr>
      <w:tr w:rsidR="00794AFD" w:rsidRPr="001C5950" w14:paraId="1CFA1F39" w14:textId="77777777" w:rsidTr="00794AFD">
        <w:trPr>
          <w:trHeight w:val="336"/>
        </w:trPr>
        <w:tc>
          <w:tcPr>
            <w:tcW w:w="5137" w:type="dxa"/>
            <w:tcBorders>
              <w:top w:val="single" w:sz="4" w:space="0" w:color="auto"/>
              <w:left w:val="nil"/>
              <w:right w:val="nil"/>
            </w:tcBorders>
            <w:vAlign w:val="bottom"/>
          </w:tcPr>
          <w:p w14:paraId="74E1EA05" w14:textId="77777777" w:rsidR="00794AFD" w:rsidRPr="001C5950" w:rsidRDefault="00794AFD" w:rsidP="00794AFD">
            <w:pPr>
              <w:ind w:left="-108"/>
              <w:rPr>
                <w:rFonts w:asciiTheme="minorHAnsi" w:hAnsiTheme="minorHAnsi"/>
                <w:b/>
                <w:bCs/>
                <w:sz w:val="20"/>
              </w:rPr>
            </w:pPr>
            <w:r w:rsidRPr="001C5950">
              <w:rPr>
                <w:rFonts w:asciiTheme="minorHAnsi" w:hAnsiTheme="minorHAnsi"/>
                <w:b/>
                <w:bCs/>
                <w:sz w:val="20"/>
              </w:rPr>
              <w:t>Net assets acquired</w:t>
            </w:r>
          </w:p>
        </w:tc>
        <w:tc>
          <w:tcPr>
            <w:tcW w:w="2127" w:type="dxa"/>
            <w:tcBorders>
              <w:top w:val="single" w:sz="4" w:space="0" w:color="auto"/>
              <w:left w:val="nil"/>
              <w:right w:val="nil"/>
            </w:tcBorders>
            <w:vAlign w:val="bottom"/>
          </w:tcPr>
          <w:p w14:paraId="19DBB6A2" w14:textId="77777777" w:rsidR="00794AFD" w:rsidRPr="00F2569B" w:rsidRDefault="00794AFD" w:rsidP="00794AFD">
            <w:pPr>
              <w:jc w:val="right"/>
              <w:rPr>
                <w:rFonts w:asciiTheme="minorHAnsi" w:hAnsiTheme="minorHAnsi"/>
                <w:b/>
                <w:bCs/>
                <w:sz w:val="20"/>
              </w:rPr>
            </w:pPr>
            <w:r>
              <w:rPr>
                <w:rFonts w:asciiTheme="minorHAnsi" w:hAnsiTheme="minorHAnsi"/>
                <w:b/>
                <w:bCs/>
                <w:sz w:val="20"/>
              </w:rPr>
              <w:t>63.6</w:t>
            </w:r>
          </w:p>
        </w:tc>
      </w:tr>
      <w:tr w:rsidR="00794AFD" w:rsidRPr="001C5950" w14:paraId="76BA27E4" w14:textId="77777777" w:rsidTr="00794AFD">
        <w:trPr>
          <w:trHeight w:val="336"/>
        </w:trPr>
        <w:tc>
          <w:tcPr>
            <w:tcW w:w="5137" w:type="dxa"/>
            <w:tcBorders>
              <w:left w:val="nil"/>
              <w:right w:val="nil"/>
            </w:tcBorders>
            <w:vAlign w:val="bottom"/>
          </w:tcPr>
          <w:p w14:paraId="428C944A" w14:textId="77777777" w:rsidR="00794AFD" w:rsidRPr="001C5950" w:rsidRDefault="00794AFD" w:rsidP="00794AFD">
            <w:pPr>
              <w:ind w:left="-108"/>
              <w:rPr>
                <w:rFonts w:asciiTheme="minorHAnsi" w:hAnsiTheme="minorHAnsi"/>
                <w:bCs/>
                <w:sz w:val="20"/>
              </w:rPr>
            </w:pPr>
            <w:r w:rsidRPr="001C5950">
              <w:rPr>
                <w:rFonts w:asciiTheme="minorHAnsi" w:hAnsiTheme="minorHAnsi"/>
                <w:bCs/>
                <w:sz w:val="20"/>
              </w:rPr>
              <w:t>Goodwill</w:t>
            </w:r>
          </w:p>
        </w:tc>
        <w:tc>
          <w:tcPr>
            <w:tcW w:w="2127" w:type="dxa"/>
            <w:tcBorders>
              <w:left w:val="nil"/>
              <w:right w:val="nil"/>
            </w:tcBorders>
            <w:vAlign w:val="bottom"/>
          </w:tcPr>
          <w:p w14:paraId="2621B8C5" w14:textId="77777777" w:rsidR="00794AFD" w:rsidRPr="00F2569B" w:rsidRDefault="00794AFD" w:rsidP="00794AFD">
            <w:pPr>
              <w:jc w:val="right"/>
              <w:rPr>
                <w:rFonts w:asciiTheme="minorHAnsi" w:hAnsiTheme="minorHAnsi"/>
                <w:bCs/>
                <w:sz w:val="20"/>
              </w:rPr>
            </w:pPr>
            <w:r>
              <w:rPr>
                <w:rFonts w:asciiTheme="minorHAnsi" w:hAnsiTheme="minorHAnsi"/>
                <w:bCs/>
                <w:sz w:val="20"/>
              </w:rPr>
              <w:t>69.6</w:t>
            </w:r>
          </w:p>
        </w:tc>
      </w:tr>
      <w:tr w:rsidR="00794AFD" w:rsidRPr="001C5950" w14:paraId="031F9689" w14:textId="77777777" w:rsidTr="00794AFD">
        <w:trPr>
          <w:trHeight w:val="336"/>
        </w:trPr>
        <w:tc>
          <w:tcPr>
            <w:tcW w:w="5137" w:type="dxa"/>
            <w:tcBorders>
              <w:left w:val="nil"/>
              <w:bottom w:val="single" w:sz="4" w:space="0" w:color="auto"/>
              <w:right w:val="nil"/>
            </w:tcBorders>
            <w:vAlign w:val="bottom"/>
          </w:tcPr>
          <w:p w14:paraId="5E995D39" w14:textId="77777777" w:rsidR="00794AFD" w:rsidRPr="001C5950" w:rsidRDefault="00794AFD" w:rsidP="00794AFD">
            <w:pPr>
              <w:ind w:left="-108"/>
              <w:rPr>
                <w:rFonts w:asciiTheme="minorHAnsi" w:hAnsiTheme="minorHAnsi"/>
                <w:bCs/>
                <w:sz w:val="20"/>
              </w:rPr>
            </w:pPr>
            <w:r w:rsidRPr="001C5950">
              <w:rPr>
                <w:rFonts w:asciiTheme="minorHAnsi" w:hAnsiTheme="minorHAnsi"/>
                <w:bCs/>
                <w:sz w:val="20"/>
              </w:rPr>
              <w:t>Non-controlling interest measured at the fair value of net assets identified</w:t>
            </w:r>
          </w:p>
        </w:tc>
        <w:tc>
          <w:tcPr>
            <w:tcW w:w="2127" w:type="dxa"/>
            <w:tcBorders>
              <w:left w:val="nil"/>
              <w:bottom w:val="single" w:sz="4" w:space="0" w:color="auto"/>
              <w:right w:val="nil"/>
            </w:tcBorders>
            <w:vAlign w:val="bottom"/>
          </w:tcPr>
          <w:p w14:paraId="3C9A363D" w14:textId="77777777" w:rsidR="00794AFD" w:rsidRPr="00F2569B" w:rsidRDefault="00794AFD" w:rsidP="00794AFD">
            <w:pPr>
              <w:jc w:val="right"/>
              <w:rPr>
                <w:rFonts w:asciiTheme="minorHAnsi" w:hAnsiTheme="minorHAnsi"/>
                <w:bCs/>
                <w:sz w:val="20"/>
              </w:rPr>
            </w:pPr>
            <w:r>
              <w:rPr>
                <w:rFonts w:asciiTheme="minorHAnsi" w:hAnsiTheme="minorHAnsi"/>
                <w:bCs/>
                <w:sz w:val="20"/>
              </w:rPr>
              <w:t>(31.2</w:t>
            </w:r>
            <w:r w:rsidRPr="00F2569B">
              <w:rPr>
                <w:rFonts w:asciiTheme="minorHAnsi" w:hAnsiTheme="minorHAnsi"/>
                <w:bCs/>
                <w:sz w:val="20"/>
              </w:rPr>
              <w:t>)</w:t>
            </w:r>
          </w:p>
        </w:tc>
      </w:tr>
      <w:tr w:rsidR="00794AFD" w:rsidRPr="001C5950" w14:paraId="3AE87FE0" w14:textId="77777777" w:rsidTr="00794AFD">
        <w:trPr>
          <w:trHeight w:val="336"/>
        </w:trPr>
        <w:tc>
          <w:tcPr>
            <w:tcW w:w="5137" w:type="dxa"/>
            <w:tcBorders>
              <w:top w:val="single" w:sz="4" w:space="0" w:color="auto"/>
              <w:left w:val="nil"/>
              <w:bottom w:val="single" w:sz="4" w:space="0" w:color="auto"/>
              <w:right w:val="nil"/>
            </w:tcBorders>
            <w:vAlign w:val="bottom"/>
          </w:tcPr>
          <w:p w14:paraId="6DDEA71C" w14:textId="77777777" w:rsidR="00794AFD" w:rsidRPr="001C5950" w:rsidRDefault="00794AFD" w:rsidP="00794AFD">
            <w:pPr>
              <w:ind w:left="-108"/>
              <w:rPr>
                <w:rFonts w:asciiTheme="minorHAnsi" w:hAnsiTheme="minorHAnsi"/>
                <w:b/>
                <w:bCs/>
                <w:sz w:val="20"/>
              </w:rPr>
            </w:pPr>
            <w:r w:rsidRPr="001C5950">
              <w:rPr>
                <w:rFonts w:asciiTheme="minorHAnsi" w:hAnsiTheme="minorHAnsi"/>
                <w:b/>
                <w:bCs/>
                <w:sz w:val="20"/>
              </w:rPr>
              <w:t>Consideration</w:t>
            </w:r>
          </w:p>
        </w:tc>
        <w:tc>
          <w:tcPr>
            <w:tcW w:w="2127" w:type="dxa"/>
            <w:tcBorders>
              <w:top w:val="single" w:sz="4" w:space="0" w:color="auto"/>
              <w:left w:val="nil"/>
              <w:bottom w:val="single" w:sz="4" w:space="0" w:color="auto"/>
              <w:right w:val="nil"/>
            </w:tcBorders>
            <w:vAlign w:val="bottom"/>
          </w:tcPr>
          <w:p w14:paraId="11BDD6DC" w14:textId="77777777" w:rsidR="00794AFD" w:rsidRPr="00F2569B" w:rsidRDefault="00794AFD" w:rsidP="00794AFD">
            <w:pPr>
              <w:jc w:val="right"/>
              <w:rPr>
                <w:rFonts w:asciiTheme="minorHAnsi" w:hAnsiTheme="minorHAnsi"/>
                <w:b/>
                <w:bCs/>
                <w:sz w:val="20"/>
              </w:rPr>
            </w:pPr>
            <w:r w:rsidRPr="00F2569B">
              <w:rPr>
                <w:rFonts w:asciiTheme="minorHAnsi" w:hAnsiTheme="minorHAnsi"/>
                <w:b/>
                <w:bCs/>
                <w:sz w:val="20"/>
              </w:rPr>
              <w:t>102.0</w:t>
            </w:r>
          </w:p>
        </w:tc>
      </w:tr>
      <w:tr w:rsidR="00794AFD" w:rsidRPr="001C5950" w14:paraId="138EF76D" w14:textId="77777777" w:rsidTr="00794AFD">
        <w:trPr>
          <w:trHeight w:val="161"/>
        </w:trPr>
        <w:tc>
          <w:tcPr>
            <w:tcW w:w="5137" w:type="dxa"/>
            <w:tcBorders>
              <w:top w:val="single" w:sz="4" w:space="0" w:color="auto"/>
              <w:left w:val="nil"/>
              <w:right w:val="nil"/>
            </w:tcBorders>
            <w:vAlign w:val="bottom"/>
          </w:tcPr>
          <w:p w14:paraId="047E98EF" w14:textId="77777777" w:rsidR="00794AFD" w:rsidRPr="001C5950" w:rsidRDefault="00794AFD" w:rsidP="00794AFD">
            <w:pPr>
              <w:ind w:left="-108"/>
              <w:rPr>
                <w:rFonts w:asciiTheme="minorHAnsi" w:hAnsiTheme="minorHAnsi"/>
                <w:b/>
                <w:bCs/>
                <w:sz w:val="20"/>
              </w:rPr>
            </w:pPr>
          </w:p>
        </w:tc>
        <w:tc>
          <w:tcPr>
            <w:tcW w:w="2127" w:type="dxa"/>
            <w:tcBorders>
              <w:top w:val="single" w:sz="4" w:space="0" w:color="auto"/>
              <w:left w:val="nil"/>
              <w:right w:val="nil"/>
            </w:tcBorders>
            <w:vAlign w:val="bottom"/>
          </w:tcPr>
          <w:p w14:paraId="07BDB32A" w14:textId="77777777" w:rsidR="00794AFD" w:rsidRPr="00F2569B" w:rsidRDefault="00794AFD" w:rsidP="00794AFD">
            <w:pPr>
              <w:jc w:val="right"/>
              <w:rPr>
                <w:rFonts w:asciiTheme="minorHAnsi" w:hAnsiTheme="minorHAnsi"/>
                <w:b/>
                <w:bCs/>
                <w:sz w:val="20"/>
              </w:rPr>
            </w:pPr>
          </w:p>
        </w:tc>
      </w:tr>
      <w:tr w:rsidR="00794AFD" w:rsidRPr="001C5950" w14:paraId="087761B2" w14:textId="77777777" w:rsidTr="00794AFD">
        <w:trPr>
          <w:trHeight w:val="336"/>
        </w:trPr>
        <w:tc>
          <w:tcPr>
            <w:tcW w:w="5137" w:type="dxa"/>
            <w:tcBorders>
              <w:left w:val="nil"/>
              <w:right w:val="nil"/>
            </w:tcBorders>
            <w:vAlign w:val="bottom"/>
          </w:tcPr>
          <w:p w14:paraId="6EB6C7AB" w14:textId="77777777" w:rsidR="00794AFD" w:rsidRPr="001C5950" w:rsidRDefault="00794AFD" w:rsidP="00794AFD">
            <w:pPr>
              <w:ind w:left="-108"/>
              <w:rPr>
                <w:rFonts w:asciiTheme="minorHAnsi" w:hAnsiTheme="minorHAnsi"/>
                <w:b/>
                <w:bCs/>
                <w:sz w:val="20"/>
              </w:rPr>
            </w:pPr>
            <w:r w:rsidRPr="001C5950">
              <w:rPr>
                <w:rFonts w:asciiTheme="minorHAnsi" w:hAnsiTheme="minorHAnsi"/>
                <w:b/>
                <w:bCs/>
                <w:sz w:val="20"/>
              </w:rPr>
              <w:t>The consideration is analysed as:</w:t>
            </w:r>
          </w:p>
        </w:tc>
        <w:tc>
          <w:tcPr>
            <w:tcW w:w="2127" w:type="dxa"/>
            <w:tcBorders>
              <w:left w:val="nil"/>
              <w:right w:val="nil"/>
            </w:tcBorders>
            <w:vAlign w:val="bottom"/>
          </w:tcPr>
          <w:p w14:paraId="7516D85D" w14:textId="77777777" w:rsidR="00794AFD" w:rsidRPr="00F2569B" w:rsidRDefault="00794AFD" w:rsidP="00794AFD">
            <w:pPr>
              <w:rPr>
                <w:rFonts w:asciiTheme="minorHAnsi" w:hAnsiTheme="minorHAnsi"/>
                <w:b/>
                <w:bCs/>
                <w:sz w:val="20"/>
              </w:rPr>
            </w:pPr>
          </w:p>
        </w:tc>
      </w:tr>
      <w:tr w:rsidR="00794AFD" w:rsidRPr="001C5950" w14:paraId="34830467" w14:textId="77777777" w:rsidTr="00794AFD">
        <w:trPr>
          <w:trHeight w:val="135"/>
        </w:trPr>
        <w:tc>
          <w:tcPr>
            <w:tcW w:w="5137" w:type="dxa"/>
            <w:tcBorders>
              <w:left w:val="nil"/>
              <w:right w:val="nil"/>
            </w:tcBorders>
            <w:vAlign w:val="bottom"/>
          </w:tcPr>
          <w:p w14:paraId="66EBB185" w14:textId="77777777" w:rsidR="00794AFD" w:rsidRPr="001C5950" w:rsidRDefault="00794AFD" w:rsidP="00794AFD">
            <w:pPr>
              <w:ind w:left="-108"/>
              <w:rPr>
                <w:rFonts w:asciiTheme="minorHAnsi" w:hAnsiTheme="minorHAnsi"/>
                <w:bCs/>
                <w:sz w:val="20"/>
              </w:rPr>
            </w:pPr>
            <w:r w:rsidRPr="001C5950">
              <w:rPr>
                <w:rFonts w:asciiTheme="minorHAnsi" w:hAnsiTheme="minorHAnsi"/>
                <w:bCs/>
                <w:sz w:val="20"/>
              </w:rPr>
              <w:t>Consideration paid in cash</w:t>
            </w:r>
          </w:p>
        </w:tc>
        <w:tc>
          <w:tcPr>
            <w:tcW w:w="2127" w:type="dxa"/>
            <w:tcBorders>
              <w:left w:val="nil"/>
              <w:right w:val="nil"/>
            </w:tcBorders>
            <w:vAlign w:val="bottom"/>
          </w:tcPr>
          <w:p w14:paraId="7B061C92" w14:textId="77777777" w:rsidR="00794AFD" w:rsidRPr="00F2569B" w:rsidRDefault="00794AFD" w:rsidP="00794AFD">
            <w:pPr>
              <w:jc w:val="right"/>
              <w:rPr>
                <w:rFonts w:asciiTheme="minorHAnsi" w:hAnsiTheme="minorHAnsi"/>
                <w:bCs/>
                <w:sz w:val="20"/>
              </w:rPr>
            </w:pPr>
            <w:r w:rsidRPr="00F2569B">
              <w:rPr>
                <w:rFonts w:asciiTheme="minorHAnsi" w:hAnsiTheme="minorHAnsi"/>
                <w:bCs/>
                <w:sz w:val="20"/>
              </w:rPr>
              <w:t>102.0</w:t>
            </w:r>
          </w:p>
        </w:tc>
      </w:tr>
      <w:tr w:rsidR="00794AFD" w:rsidRPr="001C5950" w14:paraId="7A485FC6" w14:textId="77777777" w:rsidTr="00794AFD">
        <w:trPr>
          <w:trHeight w:val="336"/>
        </w:trPr>
        <w:tc>
          <w:tcPr>
            <w:tcW w:w="5137" w:type="dxa"/>
            <w:tcBorders>
              <w:top w:val="single" w:sz="4" w:space="0" w:color="auto"/>
              <w:left w:val="nil"/>
              <w:bottom w:val="single" w:sz="4" w:space="0" w:color="auto"/>
              <w:right w:val="nil"/>
            </w:tcBorders>
            <w:vAlign w:val="bottom"/>
          </w:tcPr>
          <w:p w14:paraId="214CA488" w14:textId="77777777" w:rsidR="00794AFD" w:rsidRPr="001C5950" w:rsidRDefault="00794AFD" w:rsidP="00794AFD">
            <w:pPr>
              <w:ind w:left="-108"/>
              <w:rPr>
                <w:rFonts w:asciiTheme="minorHAnsi" w:hAnsiTheme="minorHAnsi"/>
                <w:b/>
                <w:bCs/>
                <w:sz w:val="20"/>
              </w:rPr>
            </w:pPr>
            <w:r w:rsidRPr="001C5950">
              <w:rPr>
                <w:rFonts w:asciiTheme="minorHAnsi" w:hAnsiTheme="minorHAnsi"/>
                <w:b/>
                <w:bCs/>
                <w:sz w:val="20"/>
              </w:rPr>
              <w:t>Consideration</w:t>
            </w:r>
          </w:p>
        </w:tc>
        <w:tc>
          <w:tcPr>
            <w:tcW w:w="2127" w:type="dxa"/>
            <w:tcBorders>
              <w:top w:val="single" w:sz="4" w:space="0" w:color="auto"/>
              <w:left w:val="nil"/>
              <w:bottom w:val="single" w:sz="4" w:space="0" w:color="auto"/>
              <w:right w:val="nil"/>
            </w:tcBorders>
            <w:vAlign w:val="bottom"/>
          </w:tcPr>
          <w:p w14:paraId="1450C954" w14:textId="77777777" w:rsidR="00794AFD" w:rsidRPr="00F2569B" w:rsidRDefault="00794AFD" w:rsidP="00794AFD">
            <w:pPr>
              <w:jc w:val="right"/>
              <w:rPr>
                <w:rFonts w:asciiTheme="minorHAnsi" w:hAnsiTheme="minorHAnsi"/>
                <w:b/>
                <w:bCs/>
                <w:sz w:val="20"/>
              </w:rPr>
            </w:pPr>
            <w:r w:rsidRPr="00F2569B">
              <w:rPr>
                <w:rFonts w:asciiTheme="minorHAnsi" w:hAnsiTheme="minorHAnsi"/>
                <w:b/>
                <w:bCs/>
                <w:sz w:val="20"/>
              </w:rPr>
              <w:t>102.0</w:t>
            </w:r>
          </w:p>
        </w:tc>
      </w:tr>
    </w:tbl>
    <w:p w14:paraId="458F1AFA" w14:textId="77777777" w:rsidR="00794AFD" w:rsidRPr="00FC3D06" w:rsidRDefault="00794AFD" w:rsidP="00794AFD">
      <w:pPr>
        <w:widowControl/>
        <w:autoSpaceDE/>
        <w:autoSpaceDN/>
        <w:adjustRightInd/>
        <w:rPr>
          <w:rFonts w:asciiTheme="minorHAnsi" w:hAnsiTheme="minorHAnsi" w:cs="Times New Roman"/>
          <w:sz w:val="20"/>
          <w:szCs w:val="20"/>
          <w:lang w:val="en-IE"/>
        </w:rPr>
      </w:pPr>
    </w:p>
    <w:p w14:paraId="1E0ABFF7" w14:textId="77777777" w:rsidR="00794AFD" w:rsidRPr="00A604FB" w:rsidRDefault="00794AFD" w:rsidP="00794AFD">
      <w:pPr>
        <w:widowControl/>
        <w:autoSpaceDE/>
        <w:autoSpaceDN/>
        <w:adjustRightInd/>
        <w:rPr>
          <w:rFonts w:asciiTheme="minorHAnsi" w:hAnsiTheme="minorHAnsi" w:cs="Times New Roman"/>
          <w:sz w:val="20"/>
          <w:szCs w:val="20"/>
          <w:lang w:val="en-IE"/>
        </w:rPr>
      </w:pPr>
      <w:r>
        <w:rPr>
          <w:rFonts w:asciiTheme="minorHAnsi" w:hAnsiTheme="minorHAnsi" w:cs="Times New Roman"/>
          <w:b/>
          <w:sz w:val="20"/>
          <w:szCs w:val="20"/>
          <w:lang w:val="en-IE"/>
        </w:rPr>
        <w:t>8</w:t>
      </w:r>
      <w:r w:rsidRPr="001C5950">
        <w:rPr>
          <w:rFonts w:asciiTheme="minorHAnsi" w:hAnsiTheme="minorHAnsi" w:cs="Times New Roman"/>
          <w:b/>
          <w:bCs/>
          <w:sz w:val="20"/>
          <w:szCs w:val="20"/>
          <w:lang w:val="en-IE"/>
        </w:rPr>
        <w:t>. Business combinations (continued)</w:t>
      </w:r>
    </w:p>
    <w:p w14:paraId="1D7323B9" w14:textId="77777777" w:rsidR="00794AFD" w:rsidRPr="00FC3D06" w:rsidRDefault="00794AFD" w:rsidP="00794AFD">
      <w:pPr>
        <w:rPr>
          <w:rFonts w:asciiTheme="minorHAnsi" w:hAnsiTheme="minorHAnsi"/>
          <w:b/>
          <w:bCs/>
          <w:i/>
          <w:sz w:val="20"/>
          <w:szCs w:val="20"/>
        </w:rPr>
      </w:pPr>
    </w:p>
    <w:p w14:paraId="652E4480" w14:textId="77777777" w:rsidR="00794AFD" w:rsidRPr="001C5950" w:rsidRDefault="00794AFD" w:rsidP="00794AFD">
      <w:pPr>
        <w:rPr>
          <w:rFonts w:asciiTheme="minorHAnsi" w:hAnsiTheme="minorHAnsi"/>
          <w:b/>
          <w:bCs/>
          <w:i/>
          <w:sz w:val="20"/>
          <w:szCs w:val="20"/>
        </w:rPr>
      </w:pPr>
      <w:r w:rsidRPr="001C5950">
        <w:rPr>
          <w:rFonts w:asciiTheme="minorHAnsi" w:hAnsiTheme="minorHAnsi"/>
          <w:b/>
          <w:bCs/>
          <w:i/>
          <w:sz w:val="20"/>
          <w:szCs w:val="20"/>
        </w:rPr>
        <w:t xml:space="preserve">Year ended 31 December </w:t>
      </w:r>
      <w:r>
        <w:rPr>
          <w:rFonts w:asciiTheme="minorHAnsi" w:hAnsiTheme="minorHAnsi"/>
          <w:b/>
          <w:bCs/>
          <w:i/>
          <w:sz w:val="20"/>
          <w:szCs w:val="20"/>
        </w:rPr>
        <w:t>2018</w:t>
      </w:r>
    </w:p>
    <w:p w14:paraId="3B06C99A" w14:textId="77777777" w:rsidR="00794AFD" w:rsidRPr="00FC3D06" w:rsidRDefault="00794AFD" w:rsidP="00794AFD">
      <w:pPr>
        <w:pStyle w:val="BodyText"/>
        <w:rPr>
          <w:rFonts w:asciiTheme="minorHAnsi" w:hAnsiTheme="minorHAnsi"/>
          <w:b/>
          <w:sz w:val="20"/>
          <w:szCs w:val="20"/>
          <w:lang w:val="en-IE"/>
        </w:rPr>
      </w:pPr>
    </w:p>
    <w:p w14:paraId="0E70F064" w14:textId="77777777" w:rsidR="00794AFD" w:rsidRPr="001C5950" w:rsidRDefault="00794AFD" w:rsidP="00794AFD">
      <w:pPr>
        <w:pStyle w:val="BodyText"/>
        <w:rPr>
          <w:rFonts w:asciiTheme="minorHAnsi" w:hAnsiTheme="minorHAnsi" w:cs="Times New Roman"/>
          <w:b/>
          <w:sz w:val="20"/>
          <w:szCs w:val="20"/>
          <w:lang w:val="en-IE"/>
        </w:rPr>
      </w:pPr>
      <w:r w:rsidRPr="001C5950">
        <w:rPr>
          <w:rFonts w:asciiTheme="minorHAnsi" w:hAnsiTheme="minorHAnsi" w:cs="Times New Roman"/>
          <w:b/>
          <w:sz w:val="20"/>
          <w:szCs w:val="20"/>
          <w:lang w:val="en-IE"/>
        </w:rPr>
        <w:t>Acquisition of FanDuel Limited</w:t>
      </w:r>
    </w:p>
    <w:p w14:paraId="1DC2DED5" w14:textId="77777777" w:rsidR="00794AFD" w:rsidRPr="00FC3D06" w:rsidRDefault="00794AFD" w:rsidP="00794AFD">
      <w:pPr>
        <w:rPr>
          <w:rFonts w:asciiTheme="minorHAnsi" w:hAnsiTheme="minorHAnsi" w:cs="Times New Roman"/>
          <w:sz w:val="20"/>
          <w:szCs w:val="20"/>
          <w:lang w:val="en-IE"/>
        </w:rPr>
      </w:pPr>
    </w:p>
    <w:p w14:paraId="57EB5530" w14:textId="77777777" w:rsidR="00794AFD" w:rsidRDefault="00794AFD" w:rsidP="00794AFD">
      <w:pPr>
        <w:rPr>
          <w:rFonts w:asciiTheme="minorHAnsi" w:hAnsiTheme="minorHAnsi"/>
          <w:sz w:val="20"/>
          <w:lang w:val="en-IE"/>
        </w:rPr>
      </w:pPr>
      <w:r w:rsidRPr="001C5950">
        <w:rPr>
          <w:rFonts w:asciiTheme="minorHAnsi" w:hAnsiTheme="minorHAnsi"/>
          <w:sz w:val="20"/>
          <w:lang w:val="en-IE"/>
        </w:rPr>
        <w:t xml:space="preserve">On 10 July </w:t>
      </w:r>
      <w:r>
        <w:rPr>
          <w:rFonts w:asciiTheme="minorHAnsi" w:hAnsiTheme="minorHAnsi"/>
          <w:sz w:val="20"/>
          <w:lang w:val="en-IE"/>
        </w:rPr>
        <w:t>2018</w:t>
      </w:r>
      <w:r w:rsidRPr="001C5950">
        <w:rPr>
          <w:rFonts w:asciiTheme="minorHAnsi" w:hAnsiTheme="minorHAnsi"/>
          <w:sz w:val="20"/>
          <w:lang w:val="en-IE"/>
        </w:rPr>
        <w:t>, the Group completed the combination of its US business with FanDuel Limited, to create a new company called FanDuel Group Inc</w:t>
      </w:r>
      <w:r>
        <w:rPr>
          <w:rFonts w:asciiTheme="minorHAnsi" w:hAnsiTheme="minorHAnsi"/>
          <w:sz w:val="20"/>
          <w:lang w:val="en-IE"/>
        </w:rPr>
        <w:t>.</w:t>
      </w:r>
      <w:r w:rsidRPr="001C5950">
        <w:rPr>
          <w:rFonts w:asciiTheme="minorHAnsi" w:hAnsiTheme="minorHAnsi"/>
          <w:sz w:val="20"/>
          <w:lang w:val="en-IE"/>
        </w:rPr>
        <w:t>. Under the terms of the combination, the Group contributed its existing US business and assets along with $145m (£109.3m) of cash to FanDuel Group Inc. and also paid $15.5m (£11.7m) to a small number of FanDuel Limited shareholders for their shareholding, while FanDuel Limited contributed its entire business to FanDuel Group Inc.</w:t>
      </w:r>
      <w:r>
        <w:rPr>
          <w:rFonts w:asciiTheme="minorHAnsi" w:hAnsiTheme="minorHAnsi"/>
          <w:sz w:val="20"/>
          <w:lang w:val="en-IE"/>
        </w:rPr>
        <w:t>.</w:t>
      </w:r>
      <w:r w:rsidRPr="001C5950">
        <w:rPr>
          <w:rFonts w:asciiTheme="minorHAnsi" w:hAnsiTheme="minorHAnsi"/>
          <w:sz w:val="20"/>
          <w:lang w:val="en-IE"/>
        </w:rPr>
        <w:t xml:space="preserve"> The cash contribution was used in part to pay down existing FanDuel Limited debt and will also be used to fund the working capital of FanDuel Group Inc.</w:t>
      </w:r>
      <w:r>
        <w:rPr>
          <w:rFonts w:asciiTheme="minorHAnsi" w:hAnsiTheme="minorHAnsi"/>
          <w:sz w:val="20"/>
          <w:lang w:val="en-IE"/>
        </w:rPr>
        <w:t>.</w:t>
      </w:r>
      <w:r w:rsidRPr="001C5950">
        <w:rPr>
          <w:rFonts w:asciiTheme="minorHAnsi" w:hAnsiTheme="minorHAnsi"/>
          <w:sz w:val="20"/>
          <w:lang w:val="en-IE"/>
        </w:rPr>
        <w:t xml:space="preserve"> The combination resulted in the holders of </w:t>
      </w:r>
      <w:r>
        <w:rPr>
          <w:rFonts w:asciiTheme="minorHAnsi" w:hAnsiTheme="minorHAnsi"/>
          <w:sz w:val="20"/>
          <w:lang w:val="en-IE"/>
        </w:rPr>
        <w:t xml:space="preserve">Flutter Entertainment </w:t>
      </w:r>
      <w:r w:rsidRPr="001C5950">
        <w:rPr>
          <w:rFonts w:asciiTheme="minorHAnsi" w:hAnsiTheme="minorHAnsi"/>
          <w:sz w:val="20"/>
          <w:lang w:val="en-IE"/>
        </w:rPr>
        <w:t xml:space="preserve">plc shares owning 61% of FanDuel Group Inc., and the holders of FanDuel Limited shares owning 39% of FanDuel Group Inc. </w:t>
      </w:r>
      <w:r>
        <w:rPr>
          <w:rFonts w:asciiTheme="minorHAnsi" w:hAnsiTheme="minorHAnsi"/>
          <w:sz w:val="20"/>
          <w:lang w:val="en-IE"/>
        </w:rPr>
        <w:t>c</w:t>
      </w:r>
      <w:r w:rsidRPr="001C5950">
        <w:rPr>
          <w:rFonts w:asciiTheme="minorHAnsi" w:hAnsiTheme="minorHAnsi"/>
          <w:sz w:val="20"/>
          <w:lang w:val="en-IE"/>
        </w:rPr>
        <w:t xml:space="preserve">all and put options exist to acquire the shares of FanDuel Limited shareholders at prevailing market valuations after three and five years. The Group has the discretion as to whether these options are settled by the issuance of </w:t>
      </w:r>
      <w:r>
        <w:rPr>
          <w:rFonts w:asciiTheme="minorHAnsi" w:hAnsiTheme="minorHAnsi"/>
          <w:sz w:val="20"/>
          <w:lang w:val="en-IE"/>
        </w:rPr>
        <w:t xml:space="preserve">Flutter Entertainment </w:t>
      </w:r>
      <w:r w:rsidRPr="001C5950">
        <w:rPr>
          <w:rFonts w:asciiTheme="minorHAnsi" w:hAnsiTheme="minorHAnsi"/>
          <w:sz w:val="20"/>
          <w:lang w:val="en-IE"/>
        </w:rPr>
        <w:t>plc shares or via cash.</w:t>
      </w:r>
      <w:r>
        <w:rPr>
          <w:rFonts w:asciiTheme="minorHAnsi" w:hAnsiTheme="minorHAnsi"/>
          <w:sz w:val="20"/>
          <w:lang w:val="en-IE"/>
        </w:rPr>
        <w:t xml:space="preserve"> As a consequence of both the put and call options being only exercisable at fair value based on the market value of FanDuel at the date of exercise of the options, it was determined that the fair value was not material and was close to nominal value.</w:t>
      </w:r>
    </w:p>
    <w:p w14:paraId="7A2FFB09" w14:textId="77777777" w:rsidR="00794AFD" w:rsidRDefault="00794AFD" w:rsidP="00794AFD">
      <w:pPr>
        <w:rPr>
          <w:rFonts w:asciiTheme="minorHAnsi" w:hAnsiTheme="minorHAnsi"/>
          <w:sz w:val="20"/>
          <w:lang w:val="en-IE"/>
        </w:rPr>
      </w:pPr>
    </w:p>
    <w:p w14:paraId="1DBE77FD" w14:textId="77777777" w:rsidR="00794AFD" w:rsidRPr="001C5950" w:rsidRDefault="00794AFD" w:rsidP="00794AFD">
      <w:pPr>
        <w:rPr>
          <w:rFonts w:asciiTheme="minorHAnsi" w:hAnsiTheme="minorHAnsi"/>
          <w:sz w:val="20"/>
          <w:lang w:val="en-IE"/>
        </w:rPr>
      </w:pPr>
      <w:r>
        <w:rPr>
          <w:rFonts w:asciiTheme="minorHAnsi" w:hAnsiTheme="minorHAnsi"/>
          <w:sz w:val="20"/>
          <w:lang w:val="en-IE"/>
        </w:rPr>
        <w:t>In 2018, subsequent to the above transaction, Boyd Gaming acquired 5% in FanDuel such that Flutter Entertainment plc now has a 58% interest in FanDuel.</w:t>
      </w:r>
    </w:p>
    <w:p w14:paraId="2F0DF828" w14:textId="77777777" w:rsidR="00794AFD" w:rsidRPr="001C5950" w:rsidRDefault="00794AFD" w:rsidP="00794AFD">
      <w:pPr>
        <w:rPr>
          <w:rFonts w:asciiTheme="minorHAnsi" w:hAnsiTheme="minorHAnsi" w:cs="Times New Roman"/>
          <w:sz w:val="20"/>
          <w:szCs w:val="20"/>
          <w:lang w:val="en-IE"/>
        </w:rPr>
      </w:pPr>
    </w:p>
    <w:p w14:paraId="45F5E8CD" w14:textId="77777777" w:rsidR="00794AFD" w:rsidRPr="001C5950" w:rsidRDefault="00794AFD" w:rsidP="00794AFD">
      <w:pPr>
        <w:rPr>
          <w:rFonts w:asciiTheme="minorHAnsi" w:hAnsiTheme="minorHAnsi" w:cs="Times New Roman"/>
          <w:sz w:val="20"/>
          <w:szCs w:val="20"/>
          <w:lang w:val="en-IE"/>
        </w:rPr>
      </w:pPr>
      <w:r w:rsidRPr="001C5950">
        <w:rPr>
          <w:rFonts w:asciiTheme="minorHAnsi" w:hAnsiTheme="minorHAnsi" w:cs="Times New Roman"/>
          <w:sz w:val="20"/>
          <w:szCs w:val="20"/>
          <w:lang w:val="en-IE"/>
        </w:rPr>
        <w:t xml:space="preserve">The consideration was £211.9m based on the value of the Group’s existing US business contributed to FanDuel Group Inc., cash consideration paid and the fair value of the cash contribution payable by the Group to FanDuel. </w:t>
      </w:r>
    </w:p>
    <w:p w14:paraId="05F0EB40" w14:textId="77777777" w:rsidR="00794AFD" w:rsidRPr="00FC3D06" w:rsidRDefault="00794AFD" w:rsidP="00794AFD">
      <w:pPr>
        <w:rPr>
          <w:rFonts w:asciiTheme="minorHAnsi" w:hAnsiTheme="minorHAnsi" w:cs="Times New Roman"/>
          <w:sz w:val="20"/>
          <w:szCs w:val="20"/>
          <w:lang w:val="en-IE"/>
        </w:rPr>
      </w:pPr>
    </w:p>
    <w:p w14:paraId="067DA383" w14:textId="77777777" w:rsidR="00794AFD" w:rsidRPr="001C5950" w:rsidRDefault="00794AFD" w:rsidP="00794AFD">
      <w:pPr>
        <w:spacing w:after="120"/>
        <w:jc w:val="both"/>
        <w:rPr>
          <w:rFonts w:asciiTheme="minorHAnsi" w:hAnsiTheme="minorHAnsi"/>
          <w:sz w:val="20"/>
          <w:szCs w:val="20"/>
          <w:lang w:eastAsia="en-GB"/>
        </w:rPr>
      </w:pPr>
      <w:r w:rsidRPr="001C5950">
        <w:rPr>
          <w:rFonts w:asciiTheme="minorHAnsi" w:hAnsiTheme="minorHAnsi"/>
          <w:sz w:val="20"/>
          <w:szCs w:val="20"/>
          <w:lang w:eastAsia="en-GB"/>
        </w:rPr>
        <w:t xml:space="preserve">FanDuel has over 40% market share of the US daily fantasy sports market, with 7m registered customers across 40 states. In </w:t>
      </w:r>
      <w:r>
        <w:rPr>
          <w:rFonts w:asciiTheme="minorHAnsi" w:hAnsiTheme="minorHAnsi"/>
          <w:sz w:val="20"/>
          <w:szCs w:val="20"/>
          <w:lang w:eastAsia="en-GB"/>
        </w:rPr>
        <w:t>2017</w:t>
      </w:r>
      <w:r w:rsidRPr="001C5950">
        <w:rPr>
          <w:rFonts w:asciiTheme="minorHAnsi" w:hAnsiTheme="minorHAnsi"/>
          <w:sz w:val="20"/>
          <w:szCs w:val="20"/>
          <w:lang w:eastAsia="en-GB"/>
        </w:rPr>
        <w:t>, it had revenue of $124m and 1.3m active customers. Headquartered in New York, the business has built-up a leading US sports brand with approximately $400m cumulative marketing spend to date supported by innovative proprietary technology. The transaction strengthens the Group’s opportunity to target the prospective US sports betting market through the addition of a strong brand, large existing customer base and talented team.</w:t>
      </w:r>
    </w:p>
    <w:p w14:paraId="1CF680FB" w14:textId="77777777" w:rsidR="00794AFD" w:rsidRPr="001C5950" w:rsidRDefault="00794AFD" w:rsidP="00794AFD">
      <w:pPr>
        <w:spacing w:after="120"/>
        <w:jc w:val="both"/>
        <w:rPr>
          <w:rFonts w:asciiTheme="minorHAnsi" w:hAnsiTheme="minorHAnsi"/>
          <w:sz w:val="20"/>
          <w:szCs w:val="20"/>
          <w:lang w:eastAsia="en-GB"/>
        </w:rPr>
      </w:pPr>
      <w:r w:rsidRPr="001C5950">
        <w:rPr>
          <w:rFonts w:asciiTheme="minorHAnsi" w:hAnsiTheme="minorHAnsi"/>
          <w:sz w:val="20"/>
          <w:szCs w:val="20"/>
          <w:lang w:eastAsia="en-GB"/>
        </w:rPr>
        <w:t xml:space="preserve">Since the date of acquisition to 31 December </w:t>
      </w:r>
      <w:r>
        <w:rPr>
          <w:rFonts w:asciiTheme="minorHAnsi" w:hAnsiTheme="minorHAnsi"/>
          <w:sz w:val="20"/>
          <w:szCs w:val="20"/>
          <w:lang w:eastAsia="en-GB"/>
        </w:rPr>
        <w:t>2018</w:t>
      </w:r>
      <w:r w:rsidRPr="001C5950">
        <w:rPr>
          <w:rFonts w:asciiTheme="minorHAnsi" w:hAnsiTheme="minorHAnsi"/>
          <w:sz w:val="20"/>
          <w:szCs w:val="20"/>
          <w:lang w:eastAsia="en-GB"/>
        </w:rPr>
        <w:t xml:space="preserve">, the FanDuel </w:t>
      </w:r>
      <w:r>
        <w:rPr>
          <w:rFonts w:asciiTheme="minorHAnsi" w:hAnsiTheme="minorHAnsi"/>
          <w:sz w:val="20"/>
          <w:szCs w:val="20"/>
          <w:lang w:eastAsia="en-GB"/>
        </w:rPr>
        <w:t>DFS</w:t>
      </w:r>
      <w:r w:rsidRPr="001C5950">
        <w:rPr>
          <w:rFonts w:asciiTheme="minorHAnsi" w:hAnsiTheme="minorHAnsi"/>
          <w:sz w:val="20"/>
          <w:szCs w:val="20"/>
          <w:lang w:eastAsia="en-GB"/>
        </w:rPr>
        <w:t xml:space="preserve"> business has contributed £57.3m of revenue.</w:t>
      </w:r>
    </w:p>
    <w:p w14:paraId="37BECCFD" w14:textId="77777777" w:rsidR="00794AFD" w:rsidRDefault="00794AFD" w:rsidP="00794AFD">
      <w:pPr>
        <w:spacing w:after="120"/>
        <w:jc w:val="both"/>
        <w:rPr>
          <w:rFonts w:asciiTheme="minorHAnsi" w:hAnsiTheme="minorHAnsi"/>
          <w:sz w:val="20"/>
          <w:szCs w:val="20"/>
          <w:lang w:eastAsia="en-GB"/>
        </w:rPr>
      </w:pPr>
      <w:r w:rsidRPr="001C5950">
        <w:rPr>
          <w:rFonts w:asciiTheme="minorHAnsi" w:hAnsiTheme="minorHAnsi"/>
          <w:sz w:val="20"/>
          <w:szCs w:val="20"/>
          <w:lang w:eastAsia="en-GB"/>
        </w:rPr>
        <w:t xml:space="preserve">If the FanDuel acquisition had occurred on 1 January </w:t>
      </w:r>
      <w:r>
        <w:rPr>
          <w:rFonts w:asciiTheme="minorHAnsi" w:hAnsiTheme="minorHAnsi"/>
          <w:sz w:val="20"/>
          <w:szCs w:val="20"/>
          <w:lang w:eastAsia="en-GB"/>
        </w:rPr>
        <w:t>2018</w:t>
      </w:r>
      <w:r w:rsidRPr="001C5950">
        <w:rPr>
          <w:rFonts w:asciiTheme="minorHAnsi" w:hAnsiTheme="minorHAnsi"/>
          <w:sz w:val="20"/>
          <w:szCs w:val="20"/>
          <w:lang w:eastAsia="en-GB"/>
        </w:rPr>
        <w:t xml:space="preserve">, then their contribution to revenue would have been £101.5m for the year ended 31 December </w:t>
      </w:r>
      <w:r>
        <w:rPr>
          <w:rFonts w:asciiTheme="minorHAnsi" w:hAnsiTheme="minorHAnsi"/>
          <w:sz w:val="20"/>
          <w:szCs w:val="20"/>
          <w:lang w:eastAsia="en-GB"/>
        </w:rPr>
        <w:t>2018</w:t>
      </w:r>
      <w:r w:rsidRPr="001C5950">
        <w:rPr>
          <w:rFonts w:asciiTheme="minorHAnsi" w:hAnsiTheme="minorHAnsi"/>
          <w:sz w:val="20"/>
          <w:szCs w:val="20"/>
          <w:lang w:eastAsia="en-GB"/>
        </w:rPr>
        <w:t>.</w:t>
      </w:r>
    </w:p>
    <w:p w14:paraId="2DCADB68" w14:textId="77777777" w:rsidR="00794AFD" w:rsidRDefault="00794AFD" w:rsidP="00794AFD">
      <w:pPr>
        <w:widowControl/>
        <w:autoSpaceDE/>
        <w:autoSpaceDN/>
        <w:adjustRightInd/>
        <w:rPr>
          <w:rFonts w:asciiTheme="minorHAnsi" w:hAnsiTheme="minorHAnsi"/>
          <w:sz w:val="20"/>
          <w:szCs w:val="20"/>
          <w:lang w:eastAsia="en-GB"/>
        </w:rPr>
      </w:pPr>
      <w:r w:rsidRPr="001C5950">
        <w:rPr>
          <w:rFonts w:asciiTheme="minorHAnsi" w:hAnsiTheme="minorHAnsi"/>
          <w:sz w:val="20"/>
          <w:szCs w:val="20"/>
          <w:lang w:eastAsia="en-GB"/>
        </w:rPr>
        <w:t xml:space="preserve">FanDuel’s profit cannot be readily defined due to </w:t>
      </w:r>
      <w:r w:rsidRPr="00E21284">
        <w:rPr>
          <w:rFonts w:asciiTheme="minorHAnsi" w:hAnsiTheme="minorHAnsi"/>
          <w:sz w:val="20"/>
          <w:szCs w:val="20"/>
          <w:lang w:eastAsia="en-GB"/>
        </w:rPr>
        <w:t xml:space="preserve">the integration of the businesses post the acquisition. The proforma profit for the combined US Group is disclosed on page </w:t>
      </w:r>
      <w:r>
        <w:rPr>
          <w:rFonts w:asciiTheme="minorHAnsi" w:hAnsiTheme="minorHAnsi"/>
          <w:sz w:val="20"/>
          <w:szCs w:val="20"/>
          <w:lang w:eastAsia="en-GB"/>
        </w:rPr>
        <w:t>19</w:t>
      </w:r>
      <w:r w:rsidRPr="00E21284">
        <w:rPr>
          <w:rFonts w:asciiTheme="minorHAnsi" w:hAnsiTheme="minorHAnsi"/>
          <w:sz w:val="20"/>
          <w:szCs w:val="20"/>
          <w:lang w:eastAsia="en-GB"/>
        </w:rPr>
        <w:t xml:space="preserve"> of the</w:t>
      </w:r>
      <w:r>
        <w:rPr>
          <w:rFonts w:asciiTheme="minorHAnsi" w:hAnsiTheme="minorHAnsi"/>
          <w:sz w:val="20"/>
          <w:szCs w:val="20"/>
          <w:lang w:eastAsia="en-GB"/>
        </w:rPr>
        <w:t xml:space="preserve"> preliminary statement</w:t>
      </w:r>
      <w:r w:rsidRPr="001C5950">
        <w:rPr>
          <w:rFonts w:asciiTheme="minorHAnsi" w:hAnsiTheme="minorHAnsi"/>
          <w:sz w:val="20"/>
          <w:szCs w:val="20"/>
          <w:lang w:eastAsia="en-GB"/>
        </w:rPr>
        <w:t xml:space="preserve">. Acquisition related costs of </w:t>
      </w:r>
      <w:r w:rsidRPr="00FC3D06">
        <w:rPr>
          <w:rFonts w:asciiTheme="minorHAnsi" w:hAnsiTheme="minorHAnsi"/>
          <w:sz w:val="20"/>
          <w:szCs w:val="20"/>
          <w:lang w:eastAsia="en-GB"/>
        </w:rPr>
        <w:t>£7.</w:t>
      </w:r>
      <w:r w:rsidRPr="001C5950">
        <w:rPr>
          <w:rFonts w:asciiTheme="minorHAnsi" w:hAnsiTheme="minorHAnsi"/>
          <w:sz w:val="20"/>
          <w:szCs w:val="20"/>
          <w:lang w:eastAsia="en-GB"/>
        </w:rPr>
        <w:t>9m were incurred in respect of this transaction and are disclosed within restructuring and strategic initiatives in Note 4</w:t>
      </w:r>
      <w:r w:rsidRPr="00FC3D06">
        <w:rPr>
          <w:rFonts w:asciiTheme="minorHAnsi" w:hAnsiTheme="minorHAnsi"/>
          <w:sz w:val="20"/>
          <w:szCs w:val="20"/>
          <w:lang w:eastAsia="en-GB"/>
        </w:rPr>
        <w:t xml:space="preserve"> o</w:t>
      </w:r>
      <w:r w:rsidRPr="001C5950">
        <w:rPr>
          <w:rFonts w:asciiTheme="minorHAnsi" w:hAnsiTheme="minorHAnsi"/>
          <w:sz w:val="20"/>
          <w:szCs w:val="20"/>
          <w:lang w:eastAsia="en-GB"/>
        </w:rPr>
        <w:t>f the Consolidated Financial Statements.</w:t>
      </w:r>
    </w:p>
    <w:p w14:paraId="5A4FE1EC" w14:textId="77777777" w:rsidR="00794AFD" w:rsidRPr="001C5950" w:rsidRDefault="00794AFD" w:rsidP="00794AFD">
      <w:pPr>
        <w:widowControl/>
        <w:autoSpaceDE/>
        <w:autoSpaceDN/>
        <w:adjustRightInd/>
        <w:rPr>
          <w:rFonts w:asciiTheme="minorHAnsi" w:hAnsiTheme="minorHAnsi"/>
          <w:sz w:val="20"/>
          <w:szCs w:val="20"/>
          <w:lang w:eastAsia="en-GB"/>
        </w:rPr>
      </w:pPr>
    </w:p>
    <w:p w14:paraId="459AFCF7" w14:textId="77777777" w:rsidR="00794AFD" w:rsidRDefault="00794AFD" w:rsidP="00794AFD">
      <w:pPr>
        <w:widowControl/>
        <w:autoSpaceDE/>
        <w:autoSpaceDN/>
        <w:adjustRightInd/>
        <w:rPr>
          <w:rFonts w:asciiTheme="minorHAnsi" w:hAnsiTheme="minorHAnsi"/>
          <w:sz w:val="20"/>
          <w:szCs w:val="20"/>
          <w:lang w:eastAsia="en-GB"/>
        </w:rPr>
      </w:pPr>
      <w:r>
        <w:rPr>
          <w:rFonts w:asciiTheme="minorHAnsi" w:hAnsiTheme="minorHAnsi"/>
          <w:sz w:val="20"/>
          <w:szCs w:val="20"/>
          <w:lang w:eastAsia="en-GB"/>
        </w:rPr>
        <w:br w:type="page"/>
      </w:r>
    </w:p>
    <w:p w14:paraId="65E76E96" w14:textId="77777777" w:rsidR="00794AFD" w:rsidRPr="00A604FB" w:rsidRDefault="00794AFD" w:rsidP="00794AFD">
      <w:pPr>
        <w:widowControl/>
        <w:autoSpaceDE/>
        <w:autoSpaceDN/>
        <w:adjustRightInd/>
        <w:rPr>
          <w:rFonts w:asciiTheme="minorHAnsi" w:hAnsiTheme="minorHAnsi" w:cs="Times New Roman"/>
          <w:sz w:val="20"/>
          <w:szCs w:val="20"/>
          <w:lang w:val="en-IE"/>
        </w:rPr>
      </w:pPr>
      <w:r>
        <w:rPr>
          <w:rFonts w:asciiTheme="minorHAnsi" w:hAnsiTheme="minorHAnsi" w:cs="Times New Roman"/>
          <w:b/>
          <w:sz w:val="20"/>
          <w:szCs w:val="20"/>
          <w:lang w:val="en-IE"/>
        </w:rPr>
        <w:lastRenderedPageBreak/>
        <w:t>8</w:t>
      </w:r>
      <w:r w:rsidRPr="001C5950">
        <w:rPr>
          <w:rFonts w:asciiTheme="minorHAnsi" w:hAnsiTheme="minorHAnsi" w:cs="Times New Roman"/>
          <w:b/>
          <w:bCs/>
          <w:sz w:val="20"/>
          <w:szCs w:val="20"/>
          <w:lang w:val="en-IE"/>
        </w:rPr>
        <w:t>. Business combinations (continued)</w:t>
      </w:r>
    </w:p>
    <w:p w14:paraId="7A8A6F0B" w14:textId="77777777" w:rsidR="00794AFD" w:rsidRPr="00B261EF" w:rsidRDefault="00794AFD" w:rsidP="00794AFD">
      <w:pPr>
        <w:widowControl/>
        <w:autoSpaceDE/>
        <w:autoSpaceDN/>
        <w:adjustRightInd/>
        <w:rPr>
          <w:rFonts w:asciiTheme="minorHAnsi" w:hAnsiTheme="minorHAnsi"/>
          <w:sz w:val="12"/>
          <w:szCs w:val="12"/>
          <w:lang w:eastAsia="en-GB"/>
        </w:rPr>
      </w:pPr>
    </w:p>
    <w:p w14:paraId="2BD2F12F" w14:textId="77777777" w:rsidR="00794AFD" w:rsidRPr="00FC3D06" w:rsidRDefault="00794AFD" w:rsidP="00794AFD">
      <w:pPr>
        <w:rPr>
          <w:rFonts w:asciiTheme="minorHAnsi" w:hAnsiTheme="minorHAnsi" w:cs="Times New Roman"/>
          <w:b/>
          <w:bCs/>
          <w:sz w:val="20"/>
          <w:szCs w:val="20"/>
          <w:lang w:val="en-IE"/>
        </w:rPr>
      </w:pPr>
      <w:r w:rsidRPr="001C5950">
        <w:rPr>
          <w:rFonts w:asciiTheme="minorHAnsi" w:hAnsiTheme="minorHAnsi" w:cs="Times New Roman"/>
          <w:sz w:val="20"/>
          <w:szCs w:val="20"/>
          <w:lang w:val="en-IE"/>
        </w:rPr>
        <w:t>Details of the fair value of identifiable assets and liabilities acquired, purchase consideration and goodwill are as follows:</w:t>
      </w:r>
    </w:p>
    <w:p w14:paraId="567B5909" w14:textId="77777777" w:rsidR="00794AFD" w:rsidRPr="00B261EF" w:rsidRDefault="00794AFD" w:rsidP="00794AFD">
      <w:pPr>
        <w:pStyle w:val="BodyText"/>
        <w:rPr>
          <w:rFonts w:asciiTheme="minorHAnsi" w:hAnsiTheme="minorHAnsi" w:cs="Times New Roman"/>
          <w:sz w:val="12"/>
          <w:szCs w:val="12"/>
          <w:lang w:val="en-IE"/>
        </w:rPr>
      </w:pPr>
    </w:p>
    <w:p w14:paraId="55139A9D" w14:textId="77777777" w:rsidR="00794AFD" w:rsidRPr="001C5950" w:rsidRDefault="00794AFD" w:rsidP="00794AFD">
      <w:pPr>
        <w:pStyle w:val="BodyText"/>
        <w:rPr>
          <w:rFonts w:asciiTheme="minorHAnsi" w:hAnsiTheme="minorHAnsi" w:cs="Times New Roman"/>
          <w:b/>
          <w:sz w:val="20"/>
          <w:szCs w:val="20"/>
          <w:lang w:val="en-IE"/>
        </w:rPr>
      </w:pPr>
      <w:r w:rsidRPr="001C5950">
        <w:rPr>
          <w:rFonts w:asciiTheme="minorHAnsi" w:hAnsiTheme="minorHAnsi" w:cs="Times New Roman"/>
          <w:sz w:val="20"/>
          <w:szCs w:val="20"/>
          <w:lang w:val="en-IE"/>
        </w:rPr>
        <w:t xml:space="preserve">Included within the intangible assets were £171.2m of separately identifiable intangibles comprising brands, customer relations and technology acquired as part of the acquisition, with the additional effect of a deferred tax liability of £35.9m thereon. These intangible assets are being amortised over their useful economic lives of up to ten years. Receivables acquired amounted to £3.6m. The book value equated to the fair value as all amounts are expected to be received. </w:t>
      </w:r>
    </w:p>
    <w:p w14:paraId="6C1F6BE6" w14:textId="77777777" w:rsidR="00794AFD" w:rsidRPr="001C5950" w:rsidRDefault="00794AFD" w:rsidP="00794AFD">
      <w:pPr>
        <w:pStyle w:val="BodyText"/>
        <w:rPr>
          <w:rFonts w:asciiTheme="minorHAnsi" w:hAnsiTheme="minorHAnsi" w:cs="Times New Roman"/>
          <w:sz w:val="20"/>
          <w:szCs w:val="20"/>
          <w:lang w:val="en-IE"/>
        </w:rPr>
      </w:pPr>
    </w:p>
    <w:p w14:paraId="0C7B41DB" w14:textId="77777777" w:rsidR="00794AFD" w:rsidRPr="001C5950" w:rsidRDefault="00794AFD" w:rsidP="00794AFD">
      <w:pPr>
        <w:pStyle w:val="BodyText"/>
        <w:rPr>
          <w:rFonts w:asciiTheme="minorHAnsi" w:hAnsiTheme="minorHAnsi" w:cs="Times New Roman"/>
          <w:sz w:val="20"/>
          <w:szCs w:val="20"/>
          <w:lang w:val="en-IE"/>
        </w:rPr>
      </w:pPr>
      <w:r w:rsidRPr="001C5950">
        <w:rPr>
          <w:rFonts w:asciiTheme="minorHAnsi" w:hAnsiTheme="minorHAnsi" w:cs="Times New Roman"/>
          <w:sz w:val="20"/>
          <w:szCs w:val="20"/>
          <w:lang w:val="en-IE"/>
        </w:rPr>
        <w:t xml:space="preserve">The main factors leading to the recognition of goodwill (none of which is deductible for tax purposes) is growth by combining business activities, a strong workforce, leveraging existing products and synergy savings of the merged operations. </w:t>
      </w:r>
      <w:r w:rsidRPr="001C5950">
        <w:rPr>
          <w:rFonts w:asciiTheme="minorHAnsi" w:hAnsiTheme="minorHAnsi"/>
          <w:sz w:val="20"/>
          <w:lang w:val="en-IE"/>
        </w:rPr>
        <w:t>The goodwill has been allocated to the existing US CGU and it has been deemed that a separate CGU is not appropriate.</w:t>
      </w:r>
    </w:p>
    <w:p w14:paraId="6F9A263A" w14:textId="77777777" w:rsidR="00794AFD" w:rsidRPr="00FC3D06" w:rsidRDefault="00794AFD" w:rsidP="00794AFD">
      <w:pPr>
        <w:widowControl/>
        <w:autoSpaceDE/>
        <w:autoSpaceDN/>
        <w:adjustRightInd/>
        <w:rPr>
          <w:rFonts w:asciiTheme="minorHAnsi" w:hAnsiTheme="minorHAnsi" w:cs="Times New Roman"/>
          <w:sz w:val="20"/>
          <w:szCs w:val="20"/>
          <w:lang w:val="en-IE"/>
        </w:rPr>
      </w:pPr>
    </w:p>
    <w:tbl>
      <w:tblPr>
        <w:tblW w:w="7689" w:type="dxa"/>
        <w:tblInd w:w="108" w:type="dxa"/>
        <w:tblLayout w:type="fixed"/>
        <w:tblLook w:val="0000" w:firstRow="0" w:lastRow="0" w:firstColumn="0" w:lastColumn="0" w:noHBand="0" w:noVBand="0"/>
      </w:tblPr>
      <w:tblGrid>
        <w:gridCol w:w="6413"/>
        <w:gridCol w:w="1276"/>
      </w:tblGrid>
      <w:tr w:rsidR="00794AFD" w:rsidRPr="001C5950" w14:paraId="2827163F" w14:textId="77777777" w:rsidTr="00794AFD">
        <w:trPr>
          <w:trHeight w:val="432"/>
        </w:trPr>
        <w:tc>
          <w:tcPr>
            <w:tcW w:w="6413" w:type="dxa"/>
            <w:tcBorders>
              <w:top w:val="single" w:sz="4" w:space="0" w:color="auto"/>
              <w:left w:val="nil"/>
              <w:bottom w:val="single" w:sz="4" w:space="0" w:color="auto"/>
              <w:right w:val="nil"/>
            </w:tcBorders>
          </w:tcPr>
          <w:p w14:paraId="07B97DB4" w14:textId="77777777" w:rsidR="00794AFD" w:rsidRPr="001C5950" w:rsidRDefault="00794AFD" w:rsidP="00794AFD">
            <w:pPr>
              <w:ind w:left="-108"/>
              <w:jc w:val="both"/>
              <w:rPr>
                <w:rFonts w:asciiTheme="minorHAnsi" w:hAnsiTheme="minorHAnsi" w:cs="Times New Roman"/>
                <w:sz w:val="20"/>
                <w:szCs w:val="20"/>
              </w:rPr>
            </w:pPr>
          </w:p>
        </w:tc>
        <w:tc>
          <w:tcPr>
            <w:tcW w:w="1276" w:type="dxa"/>
            <w:tcBorders>
              <w:top w:val="single" w:sz="4" w:space="0" w:color="auto"/>
              <w:left w:val="nil"/>
              <w:bottom w:val="single" w:sz="4" w:space="0" w:color="auto"/>
              <w:right w:val="nil"/>
            </w:tcBorders>
          </w:tcPr>
          <w:p w14:paraId="721814F7" w14:textId="77777777" w:rsidR="00794AFD" w:rsidRPr="001C595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F</w:t>
            </w:r>
            <w:r w:rsidRPr="001C5950">
              <w:rPr>
                <w:rFonts w:asciiTheme="minorHAnsi" w:hAnsiTheme="minorHAnsi" w:cs="Times New Roman"/>
                <w:b/>
                <w:bCs/>
                <w:sz w:val="20"/>
                <w:szCs w:val="20"/>
              </w:rPr>
              <w:t>air values as at</w:t>
            </w:r>
          </w:p>
          <w:p w14:paraId="20E938E0"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 xml:space="preserve">10 July </w:t>
            </w:r>
            <w:r>
              <w:rPr>
                <w:rFonts w:asciiTheme="minorHAnsi" w:hAnsiTheme="minorHAnsi" w:cs="Times New Roman"/>
                <w:b/>
                <w:bCs/>
                <w:sz w:val="20"/>
                <w:szCs w:val="20"/>
              </w:rPr>
              <w:t>2018</w:t>
            </w:r>
          </w:p>
          <w:p w14:paraId="2E37A7A4"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
                <w:bCs/>
                <w:sz w:val="20"/>
                <w:szCs w:val="20"/>
              </w:rPr>
              <w:t>£m</w:t>
            </w:r>
          </w:p>
        </w:tc>
      </w:tr>
      <w:tr w:rsidR="00794AFD" w:rsidRPr="001C5950" w14:paraId="6E9037CF" w14:textId="77777777" w:rsidTr="00794AFD">
        <w:trPr>
          <w:trHeight w:val="80"/>
        </w:trPr>
        <w:tc>
          <w:tcPr>
            <w:tcW w:w="6413" w:type="dxa"/>
            <w:tcBorders>
              <w:top w:val="single" w:sz="4" w:space="0" w:color="auto"/>
              <w:left w:val="nil"/>
              <w:bottom w:val="nil"/>
              <w:right w:val="nil"/>
            </w:tcBorders>
          </w:tcPr>
          <w:p w14:paraId="7E8D364A" w14:textId="77777777" w:rsidR="00794AFD" w:rsidRPr="001C5950" w:rsidRDefault="00794AFD" w:rsidP="00794AFD">
            <w:pPr>
              <w:spacing w:after="120"/>
              <w:ind w:left="-108"/>
              <w:rPr>
                <w:rFonts w:asciiTheme="minorHAnsi" w:hAnsiTheme="minorHAnsi" w:cs="Times New Roman"/>
                <w:b/>
                <w:bCs/>
                <w:sz w:val="20"/>
                <w:szCs w:val="20"/>
              </w:rPr>
            </w:pPr>
            <w:r w:rsidRPr="001C5950">
              <w:rPr>
                <w:rFonts w:asciiTheme="minorHAnsi" w:hAnsiTheme="minorHAnsi" w:cs="Times New Roman"/>
                <w:b/>
                <w:bCs/>
                <w:sz w:val="20"/>
                <w:szCs w:val="20"/>
              </w:rPr>
              <w:t>Assets</w:t>
            </w:r>
          </w:p>
        </w:tc>
        <w:tc>
          <w:tcPr>
            <w:tcW w:w="1276" w:type="dxa"/>
            <w:tcBorders>
              <w:top w:val="single" w:sz="4" w:space="0" w:color="auto"/>
              <w:left w:val="nil"/>
              <w:bottom w:val="nil"/>
              <w:right w:val="nil"/>
            </w:tcBorders>
          </w:tcPr>
          <w:p w14:paraId="0A68B90F" w14:textId="77777777" w:rsidR="00794AFD" w:rsidRPr="001C5950" w:rsidRDefault="00794AFD" w:rsidP="00794AFD">
            <w:pPr>
              <w:jc w:val="right"/>
              <w:rPr>
                <w:rFonts w:asciiTheme="minorHAnsi" w:hAnsiTheme="minorHAnsi" w:cs="Times New Roman"/>
                <w:bCs/>
                <w:sz w:val="20"/>
                <w:szCs w:val="20"/>
              </w:rPr>
            </w:pPr>
          </w:p>
        </w:tc>
      </w:tr>
      <w:tr w:rsidR="00794AFD" w:rsidRPr="001C5950" w14:paraId="5DBE55F5" w14:textId="77777777" w:rsidTr="00794AFD">
        <w:tc>
          <w:tcPr>
            <w:tcW w:w="6413" w:type="dxa"/>
            <w:tcBorders>
              <w:top w:val="nil"/>
              <w:left w:val="nil"/>
              <w:bottom w:val="nil"/>
              <w:right w:val="nil"/>
            </w:tcBorders>
          </w:tcPr>
          <w:p w14:paraId="2DB9E55B"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Property, plant and equipment</w:t>
            </w:r>
          </w:p>
        </w:tc>
        <w:tc>
          <w:tcPr>
            <w:tcW w:w="1276" w:type="dxa"/>
            <w:tcBorders>
              <w:top w:val="nil"/>
              <w:left w:val="nil"/>
              <w:bottom w:val="nil"/>
              <w:right w:val="nil"/>
            </w:tcBorders>
          </w:tcPr>
          <w:p w14:paraId="4FA08FED"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3.4</w:t>
            </w:r>
          </w:p>
        </w:tc>
      </w:tr>
      <w:tr w:rsidR="00794AFD" w:rsidRPr="001C5950" w14:paraId="2CE94DE0" w14:textId="77777777" w:rsidTr="00794AFD">
        <w:tc>
          <w:tcPr>
            <w:tcW w:w="6413" w:type="dxa"/>
            <w:tcBorders>
              <w:top w:val="nil"/>
              <w:left w:val="nil"/>
              <w:bottom w:val="single" w:sz="4" w:space="0" w:color="auto"/>
              <w:right w:val="nil"/>
            </w:tcBorders>
          </w:tcPr>
          <w:p w14:paraId="69F47031"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Intangible assets</w:t>
            </w:r>
          </w:p>
        </w:tc>
        <w:tc>
          <w:tcPr>
            <w:tcW w:w="1276" w:type="dxa"/>
            <w:tcBorders>
              <w:top w:val="nil"/>
              <w:left w:val="nil"/>
              <w:bottom w:val="single" w:sz="4" w:space="0" w:color="auto"/>
              <w:right w:val="nil"/>
            </w:tcBorders>
          </w:tcPr>
          <w:p w14:paraId="6180FFFC"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178.1</w:t>
            </w:r>
          </w:p>
        </w:tc>
      </w:tr>
      <w:tr w:rsidR="00794AFD" w:rsidRPr="001C5950" w14:paraId="784A3A07" w14:textId="77777777" w:rsidTr="00794AFD">
        <w:tc>
          <w:tcPr>
            <w:tcW w:w="6413" w:type="dxa"/>
            <w:tcBorders>
              <w:top w:val="single" w:sz="4" w:space="0" w:color="auto"/>
              <w:left w:val="nil"/>
              <w:bottom w:val="single" w:sz="4" w:space="0" w:color="auto"/>
              <w:right w:val="nil"/>
            </w:tcBorders>
          </w:tcPr>
          <w:p w14:paraId="0D5D505D" w14:textId="77777777" w:rsidR="00794AFD" w:rsidRPr="001C5950" w:rsidRDefault="00794AFD" w:rsidP="00794AFD">
            <w:pPr>
              <w:ind w:left="-108"/>
              <w:rPr>
                <w:rFonts w:asciiTheme="minorHAnsi" w:hAnsiTheme="minorHAnsi" w:cs="Times New Roman"/>
                <w:b/>
                <w:bCs/>
                <w:sz w:val="20"/>
                <w:szCs w:val="20"/>
              </w:rPr>
            </w:pPr>
            <w:r w:rsidRPr="001C5950">
              <w:rPr>
                <w:rFonts w:asciiTheme="minorHAnsi" w:hAnsiTheme="minorHAnsi" w:cs="Times New Roman"/>
                <w:b/>
                <w:bCs/>
                <w:sz w:val="20"/>
                <w:szCs w:val="20"/>
              </w:rPr>
              <w:t>Total non-current assets</w:t>
            </w:r>
          </w:p>
        </w:tc>
        <w:tc>
          <w:tcPr>
            <w:tcW w:w="1276" w:type="dxa"/>
            <w:tcBorders>
              <w:top w:val="single" w:sz="4" w:space="0" w:color="auto"/>
              <w:left w:val="nil"/>
              <w:bottom w:val="single" w:sz="4" w:space="0" w:color="auto"/>
              <w:right w:val="nil"/>
            </w:tcBorders>
          </w:tcPr>
          <w:p w14:paraId="4FE0A5EC" w14:textId="77777777" w:rsidR="00794AFD" w:rsidRPr="001C5950" w:rsidRDefault="00794AFD" w:rsidP="00794AFD">
            <w:pPr>
              <w:tabs>
                <w:tab w:val="center" w:pos="786"/>
                <w:tab w:val="right" w:pos="1572"/>
              </w:tabs>
              <w:jc w:val="right"/>
              <w:rPr>
                <w:rFonts w:asciiTheme="minorHAnsi" w:hAnsiTheme="minorHAnsi" w:cs="Times New Roman"/>
                <w:bCs/>
                <w:sz w:val="20"/>
                <w:szCs w:val="20"/>
              </w:rPr>
            </w:pPr>
            <w:r w:rsidRPr="001C5950">
              <w:rPr>
                <w:rFonts w:asciiTheme="minorHAnsi" w:hAnsiTheme="minorHAnsi" w:cs="Times New Roman"/>
                <w:bCs/>
                <w:sz w:val="20"/>
                <w:szCs w:val="20"/>
              </w:rPr>
              <w:t>181.5</w:t>
            </w:r>
          </w:p>
        </w:tc>
      </w:tr>
      <w:tr w:rsidR="00794AFD" w:rsidRPr="001C5950" w14:paraId="7F18AE92" w14:textId="77777777" w:rsidTr="00794AFD">
        <w:trPr>
          <w:trHeight w:val="331"/>
        </w:trPr>
        <w:tc>
          <w:tcPr>
            <w:tcW w:w="6413" w:type="dxa"/>
            <w:tcBorders>
              <w:top w:val="single" w:sz="4" w:space="0" w:color="auto"/>
              <w:left w:val="nil"/>
              <w:right w:val="nil"/>
            </w:tcBorders>
          </w:tcPr>
          <w:p w14:paraId="52A122F1" w14:textId="77777777" w:rsidR="00794AFD" w:rsidRPr="001C5950" w:rsidRDefault="00794AFD" w:rsidP="00794AFD">
            <w:pPr>
              <w:ind w:left="-108"/>
              <w:rPr>
                <w:rFonts w:asciiTheme="minorHAnsi" w:hAnsiTheme="minorHAnsi" w:cs="Times New Roman"/>
                <w:sz w:val="20"/>
                <w:szCs w:val="20"/>
              </w:rPr>
            </w:pPr>
          </w:p>
          <w:p w14:paraId="0AC64FE5"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Trade and other receivables</w:t>
            </w:r>
          </w:p>
        </w:tc>
        <w:tc>
          <w:tcPr>
            <w:tcW w:w="1276" w:type="dxa"/>
            <w:tcBorders>
              <w:top w:val="single" w:sz="4" w:space="0" w:color="auto"/>
              <w:left w:val="nil"/>
              <w:right w:val="nil"/>
            </w:tcBorders>
          </w:tcPr>
          <w:p w14:paraId="74F3BD95" w14:textId="77777777" w:rsidR="00794AFD" w:rsidRPr="001C5950" w:rsidRDefault="00794AFD" w:rsidP="00794AFD">
            <w:pPr>
              <w:jc w:val="right"/>
              <w:rPr>
                <w:rFonts w:asciiTheme="minorHAnsi" w:hAnsiTheme="minorHAnsi" w:cs="Times New Roman"/>
                <w:bCs/>
                <w:sz w:val="20"/>
                <w:szCs w:val="20"/>
              </w:rPr>
            </w:pPr>
          </w:p>
          <w:p w14:paraId="45BD0294"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5.0</w:t>
            </w:r>
          </w:p>
        </w:tc>
      </w:tr>
      <w:tr w:rsidR="00794AFD" w:rsidRPr="001C5950" w14:paraId="39F38833" w14:textId="77777777" w:rsidTr="00794AFD">
        <w:trPr>
          <w:trHeight w:val="178"/>
        </w:trPr>
        <w:tc>
          <w:tcPr>
            <w:tcW w:w="6413" w:type="dxa"/>
            <w:tcBorders>
              <w:left w:val="nil"/>
              <w:right w:val="nil"/>
            </w:tcBorders>
          </w:tcPr>
          <w:p w14:paraId="70EE09D4"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Financial assets – restricted cash</w:t>
            </w:r>
          </w:p>
        </w:tc>
        <w:tc>
          <w:tcPr>
            <w:tcW w:w="1276" w:type="dxa"/>
            <w:tcBorders>
              <w:left w:val="nil"/>
              <w:right w:val="nil"/>
            </w:tcBorders>
          </w:tcPr>
          <w:p w14:paraId="76FBEE57"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45.6</w:t>
            </w:r>
          </w:p>
        </w:tc>
      </w:tr>
      <w:tr w:rsidR="00794AFD" w:rsidRPr="001C5950" w14:paraId="1F0EF33F" w14:textId="77777777" w:rsidTr="00794AFD">
        <w:trPr>
          <w:trHeight w:val="225"/>
        </w:trPr>
        <w:tc>
          <w:tcPr>
            <w:tcW w:w="6413" w:type="dxa"/>
            <w:tcBorders>
              <w:left w:val="nil"/>
              <w:right w:val="nil"/>
            </w:tcBorders>
          </w:tcPr>
          <w:p w14:paraId="4EBCEB76"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Cash and cash equivalents acquired</w:t>
            </w:r>
          </w:p>
        </w:tc>
        <w:tc>
          <w:tcPr>
            <w:tcW w:w="1276" w:type="dxa"/>
            <w:tcBorders>
              <w:left w:val="nil"/>
              <w:right w:val="nil"/>
            </w:tcBorders>
          </w:tcPr>
          <w:p w14:paraId="40A1ED07"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20.4</w:t>
            </w:r>
          </w:p>
        </w:tc>
      </w:tr>
      <w:tr w:rsidR="00794AFD" w:rsidRPr="001C5950" w14:paraId="287807AB" w14:textId="77777777" w:rsidTr="00794AFD">
        <w:trPr>
          <w:trHeight w:val="215"/>
        </w:trPr>
        <w:tc>
          <w:tcPr>
            <w:tcW w:w="6413" w:type="dxa"/>
            <w:tcBorders>
              <w:top w:val="single" w:sz="4" w:space="0" w:color="auto"/>
              <w:left w:val="nil"/>
              <w:bottom w:val="single" w:sz="4" w:space="0" w:color="auto"/>
              <w:right w:val="nil"/>
            </w:tcBorders>
          </w:tcPr>
          <w:p w14:paraId="1B96793A" w14:textId="77777777" w:rsidR="00794AFD" w:rsidRPr="001C5950" w:rsidRDefault="00794AFD" w:rsidP="00794AFD">
            <w:pPr>
              <w:ind w:left="-108"/>
              <w:rPr>
                <w:rFonts w:asciiTheme="minorHAnsi" w:hAnsiTheme="minorHAnsi" w:cs="Times New Roman"/>
                <w:b/>
                <w:bCs/>
                <w:sz w:val="20"/>
                <w:szCs w:val="20"/>
              </w:rPr>
            </w:pPr>
            <w:r w:rsidRPr="001C5950">
              <w:rPr>
                <w:rFonts w:asciiTheme="minorHAnsi" w:hAnsiTheme="minorHAnsi" w:cs="Times New Roman"/>
                <w:b/>
                <w:bCs/>
                <w:sz w:val="20"/>
                <w:szCs w:val="20"/>
              </w:rPr>
              <w:t>Total current assets</w:t>
            </w:r>
          </w:p>
        </w:tc>
        <w:tc>
          <w:tcPr>
            <w:tcW w:w="1276" w:type="dxa"/>
            <w:tcBorders>
              <w:top w:val="single" w:sz="4" w:space="0" w:color="auto"/>
              <w:left w:val="nil"/>
              <w:bottom w:val="single" w:sz="4" w:space="0" w:color="auto"/>
              <w:right w:val="nil"/>
            </w:tcBorders>
          </w:tcPr>
          <w:p w14:paraId="76B56887"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71.0</w:t>
            </w:r>
          </w:p>
        </w:tc>
      </w:tr>
      <w:tr w:rsidR="00794AFD" w:rsidRPr="001C5950" w14:paraId="677E548B" w14:textId="77777777" w:rsidTr="00794AFD">
        <w:trPr>
          <w:trHeight w:val="261"/>
        </w:trPr>
        <w:tc>
          <w:tcPr>
            <w:tcW w:w="6413" w:type="dxa"/>
            <w:tcBorders>
              <w:top w:val="single" w:sz="4" w:space="0" w:color="auto"/>
              <w:left w:val="nil"/>
              <w:bottom w:val="single" w:sz="4" w:space="0" w:color="auto"/>
              <w:right w:val="nil"/>
            </w:tcBorders>
          </w:tcPr>
          <w:p w14:paraId="1FCAF215" w14:textId="77777777" w:rsidR="00794AFD" w:rsidRPr="001C5950" w:rsidRDefault="00794AFD" w:rsidP="00794AFD">
            <w:pPr>
              <w:ind w:left="-108"/>
              <w:rPr>
                <w:rFonts w:asciiTheme="minorHAnsi" w:hAnsiTheme="minorHAnsi" w:cs="Times New Roman"/>
                <w:b/>
                <w:bCs/>
                <w:sz w:val="20"/>
                <w:szCs w:val="20"/>
              </w:rPr>
            </w:pPr>
          </w:p>
          <w:p w14:paraId="47B5C3A1" w14:textId="77777777" w:rsidR="00794AFD" w:rsidRPr="001C5950" w:rsidRDefault="00794AFD" w:rsidP="00794AFD">
            <w:pPr>
              <w:ind w:left="-108"/>
              <w:rPr>
                <w:rFonts w:asciiTheme="minorHAnsi" w:hAnsiTheme="minorHAnsi" w:cs="Times New Roman"/>
                <w:b/>
                <w:bCs/>
                <w:sz w:val="20"/>
                <w:szCs w:val="20"/>
              </w:rPr>
            </w:pPr>
            <w:r w:rsidRPr="001C5950">
              <w:rPr>
                <w:rFonts w:asciiTheme="minorHAnsi" w:hAnsiTheme="minorHAnsi" w:cs="Times New Roman"/>
                <w:b/>
                <w:bCs/>
                <w:sz w:val="20"/>
                <w:szCs w:val="20"/>
              </w:rPr>
              <w:t>Total assets</w:t>
            </w:r>
          </w:p>
        </w:tc>
        <w:tc>
          <w:tcPr>
            <w:tcW w:w="1276" w:type="dxa"/>
            <w:tcBorders>
              <w:top w:val="single" w:sz="4" w:space="0" w:color="auto"/>
              <w:left w:val="nil"/>
              <w:bottom w:val="single" w:sz="4" w:space="0" w:color="auto"/>
              <w:right w:val="nil"/>
            </w:tcBorders>
          </w:tcPr>
          <w:p w14:paraId="231ED394" w14:textId="77777777" w:rsidR="00794AFD" w:rsidRPr="001C5950" w:rsidRDefault="00794AFD" w:rsidP="00794AFD">
            <w:pPr>
              <w:jc w:val="right"/>
              <w:rPr>
                <w:rFonts w:asciiTheme="minorHAnsi" w:hAnsiTheme="minorHAnsi" w:cs="Times New Roman"/>
                <w:bCs/>
                <w:sz w:val="20"/>
                <w:szCs w:val="20"/>
              </w:rPr>
            </w:pPr>
          </w:p>
          <w:p w14:paraId="70A7914E"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252.5</w:t>
            </w:r>
          </w:p>
        </w:tc>
      </w:tr>
      <w:tr w:rsidR="00794AFD" w:rsidRPr="001C5950" w14:paraId="444E4E07" w14:textId="77777777" w:rsidTr="00794AFD">
        <w:trPr>
          <w:trHeight w:val="576"/>
        </w:trPr>
        <w:tc>
          <w:tcPr>
            <w:tcW w:w="6413" w:type="dxa"/>
            <w:tcBorders>
              <w:top w:val="single" w:sz="4" w:space="0" w:color="auto"/>
              <w:left w:val="nil"/>
              <w:bottom w:val="nil"/>
              <w:right w:val="nil"/>
            </w:tcBorders>
          </w:tcPr>
          <w:p w14:paraId="747E5865" w14:textId="77777777" w:rsidR="00794AFD" w:rsidRPr="001C5950" w:rsidRDefault="00794AFD" w:rsidP="00794AFD">
            <w:pPr>
              <w:ind w:left="-108"/>
              <w:rPr>
                <w:rFonts w:asciiTheme="minorHAnsi" w:hAnsiTheme="minorHAnsi" w:cs="Times New Roman"/>
                <w:b/>
                <w:bCs/>
                <w:sz w:val="20"/>
                <w:szCs w:val="20"/>
              </w:rPr>
            </w:pPr>
          </w:p>
          <w:p w14:paraId="2E121D38" w14:textId="77777777" w:rsidR="00794AFD" w:rsidRPr="001C5950" w:rsidRDefault="00794AFD" w:rsidP="00794AFD">
            <w:pPr>
              <w:ind w:left="-108"/>
              <w:rPr>
                <w:rFonts w:asciiTheme="minorHAnsi" w:hAnsiTheme="minorHAnsi" w:cs="Times New Roman"/>
                <w:b/>
                <w:bCs/>
                <w:sz w:val="20"/>
                <w:szCs w:val="20"/>
              </w:rPr>
            </w:pPr>
            <w:r w:rsidRPr="001C5950">
              <w:rPr>
                <w:rFonts w:asciiTheme="minorHAnsi" w:hAnsiTheme="minorHAnsi" w:cs="Times New Roman"/>
                <w:b/>
                <w:bCs/>
                <w:sz w:val="20"/>
                <w:szCs w:val="20"/>
              </w:rPr>
              <w:t>Liabilities</w:t>
            </w:r>
          </w:p>
        </w:tc>
        <w:tc>
          <w:tcPr>
            <w:tcW w:w="1276" w:type="dxa"/>
            <w:tcBorders>
              <w:top w:val="single" w:sz="4" w:space="0" w:color="auto"/>
              <w:left w:val="nil"/>
              <w:right w:val="nil"/>
            </w:tcBorders>
          </w:tcPr>
          <w:p w14:paraId="07F7B102" w14:textId="77777777" w:rsidR="00794AFD" w:rsidRPr="001C5950" w:rsidRDefault="00794AFD" w:rsidP="00794AFD">
            <w:pPr>
              <w:jc w:val="right"/>
              <w:rPr>
                <w:rFonts w:asciiTheme="minorHAnsi" w:hAnsiTheme="minorHAnsi" w:cs="Times New Roman"/>
                <w:bCs/>
                <w:sz w:val="20"/>
                <w:szCs w:val="20"/>
              </w:rPr>
            </w:pPr>
          </w:p>
        </w:tc>
      </w:tr>
      <w:tr w:rsidR="00794AFD" w:rsidRPr="001C5950" w14:paraId="0E28CFD9" w14:textId="77777777" w:rsidTr="00794AFD">
        <w:trPr>
          <w:trHeight w:val="185"/>
        </w:trPr>
        <w:tc>
          <w:tcPr>
            <w:tcW w:w="6413" w:type="dxa"/>
            <w:tcBorders>
              <w:top w:val="nil"/>
              <w:left w:val="nil"/>
              <w:bottom w:val="nil"/>
              <w:right w:val="nil"/>
            </w:tcBorders>
          </w:tcPr>
          <w:p w14:paraId="0B143425"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Trade and other payables</w:t>
            </w:r>
          </w:p>
        </w:tc>
        <w:tc>
          <w:tcPr>
            <w:tcW w:w="1276" w:type="dxa"/>
            <w:tcBorders>
              <w:left w:val="nil"/>
              <w:right w:val="nil"/>
            </w:tcBorders>
          </w:tcPr>
          <w:p w14:paraId="21211B80"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54.1</w:t>
            </w:r>
          </w:p>
        </w:tc>
      </w:tr>
      <w:tr w:rsidR="00794AFD" w:rsidRPr="001C5950" w14:paraId="4C1B1406" w14:textId="77777777" w:rsidTr="00794AFD">
        <w:trPr>
          <w:trHeight w:val="185"/>
        </w:trPr>
        <w:tc>
          <w:tcPr>
            <w:tcW w:w="6413" w:type="dxa"/>
            <w:tcBorders>
              <w:top w:val="nil"/>
              <w:left w:val="nil"/>
              <w:bottom w:val="nil"/>
              <w:right w:val="nil"/>
            </w:tcBorders>
          </w:tcPr>
          <w:p w14:paraId="4EBA8336" w14:textId="77777777" w:rsidR="00794AFD" w:rsidRPr="001C5950" w:rsidRDefault="00794AFD" w:rsidP="00794AFD">
            <w:pPr>
              <w:ind w:left="-108"/>
              <w:rPr>
                <w:rFonts w:asciiTheme="minorHAnsi" w:hAnsiTheme="minorHAnsi" w:cs="Times New Roman"/>
                <w:sz w:val="20"/>
                <w:szCs w:val="20"/>
              </w:rPr>
            </w:pPr>
            <w:r w:rsidRPr="00FC3D06">
              <w:rPr>
                <w:rFonts w:asciiTheme="minorHAnsi" w:hAnsiTheme="minorHAnsi" w:cs="Times New Roman"/>
                <w:sz w:val="20"/>
                <w:szCs w:val="20"/>
              </w:rPr>
              <w:t>Debt and debt like items acquired</w:t>
            </w:r>
          </w:p>
        </w:tc>
        <w:tc>
          <w:tcPr>
            <w:tcW w:w="1276" w:type="dxa"/>
            <w:tcBorders>
              <w:left w:val="nil"/>
              <w:right w:val="nil"/>
            </w:tcBorders>
          </w:tcPr>
          <w:p w14:paraId="64487E1D"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79.9</w:t>
            </w:r>
          </w:p>
        </w:tc>
      </w:tr>
      <w:tr w:rsidR="00794AFD" w:rsidRPr="001C5950" w14:paraId="5CDEB04B" w14:textId="77777777" w:rsidTr="00794AFD">
        <w:trPr>
          <w:trHeight w:val="185"/>
        </w:trPr>
        <w:tc>
          <w:tcPr>
            <w:tcW w:w="6413" w:type="dxa"/>
            <w:tcBorders>
              <w:top w:val="nil"/>
              <w:left w:val="nil"/>
              <w:bottom w:val="nil"/>
              <w:right w:val="nil"/>
            </w:tcBorders>
          </w:tcPr>
          <w:p w14:paraId="45DBFCD3"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Customer balances</w:t>
            </w:r>
          </w:p>
        </w:tc>
        <w:tc>
          <w:tcPr>
            <w:tcW w:w="1276" w:type="dxa"/>
            <w:tcBorders>
              <w:left w:val="nil"/>
              <w:right w:val="nil"/>
            </w:tcBorders>
          </w:tcPr>
          <w:p w14:paraId="237F11E8"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44.3</w:t>
            </w:r>
          </w:p>
        </w:tc>
      </w:tr>
      <w:tr w:rsidR="00794AFD" w:rsidRPr="001C5950" w14:paraId="770C429D" w14:textId="77777777" w:rsidTr="00794AFD">
        <w:trPr>
          <w:trHeight w:val="227"/>
        </w:trPr>
        <w:tc>
          <w:tcPr>
            <w:tcW w:w="6413" w:type="dxa"/>
            <w:tcBorders>
              <w:top w:val="single" w:sz="4" w:space="0" w:color="auto"/>
              <w:left w:val="nil"/>
              <w:bottom w:val="single" w:sz="4" w:space="0" w:color="auto"/>
              <w:right w:val="nil"/>
            </w:tcBorders>
          </w:tcPr>
          <w:p w14:paraId="661E243B" w14:textId="77777777" w:rsidR="00794AFD" w:rsidRPr="001C5950" w:rsidRDefault="00794AFD" w:rsidP="00794AFD">
            <w:pPr>
              <w:ind w:left="-108"/>
              <w:rPr>
                <w:rFonts w:asciiTheme="minorHAnsi" w:hAnsiTheme="minorHAnsi" w:cs="Times New Roman"/>
                <w:b/>
                <w:bCs/>
                <w:sz w:val="20"/>
                <w:szCs w:val="20"/>
              </w:rPr>
            </w:pPr>
            <w:r w:rsidRPr="001C5950">
              <w:rPr>
                <w:rFonts w:asciiTheme="minorHAnsi" w:hAnsiTheme="minorHAnsi" w:cs="Times New Roman"/>
                <w:b/>
                <w:bCs/>
                <w:sz w:val="20"/>
                <w:szCs w:val="20"/>
              </w:rPr>
              <w:t>Total current liabilities</w:t>
            </w:r>
          </w:p>
        </w:tc>
        <w:tc>
          <w:tcPr>
            <w:tcW w:w="1276" w:type="dxa"/>
            <w:tcBorders>
              <w:top w:val="single" w:sz="4" w:space="0" w:color="auto"/>
              <w:left w:val="nil"/>
              <w:bottom w:val="single" w:sz="4" w:space="0" w:color="auto"/>
              <w:right w:val="nil"/>
            </w:tcBorders>
          </w:tcPr>
          <w:p w14:paraId="2D60D65C"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178.3</w:t>
            </w:r>
          </w:p>
        </w:tc>
      </w:tr>
      <w:tr w:rsidR="00794AFD" w:rsidRPr="001C5950" w14:paraId="5EB736D9" w14:textId="77777777" w:rsidTr="00794AFD">
        <w:trPr>
          <w:trHeight w:val="231"/>
        </w:trPr>
        <w:tc>
          <w:tcPr>
            <w:tcW w:w="6413" w:type="dxa"/>
            <w:tcBorders>
              <w:top w:val="single" w:sz="4" w:space="0" w:color="auto"/>
              <w:left w:val="nil"/>
              <w:right w:val="nil"/>
            </w:tcBorders>
          </w:tcPr>
          <w:p w14:paraId="2C646DE8" w14:textId="77777777" w:rsidR="00794AFD" w:rsidRPr="001C5950" w:rsidRDefault="00794AFD" w:rsidP="00794AFD">
            <w:pPr>
              <w:ind w:left="-108"/>
              <w:rPr>
                <w:rFonts w:asciiTheme="minorHAnsi" w:hAnsiTheme="minorHAnsi" w:cs="Times New Roman"/>
                <w:b/>
                <w:bCs/>
                <w:sz w:val="20"/>
                <w:szCs w:val="20"/>
              </w:rPr>
            </w:pPr>
          </w:p>
        </w:tc>
        <w:tc>
          <w:tcPr>
            <w:tcW w:w="1276" w:type="dxa"/>
            <w:tcBorders>
              <w:top w:val="single" w:sz="4" w:space="0" w:color="auto"/>
              <w:left w:val="nil"/>
              <w:right w:val="nil"/>
            </w:tcBorders>
          </w:tcPr>
          <w:p w14:paraId="23D93446" w14:textId="77777777" w:rsidR="00794AFD" w:rsidRPr="001C5950" w:rsidRDefault="00794AFD" w:rsidP="00794AFD">
            <w:pPr>
              <w:jc w:val="right"/>
              <w:rPr>
                <w:rFonts w:asciiTheme="minorHAnsi" w:hAnsiTheme="minorHAnsi" w:cs="Times New Roman"/>
                <w:bCs/>
                <w:sz w:val="20"/>
                <w:szCs w:val="20"/>
              </w:rPr>
            </w:pPr>
          </w:p>
        </w:tc>
      </w:tr>
      <w:tr w:rsidR="00794AFD" w:rsidRPr="001C5950" w14:paraId="2957CFFC" w14:textId="77777777" w:rsidTr="00794AFD">
        <w:tc>
          <w:tcPr>
            <w:tcW w:w="6413" w:type="dxa"/>
            <w:tcBorders>
              <w:top w:val="nil"/>
              <w:left w:val="nil"/>
              <w:right w:val="nil"/>
            </w:tcBorders>
          </w:tcPr>
          <w:p w14:paraId="35BFFF5F" w14:textId="77777777" w:rsidR="00794AFD" w:rsidRPr="001C5950" w:rsidRDefault="00794AFD" w:rsidP="00794AFD">
            <w:pPr>
              <w:ind w:left="-108"/>
              <w:rPr>
                <w:rFonts w:asciiTheme="minorHAnsi" w:hAnsiTheme="minorHAnsi" w:cs="Times New Roman"/>
                <w:bCs/>
                <w:sz w:val="20"/>
                <w:szCs w:val="20"/>
              </w:rPr>
            </w:pPr>
            <w:r w:rsidRPr="001C5950">
              <w:rPr>
                <w:rFonts w:asciiTheme="minorHAnsi" w:hAnsiTheme="minorHAnsi" w:cs="Times New Roman"/>
                <w:bCs/>
                <w:sz w:val="20"/>
                <w:szCs w:val="20"/>
              </w:rPr>
              <w:t>Trade and other payables</w:t>
            </w:r>
          </w:p>
        </w:tc>
        <w:tc>
          <w:tcPr>
            <w:tcW w:w="1276" w:type="dxa"/>
            <w:tcBorders>
              <w:left w:val="nil"/>
              <w:right w:val="nil"/>
            </w:tcBorders>
          </w:tcPr>
          <w:p w14:paraId="21B49F81"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w:t>
            </w:r>
          </w:p>
        </w:tc>
      </w:tr>
      <w:tr w:rsidR="00794AFD" w:rsidRPr="001C5950" w14:paraId="34F098DF" w14:textId="77777777" w:rsidTr="00794AFD">
        <w:tc>
          <w:tcPr>
            <w:tcW w:w="6413" w:type="dxa"/>
            <w:tcBorders>
              <w:top w:val="nil"/>
              <w:left w:val="nil"/>
              <w:right w:val="nil"/>
            </w:tcBorders>
          </w:tcPr>
          <w:p w14:paraId="28D2D243" w14:textId="77777777" w:rsidR="00794AFD" w:rsidRPr="001C5950" w:rsidRDefault="00794AFD" w:rsidP="00794AFD">
            <w:pPr>
              <w:ind w:left="-108"/>
              <w:rPr>
                <w:rFonts w:asciiTheme="minorHAnsi" w:hAnsiTheme="minorHAnsi" w:cs="Times New Roman"/>
                <w:bCs/>
                <w:sz w:val="20"/>
                <w:szCs w:val="20"/>
              </w:rPr>
            </w:pPr>
            <w:r w:rsidRPr="001C5950">
              <w:rPr>
                <w:rFonts w:asciiTheme="minorHAnsi" w:hAnsiTheme="minorHAnsi" w:cs="Times New Roman"/>
                <w:bCs/>
                <w:sz w:val="20"/>
                <w:szCs w:val="20"/>
              </w:rPr>
              <w:t>Deferred tax liabilities</w:t>
            </w:r>
          </w:p>
        </w:tc>
        <w:tc>
          <w:tcPr>
            <w:tcW w:w="1276" w:type="dxa"/>
            <w:tcBorders>
              <w:left w:val="nil"/>
              <w:right w:val="nil"/>
            </w:tcBorders>
          </w:tcPr>
          <w:p w14:paraId="3AD91467"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35.9</w:t>
            </w:r>
          </w:p>
        </w:tc>
      </w:tr>
      <w:tr w:rsidR="00794AFD" w:rsidRPr="001C5950" w14:paraId="51D61D51" w14:textId="77777777" w:rsidTr="00794AFD">
        <w:tc>
          <w:tcPr>
            <w:tcW w:w="6413" w:type="dxa"/>
            <w:tcBorders>
              <w:top w:val="single" w:sz="4" w:space="0" w:color="auto"/>
              <w:left w:val="nil"/>
              <w:bottom w:val="single" w:sz="4" w:space="0" w:color="auto"/>
              <w:right w:val="nil"/>
            </w:tcBorders>
          </w:tcPr>
          <w:p w14:paraId="0D257A9B" w14:textId="77777777" w:rsidR="00794AFD" w:rsidRPr="001C5950" w:rsidRDefault="00794AFD" w:rsidP="00794AFD">
            <w:pPr>
              <w:ind w:left="-108"/>
              <w:rPr>
                <w:rFonts w:asciiTheme="minorHAnsi" w:hAnsiTheme="minorHAnsi" w:cs="Times New Roman"/>
                <w:b/>
                <w:bCs/>
                <w:sz w:val="20"/>
                <w:szCs w:val="20"/>
              </w:rPr>
            </w:pPr>
            <w:r w:rsidRPr="001C5950">
              <w:rPr>
                <w:rFonts w:asciiTheme="minorHAnsi" w:hAnsiTheme="minorHAnsi" w:cs="Times New Roman"/>
                <w:b/>
                <w:bCs/>
                <w:sz w:val="20"/>
                <w:szCs w:val="20"/>
              </w:rPr>
              <w:t>Total non-current liabilities</w:t>
            </w:r>
          </w:p>
        </w:tc>
        <w:tc>
          <w:tcPr>
            <w:tcW w:w="1276" w:type="dxa"/>
            <w:tcBorders>
              <w:top w:val="single" w:sz="4" w:space="0" w:color="auto"/>
              <w:left w:val="nil"/>
              <w:bottom w:val="single" w:sz="4" w:space="0" w:color="auto"/>
              <w:right w:val="nil"/>
            </w:tcBorders>
          </w:tcPr>
          <w:p w14:paraId="71DD4CBF"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35.9</w:t>
            </w:r>
          </w:p>
        </w:tc>
      </w:tr>
      <w:tr w:rsidR="00794AFD" w:rsidRPr="001C5950" w14:paraId="115544F8" w14:textId="77777777" w:rsidTr="00794AFD">
        <w:trPr>
          <w:trHeight w:val="247"/>
        </w:trPr>
        <w:tc>
          <w:tcPr>
            <w:tcW w:w="6413" w:type="dxa"/>
            <w:tcBorders>
              <w:top w:val="single" w:sz="4" w:space="0" w:color="auto"/>
              <w:left w:val="nil"/>
              <w:bottom w:val="single" w:sz="4" w:space="0" w:color="auto"/>
              <w:right w:val="nil"/>
            </w:tcBorders>
          </w:tcPr>
          <w:p w14:paraId="1E2F95DA" w14:textId="77777777" w:rsidR="00794AFD" w:rsidRPr="001C5950" w:rsidRDefault="00794AFD" w:rsidP="00794AFD">
            <w:pPr>
              <w:ind w:left="-108"/>
              <w:rPr>
                <w:rFonts w:asciiTheme="minorHAnsi" w:hAnsiTheme="minorHAnsi" w:cs="Times New Roman"/>
                <w:bCs/>
                <w:sz w:val="20"/>
                <w:szCs w:val="20"/>
              </w:rPr>
            </w:pPr>
          </w:p>
          <w:p w14:paraId="2294957A" w14:textId="77777777" w:rsidR="00794AFD" w:rsidRPr="001C5950" w:rsidRDefault="00794AFD" w:rsidP="00794AFD">
            <w:pPr>
              <w:ind w:left="-108"/>
              <w:rPr>
                <w:rFonts w:asciiTheme="minorHAnsi" w:hAnsiTheme="minorHAnsi" w:cs="Times New Roman"/>
                <w:b/>
                <w:bCs/>
                <w:sz w:val="20"/>
                <w:szCs w:val="20"/>
              </w:rPr>
            </w:pPr>
            <w:r w:rsidRPr="001C5950">
              <w:rPr>
                <w:rFonts w:asciiTheme="minorHAnsi" w:hAnsiTheme="minorHAnsi" w:cs="Times New Roman"/>
                <w:b/>
                <w:bCs/>
                <w:sz w:val="20"/>
                <w:szCs w:val="20"/>
              </w:rPr>
              <w:t>Total liabilities</w:t>
            </w:r>
          </w:p>
        </w:tc>
        <w:tc>
          <w:tcPr>
            <w:tcW w:w="1276" w:type="dxa"/>
            <w:tcBorders>
              <w:top w:val="single" w:sz="4" w:space="0" w:color="auto"/>
              <w:left w:val="nil"/>
              <w:bottom w:val="single" w:sz="4" w:space="0" w:color="auto"/>
              <w:right w:val="nil"/>
            </w:tcBorders>
          </w:tcPr>
          <w:p w14:paraId="39373586" w14:textId="77777777" w:rsidR="00794AFD" w:rsidRPr="001C5950" w:rsidRDefault="00794AFD" w:rsidP="00794AFD">
            <w:pPr>
              <w:jc w:val="right"/>
              <w:rPr>
                <w:rFonts w:asciiTheme="minorHAnsi" w:hAnsiTheme="minorHAnsi" w:cs="Times New Roman"/>
                <w:bCs/>
                <w:sz w:val="20"/>
                <w:szCs w:val="20"/>
              </w:rPr>
            </w:pPr>
          </w:p>
          <w:p w14:paraId="160D251B"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214.2</w:t>
            </w:r>
          </w:p>
        </w:tc>
      </w:tr>
      <w:tr w:rsidR="00794AFD" w:rsidRPr="001C5950" w14:paraId="0101ACFE" w14:textId="77777777" w:rsidTr="00794AFD">
        <w:trPr>
          <w:trHeight w:val="336"/>
        </w:trPr>
        <w:tc>
          <w:tcPr>
            <w:tcW w:w="6413" w:type="dxa"/>
            <w:tcBorders>
              <w:top w:val="single" w:sz="4" w:space="0" w:color="auto"/>
              <w:left w:val="nil"/>
              <w:right w:val="nil"/>
            </w:tcBorders>
            <w:vAlign w:val="bottom"/>
          </w:tcPr>
          <w:p w14:paraId="0F438E80" w14:textId="77777777" w:rsidR="00794AFD" w:rsidRPr="001C5950" w:rsidRDefault="00794AFD" w:rsidP="00794AFD">
            <w:pPr>
              <w:ind w:left="-108"/>
              <w:rPr>
                <w:rFonts w:asciiTheme="minorHAnsi" w:hAnsiTheme="minorHAnsi" w:cs="Times New Roman"/>
                <w:b/>
                <w:bCs/>
                <w:sz w:val="20"/>
                <w:szCs w:val="20"/>
              </w:rPr>
            </w:pPr>
            <w:r w:rsidRPr="001C5950">
              <w:rPr>
                <w:rFonts w:asciiTheme="minorHAnsi" w:hAnsiTheme="minorHAnsi" w:cs="Times New Roman"/>
                <w:b/>
                <w:bCs/>
                <w:sz w:val="20"/>
                <w:szCs w:val="20"/>
              </w:rPr>
              <w:t>Net assets acquired</w:t>
            </w:r>
          </w:p>
        </w:tc>
        <w:tc>
          <w:tcPr>
            <w:tcW w:w="1276" w:type="dxa"/>
            <w:tcBorders>
              <w:top w:val="single" w:sz="4" w:space="0" w:color="auto"/>
              <w:left w:val="nil"/>
              <w:right w:val="nil"/>
            </w:tcBorders>
            <w:vAlign w:val="bottom"/>
          </w:tcPr>
          <w:p w14:paraId="2DBE8504"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38.3</w:t>
            </w:r>
          </w:p>
        </w:tc>
      </w:tr>
      <w:tr w:rsidR="00794AFD" w:rsidRPr="001C5950" w14:paraId="08AC4579" w14:textId="77777777" w:rsidTr="00794AFD">
        <w:trPr>
          <w:trHeight w:val="336"/>
        </w:trPr>
        <w:tc>
          <w:tcPr>
            <w:tcW w:w="6413" w:type="dxa"/>
            <w:tcBorders>
              <w:left w:val="nil"/>
              <w:right w:val="nil"/>
            </w:tcBorders>
            <w:vAlign w:val="bottom"/>
          </w:tcPr>
          <w:p w14:paraId="38564B24" w14:textId="77777777" w:rsidR="00794AFD" w:rsidRPr="001C5950" w:rsidRDefault="00794AFD" w:rsidP="00794AFD">
            <w:pPr>
              <w:ind w:left="-108"/>
              <w:rPr>
                <w:rFonts w:asciiTheme="minorHAnsi" w:hAnsiTheme="minorHAnsi" w:cs="Times New Roman"/>
                <w:bCs/>
                <w:sz w:val="20"/>
                <w:szCs w:val="20"/>
              </w:rPr>
            </w:pPr>
            <w:r w:rsidRPr="001C5950">
              <w:rPr>
                <w:rFonts w:asciiTheme="minorHAnsi" w:hAnsiTheme="minorHAnsi" w:cs="Times New Roman"/>
                <w:bCs/>
                <w:sz w:val="20"/>
                <w:szCs w:val="20"/>
              </w:rPr>
              <w:t>Goodwill</w:t>
            </w:r>
          </w:p>
        </w:tc>
        <w:tc>
          <w:tcPr>
            <w:tcW w:w="1276" w:type="dxa"/>
            <w:tcBorders>
              <w:left w:val="nil"/>
              <w:right w:val="nil"/>
            </w:tcBorders>
            <w:vAlign w:val="bottom"/>
          </w:tcPr>
          <w:p w14:paraId="618D66C4"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191.3</w:t>
            </w:r>
          </w:p>
        </w:tc>
      </w:tr>
      <w:tr w:rsidR="00794AFD" w:rsidRPr="001C5950" w14:paraId="65D9A28E" w14:textId="77777777" w:rsidTr="00794AFD">
        <w:trPr>
          <w:trHeight w:val="336"/>
        </w:trPr>
        <w:tc>
          <w:tcPr>
            <w:tcW w:w="6413" w:type="dxa"/>
            <w:tcBorders>
              <w:left w:val="nil"/>
              <w:bottom w:val="single" w:sz="4" w:space="0" w:color="auto"/>
              <w:right w:val="nil"/>
            </w:tcBorders>
            <w:vAlign w:val="bottom"/>
          </w:tcPr>
          <w:p w14:paraId="53F1E562" w14:textId="77777777" w:rsidR="00794AFD" w:rsidRPr="001C5950" w:rsidRDefault="00794AFD" w:rsidP="00794AFD">
            <w:pPr>
              <w:ind w:left="-108"/>
              <w:rPr>
                <w:rFonts w:asciiTheme="minorHAnsi" w:hAnsiTheme="minorHAnsi" w:cs="Times New Roman"/>
                <w:bCs/>
                <w:sz w:val="20"/>
                <w:szCs w:val="20"/>
              </w:rPr>
            </w:pPr>
            <w:r w:rsidRPr="001C5950">
              <w:rPr>
                <w:rFonts w:asciiTheme="minorHAnsi" w:hAnsiTheme="minorHAnsi" w:cs="Times New Roman"/>
                <w:bCs/>
                <w:sz w:val="20"/>
                <w:szCs w:val="20"/>
              </w:rPr>
              <w:t>Non-controlling interest measured at the fair value of net assets identified</w:t>
            </w:r>
          </w:p>
        </w:tc>
        <w:tc>
          <w:tcPr>
            <w:tcW w:w="1276" w:type="dxa"/>
            <w:tcBorders>
              <w:left w:val="nil"/>
              <w:bottom w:val="single" w:sz="4" w:space="0" w:color="auto"/>
              <w:right w:val="nil"/>
            </w:tcBorders>
            <w:vAlign w:val="bottom"/>
          </w:tcPr>
          <w:p w14:paraId="01F9C3D0"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(17.7)</w:t>
            </w:r>
          </w:p>
        </w:tc>
      </w:tr>
      <w:tr w:rsidR="00794AFD" w:rsidRPr="001C5950" w14:paraId="15D49D60" w14:textId="77777777" w:rsidTr="00794AFD">
        <w:trPr>
          <w:trHeight w:val="336"/>
        </w:trPr>
        <w:tc>
          <w:tcPr>
            <w:tcW w:w="6413" w:type="dxa"/>
            <w:tcBorders>
              <w:top w:val="single" w:sz="4" w:space="0" w:color="auto"/>
              <w:left w:val="nil"/>
              <w:bottom w:val="single" w:sz="4" w:space="0" w:color="auto"/>
              <w:right w:val="nil"/>
            </w:tcBorders>
            <w:vAlign w:val="bottom"/>
          </w:tcPr>
          <w:p w14:paraId="693E10EE" w14:textId="77777777" w:rsidR="00794AFD" w:rsidRPr="001C5950" w:rsidRDefault="00794AFD" w:rsidP="00794AFD">
            <w:pPr>
              <w:ind w:left="-108"/>
              <w:rPr>
                <w:rFonts w:asciiTheme="minorHAnsi" w:hAnsiTheme="minorHAnsi" w:cs="Times New Roman"/>
                <w:b/>
                <w:bCs/>
                <w:sz w:val="20"/>
                <w:szCs w:val="20"/>
              </w:rPr>
            </w:pPr>
            <w:r w:rsidRPr="001C5950">
              <w:rPr>
                <w:rFonts w:asciiTheme="minorHAnsi" w:hAnsiTheme="minorHAnsi" w:cs="Times New Roman"/>
                <w:b/>
                <w:bCs/>
                <w:sz w:val="20"/>
                <w:szCs w:val="20"/>
              </w:rPr>
              <w:t>Consideration</w:t>
            </w:r>
          </w:p>
        </w:tc>
        <w:tc>
          <w:tcPr>
            <w:tcW w:w="1276" w:type="dxa"/>
            <w:tcBorders>
              <w:top w:val="single" w:sz="4" w:space="0" w:color="auto"/>
              <w:left w:val="nil"/>
              <w:bottom w:val="single" w:sz="4" w:space="0" w:color="auto"/>
              <w:right w:val="nil"/>
            </w:tcBorders>
            <w:vAlign w:val="bottom"/>
          </w:tcPr>
          <w:p w14:paraId="0D1C6829"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211.9</w:t>
            </w:r>
          </w:p>
        </w:tc>
      </w:tr>
      <w:tr w:rsidR="00794AFD" w:rsidRPr="001C5950" w14:paraId="7EFF0D57" w14:textId="77777777" w:rsidTr="00794AFD">
        <w:trPr>
          <w:trHeight w:val="188"/>
        </w:trPr>
        <w:tc>
          <w:tcPr>
            <w:tcW w:w="6413" w:type="dxa"/>
            <w:tcBorders>
              <w:top w:val="single" w:sz="4" w:space="0" w:color="auto"/>
              <w:left w:val="nil"/>
              <w:right w:val="nil"/>
            </w:tcBorders>
            <w:vAlign w:val="bottom"/>
          </w:tcPr>
          <w:p w14:paraId="18A6335C" w14:textId="77777777" w:rsidR="00794AFD" w:rsidRPr="001C5950" w:rsidRDefault="00794AFD" w:rsidP="00794AFD">
            <w:pPr>
              <w:ind w:left="-108"/>
              <w:rPr>
                <w:rFonts w:asciiTheme="minorHAnsi" w:hAnsiTheme="minorHAnsi" w:cs="Times New Roman"/>
                <w:b/>
                <w:bCs/>
                <w:sz w:val="20"/>
                <w:szCs w:val="20"/>
              </w:rPr>
            </w:pPr>
          </w:p>
        </w:tc>
        <w:tc>
          <w:tcPr>
            <w:tcW w:w="1276" w:type="dxa"/>
            <w:tcBorders>
              <w:top w:val="single" w:sz="4" w:space="0" w:color="auto"/>
              <w:left w:val="nil"/>
              <w:right w:val="nil"/>
            </w:tcBorders>
            <w:vAlign w:val="bottom"/>
          </w:tcPr>
          <w:p w14:paraId="3B0D0ED6" w14:textId="77777777" w:rsidR="00794AFD" w:rsidRPr="001C5950" w:rsidRDefault="00794AFD" w:rsidP="00794AFD">
            <w:pPr>
              <w:jc w:val="right"/>
              <w:rPr>
                <w:rFonts w:asciiTheme="minorHAnsi" w:hAnsiTheme="minorHAnsi" w:cs="Times New Roman"/>
                <w:b/>
                <w:bCs/>
                <w:sz w:val="20"/>
                <w:szCs w:val="20"/>
              </w:rPr>
            </w:pPr>
          </w:p>
        </w:tc>
      </w:tr>
      <w:tr w:rsidR="00794AFD" w:rsidRPr="001C5950" w14:paraId="5A03BB37" w14:textId="77777777" w:rsidTr="00794AFD">
        <w:trPr>
          <w:trHeight w:val="336"/>
        </w:trPr>
        <w:tc>
          <w:tcPr>
            <w:tcW w:w="6413" w:type="dxa"/>
            <w:tcBorders>
              <w:left w:val="nil"/>
              <w:right w:val="nil"/>
            </w:tcBorders>
            <w:vAlign w:val="bottom"/>
          </w:tcPr>
          <w:p w14:paraId="19AFCE80" w14:textId="77777777" w:rsidR="00794AFD" w:rsidRPr="001C5950" w:rsidRDefault="00794AFD" w:rsidP="00794AFD">
            <w:pPr>
              <w:ind w:left="-108"/>
              <w:rPr>
                <w:rFonts w:asciiTheme="minorHAnsi" w:hAnsiTheme="minorHAnsi" w:cs="Times New Roman"/>
                <w:b/>
                <w:bCs/>
                <w:sz w:val="20"/>
                <w:szCs w:val="20"/>
              </w:rPr>
            </w:pPr>
            <w:r w:rsidRPr="001C5950">
              <w:rPr>
                <w:rFonts w:asciiTheme="minorHAnsi" w:hAnsiTheme="minorHAnsi" w:cs="Times New Roman"/>
                <w:b/>
                <w:bCs/>
                <w:sz w:val="20"/>
                <w:szCs w:val="20"/>
              </w:rPr>
              <w:t>The consideration is analysed as:</w:t>
            </w:r>
          </w:p>
        </w:tc>
        <w:tc>
          <w:tcPr>
            <w:tcW w:w="1276" w:type="dxa"/>
            <w:tcBorders>
              <w:left w:val="nil"/>
              <w:right w:val="nil"/>
            </w:tcBorders>
            <w:vAlign w:val="bottom"/>
          </w:tcPr>
          <w:p w14:paraId="0891BCC6" w14:textId="77777777" w:rsidR="00794AFD" w:rsidRPr="001C5950" w:rsidRDefault="00794AFD" w:rsidP="00794AFD">
            <w:pPr>
              <w:jc w:val="right"/>
              <w:rPr>
                <w:rFonts w:asciiTheme="minorHAnsi" w:hAnsiTheme="minorHAnsi" w:cs="Times New Roman"/>
                <w:b/>
                <w:bCs/>
                <w:sz w:val="20"/>
                <w:szCs w:val="20"/>
              </w:rPr>
            </w:pPr>
          </w:p>
        </w:tc>
      </w:tr>
      <w:tr w:rsidR="00794AFD" w:rsidRPr="001C5950" w14:paraId="54C6EF6A" w14:textId="77777777" w:rsidTr="00794AFD">
        <w:trPr>
          <w:trHeight w:val="286"/>
        </w:trPr>
        <w:tc>
          <w:tcPr>
            <w:tcW w:w="6413" w:type="dxa"/>
            <w:tcBorders>
              <w:left w:val="nil"/>
              <w:right w:val="nil"/>
            </w:tcBorders>
            <w:vAlign w:val="bottom"/>
          </w:tcPr>
          <w:p w14:paraId="5C320B2A" w14:textId="77777777" w:rsidR="00794AFD" w:rsidRPr="001C5950" w:rsidRDefault="00794AFD" w:rsidP="00794AFD">
            <w:pPr>
              <w:ind w:left="-108"/>
              <w:rPr>
                <w:rFonts w:asciiTheme="minorHAnsi" w:hAnsiTheme="minorHAnsi" w:cs="Times New Roman"/>
                <w:bCs/>
                <w:sz w:val="20"/>
                <w:szCs w:val="20"/>
              </w:rPr>
            </w:pPr>
            <w:r w:rsidRPr="001C5950">
              <w:rPr>
                <w:rFonts w:asciiTheme="minorHAnsi" w:hAnsiTheme="minorHAnsi" w:cs="Times New Roman"/>
                <w:bCs/>
                <w:sz w:val="20"/>
                <w:szCs w:val="20"/>
              </w:rPr>
              <w:t xml:space="preserve">Betfair US shares transferred to Non-controlling interest </w:t>
            </w:r>
          </w:p>
        </w:tc>
        <w:tc>
          <w:tcPr>
            <w:tcW w:w="1276" w:type="dxa"/>
            <w:tcBorders>
              <w:left w:val="nil"/>
              <w:right w:val="nil"/>
            </w:tcBorders>
            <w:vAlign w:val="bottom"/>
          </w:tcPr>
          <w:p w14:paraId="06E33077"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157.5</w:t>
            </w:r>
          </w:p>
        </w:tc>
      </w:tr>
      <w:tr w:rsidR="00794AFD" w:rsidRPr="001C5950" w14:paraId="5095A611" w14:textId="77777777" w:rsidTr="00794AFD">
        <w:trPr>
          <w:trHeight w:val="135"/>
        </w:trPr>
        <w:tc>
          <w:tcPr>
            <w:tcW w:w="6413" w:type="dxa"/>
            <w:tcBorders>
              <w:left w:val="nil"/>
              <w:right w:val="nil"/>
            </w:tcBorders>
            <w:vAlign w:val="bottom"/>
          </w:tcPr>
          <w:p w14:paraId="6EDB9976" w14:textId="77777777" w:rsidR="00794AFD" w:rsidRPr="001C5950" w:rsidRDefault="00794AFD" w:rsidP="00794AFD">
            <w:pPr>
              <w:ind w:left="-108"/>
              <w:rPr>
                <w:rFonts w:asciiTheme="minorHAnsi" w:hAnsiTheme="minorHAnsi" w:cs="Times New Roman"/>
                <w:bCs/>
                <w:sz w:val="20"/>
                <w:szCs w:val="20"/>
              </w:rPr>
            </w:pPr>
            <w:r w:rsidRPr="001C5950">
              <w:rPr>
                <w:rFonts w:asciiTheme="minorHAnsi" w:hAnsiTheme="minorHAnsi" w:cs="Times New Roman"/>
                <w:bCs/>
                <w:sz w:val="20"/>
                <w:szCs w:val="20"/>
              </w:rPr>
              <w:t>Consideration paid in cash</w:t>
            </w:r>
          </w:p>
        </w:tc>
        <w:tc>
          <w:tcPr>
            <w:tcW w:w="1276" w:type="dxa"/>
            <w:tcBorders>
              <w:left w:val="nil"/>
              <w:right w:val="nil"/>
            </w:tcBorders>
            <w:vAlign w:val="bottom"/>
          </w:tcPr>
          <w:p w14:paraId="799B298B"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11.7</w:t>
            </w:r>
          </w:p>
        </w:tc>
      </w:tr>
      <w:tr w:rsidR="00794AFD" w:rsidRPr="001C5950" w14:paraId="62E308DC" w14:textId="77777777" w:rsidTr="00794AFD">
        <w:trPr>
          <w:trHeight w:val="135"/>
        </w:trPr>
        <w:tc>
          <w:tcPr>
            <w:tcW w:w="6413" w:type="dxa"/>
            <w:tcBorders>
              <w:left w:val="nil"/>
              <w:bottom w:val="single" w:sz="4" w:space="0" w:color="auto"/>
              <w:right w:val="nil"/>
            </w:tcBorders>
            <w:vAlign w:val="bottom"/>
          </w:tcPr>
          <w:p w14:paraId="1810BBA9" w14:textId="77777777" w:rsidR="00794AFD" w:rsidRPr="001C5950" w:rsidRDefault="00794AFD" w:rsidP="00794AFD">
            <w:pPr>
              <w:ind w:left="-108"/>
              <w:rPr>
                <w:rFonts w:asciiTheme="minorHAnsi" w:hAnsiTheme="minorHAnsi" w:cs="Times New Roman"/>
                <w:bCs/>
                <w:sz w:val="20"/>
                <w:szCs w:val="20"/>
              </w:rPr>
            </w:pPr>
            <w:r w:rsidRPr="001C5950">
              <w:rPr>
                <w:rFonts w:asciiTheme="minorHAnsi" w:hAnsiTheme="minorHAnsi" w:cs="Times New Roman"/>
                <w:bCs/>
                <w:sz w:val="20"/>
                <w:szCs w:val="20"/>
              </w:rPr>
              <w:t>Fair value of cash contribution allocated to Non-controlling interest</w:t>
            </w:r>
          </w:p>
        </w:tc>
        <w:tc>
          <w:tcPr>
            <w:tcW w:w="1276" w:type="dxa"/>
            <w:tcBorders>
              <w:left w:val="nil"/>
              <w:bottom w:val="single" w:sz="4" w:space="0" w:color="auto"/>
              <w:right w:val="nil"/>
            </w:tcBorders>
            <w:vAlign w:val="bottom"/>
          </w:tcPr>
          <w:p w14:paraId="54FC01EF" w14:textId="77777777" w:rsidR="00794AFD" w:rsidRPr="001C5950" w:rsidRDefault="00794AFD" w:rsidP="00794AFD">
            <w:pPr>
              <w:jc w:val="right"/>
              <w:rPr>
                <w:rFonts w:asciiTheme="minorHAnsi" w:hAnsiTheme="minorHAnsi" w:cs="Times New Roman"/>
                <w:bCs/>
                <w:sz w:val="20"/>
                <w:szCs w:val="20"/>
              </w:rPr>
            </w:pPr>
            <w:r w:rsidRPr="00FC3D06">
              <w:rPr>
                <w:rFonts w:asciiTheme="minorHAnsi" w:hAnsiTheme="minorHAnsi" w:cs="Times New Roman"/>
                <w:bCs/>
                <w:sz w:val="20"/>
                <w:szCs w:val="20"/>
              </w:rPr>
              <w:t>42.7</w:t>
            </w:r>
          </w:p>
        </w:tc>
      </w:tr>
      <w:tr w:rsidR="00794AFD" w:rsidRPr="001C5950" w14:paraId="207C352B" w14:textId="77777777" w:rsidTr="00794AFD">
        <w:trPr>
          <w:trHeight w:val="336"/>
        </w:trPr>
        <w:tc>
          <w:tcPr>
            <w:tcW w:w="6413" w:type="dxa"/>
            <w:tcBorders>
              <w:top w:val="single" w:sz="4" w:space="0" w:color="auto"/>
              <w:left w:val="nil"/>
              <w:bottom w:val="single" w:sz="4" w:space="0" w:color="auto"/>
              <w:right w:val="nil"/>
            </w:tcBorders>
            <w:vAlign w:val="bottom"/>
          </w:tcPr>
          <w:p w14:paraId="3AD7D45C" w14:textId="77777777" w:rsidR="00794AFD" w:rsidRPr="001C5950" w:rsidRDefault="00794AFD" w:rsidP="00794AFD">
            <w:pPr>
              <w:ind w:left="-108"/>
              <w:rPr>
                <w:rFonts w:asciiTheme="minorHAnsi" w:hAnsiTheme="minorHAnsi" w:cs="Times New Roman"/>
                <w:b/>
                <w:bCs/>
                <w:sz w:val="20"/>
                <w:szCs w:val="20"/>
              </w:rPr>
            </w:pPr>
            <w:r w:rsidRPr="001C5950">
              <w:rPr>
                <w:rFonts w:asciiTheme="minorHAnsi" w:hAnsiTheme="minorHAnsi" w:cs="Times New Roman"/>
                <w:b/>
                <w:bCs/>
                <w:sz w:val="20"/>
                <w:szCs w:val="20"/>
              </w:rPr>
              <w:t>Consideration</w:t>
            </w:r>
          </w:p>
        </w:tc>
        <w:tc>
          <w:tcPr>
            <w:tcW w:w="1276" w:type="dxa"/>
            <w:tcBorders>
              <w:top w:val="single" w:sz="4" w:space="0" w:color="auto"/>
              <w:left w:val="nil"/>
              <w:bottom w:val="single" w:sz="4" w:space="0" w:color="auto"/>
              <w:right w:val="nil"/>
            </w:tcBorders>
            <w:vAlign w:val="bottom"/>
          </w:tcPr>
          <w:p w14:paraId="04FAB19B"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211.9</w:t>
            </w:r>
          </w:p>
        </w:tc>
      </w:tr>
    </w:tbl>
    <w:p w14:paraId="58106C64" w14:textId="77777777" w:rsidR="00794AFD" w:rsidRDefault="00794AFD" w:rsidP="00794AFD">
      <w:pPr>
        <w:rPr>
          <w:rFonts w:asciiTheme="minorHAnsi" w:hAnsiTheme="minorHAnsi" w:cs="Times New Roman"/>
          <w:b/>
          <w:sz w:val="20"/>
          <w:szCs w:val="20"/>
          <w:lang w:val="en-IE"/>
        </w:rPr>
      </w:pPr>
    </w:p>
    <w:p w14:paraId="091B13E5" w14:textId="77777777" w:rsidR="00794AFD" w:rsidRDefault="00794AFD" w:rsidP="00794AFD">
      <w:pPr>
        <w:widowControl/>
        <w:autoSpaceDE/>
        <w:autoSpaceDN/>
        <w:adjustRightInd/>
        <w:rPr>
          <w:rFonts w:asciiTheme="minorHAnsi" w:hAnsiTheme="minorHAnsi" w:cs="Times New Roman"/>
          <w:b/>
          <w:sz w:val="20"/>
          <w:szCs w:val="20"/>
          <w:lang w:val="en-IE"/>
        </w:rPr>
      </w:pPr>
      <w:r>
        <w:rPr>
          <w:rFonts w:asciiTheme="minorHAnsi" w:hAnsiTheme="minorHAnsi" w:cs="Times New Roman"/>
          <w:b/>
          <w:sz w:val="20"/>
          <w:szCs w:val="20"/>
          <w:lang w:val="en-IE"/>
        </w:rPr>
        <w:br w:type="page"/>
      </w:r>
    </w:p>
    <w:p w14:paraId="6ED6EA51" w14:textId="77777777" w:rsidR="00794AFD" w:rsidRPr="001C5950" w:rsidRDefault="00794AFD" w:rsidP="00794AFD">
      <w:pPr>
        <w:rPr>
          <w:rFonts w:asciiTheme="minorHAnsi" w:hAnsiTheme="minorHAnsi"/>
          <w:b/>
          <w:bCs/>
          <w:i/>
          <w:sz w:val="20"/>
          <w:szCs w:val="20"/>
        </w:rPr>
      </w:pPr>
      <w:r>
        <w:rPr>
          <w:rFonts w:asciiTheme="minorHAnsi" w:hAnsiTheme="minorHAnsi" w:cs="Times New Roman"/>
          <w:b/>
          <w:sz w:val="20"/>
          <w:szCs w:val="20"/>
          <w:lang w:val="en-IE"/>
        </w:rPr>
        <w:lastRenderedPageBreak/>
        <w:t>8</w:t>
      </w:r>
      <w:r w:rsidRPr="001C5950">
        <w:rPr>
          <w:rFonts w:asciiTheme="minorHAnsi" w:hAnsiTheme="minorHAnsi" w:cs="Times New Roman"/>
          <w:b/>
          <w:bCs/>
          <w:sz w:val="20"/>
          <w:szCs w:val="20"/>
          <w:lang w:val="en-IE"/>
        </w:rPr>
        <w:t>. Business combinations (continued)</w:t>
      </w:r>
    </w:p>
    <w:p w14:paraId="45E8131F" w14:textId="77777777" w:rsidR="00794AFD" w:rsidRPr="00FC3D06" w:rsidRDefault="00794AFD" w:rsidP="00794AFD">
      <w:pPr>
        <w:rPr>
          <w:rFonts w:asciiTheme="minorHAnsi" w:hAnsiTheme="minorHAnsi"/>
          <w:b/>
          <w:bCs/>
          <w:i/>
          <w:sz w:val="20"/>
          <w:szCs w:val="20"/>
        </w:rPr>
      </w:pPr>
    </w:p>
    <w:p w14:paraId="7332631A" w14:textId="77777777" w:rsidR="00794AFD" w:rsidRPr="001C5950" w:rsidRDefault="00794AFD" w:rsidP="00794AFD">
      <w:pPr>
        <w:rPr>
          <w:rFonts w:asciiTheme="minorHAnsi" w:hAnsiTheme="minorHAnsi"/>
          <w:b/>
          <w:bCs/>
          <w:sz w:val="20"/>
          <w:szCs w:val="20"/>
        </w:rPr>
      </w:pPr>
      <w:r w:rsidRPr="001C5950">
        <w:rPr>
          <w:rFonts w:asciiTheme="minorHAnsi" w:hAnsiTheme="minorHAnsi"/>
          <w:b/>
          <w:bCs/>
          <w:sz w:val="20"/>
          <w:szCs w:val="20"/>
        </w:rPr>
        <w:t>Shop property business acquisitions</w:t>
      </w:r>
    </w:p>
    <w:p w14:paraId="6F10CA4A" w14:textId="77777777" w:rsidR="00794AFD" w:rsidRPr="001C5950" w:rsidRDefault="00794AFD" w:rsidP="00794AFD">
      <w:pPr>
        <w:rPr>
          <w:rFonts w:asciiTheme="minorHAnsi" w:hAnsiTheme="minorHAnsi"/>
          <w:bCs/>
          <w:sz w:val="20"/>
          <w:szCs w:val="20"/>
        </w:rPr>
      </w:pPr>
      <w:r w:rsidRPr="001C5950">
        <w:rPr>
          <w:rFonts w:asciiTheme="minorHAnsi" w:hAnsiTheme="minorHAnsi"/>
          <w:bCs/>
          <w:sz w:val="20"/>
          <w:szCs w:val="20"/>
        </w:rPr>
        <w:t xml:space="preserve">In </w:t>
      </w:r>
      <w:r>
        <w:rPr>
          <w:rFonts w:asciiTheme="minorHAnsi" w:hAnsiTheme="minorHAnsi"/>
          <w:bCs/>
          <w:sz w:val="20"/>
          <w:szCs w:val="20"/>
        </w:rPr>
        <w:t>2018</w:t>
      </w:r>
      <w:r w:rsidRPr="001C5950">
        <w:rPr>
          <w:rFonts w:asciiTheme="minorHAnsi" w:hAnsiTheme="minorHAnsi"/>
          <w:bCs/>
          <w:sz w:val="20"/>
          <w:szCs w:val="20"/>
        </w:rPr>
        <w:t xml:space="preserve">, the Group, in the absence of available comparable sites for organic shop openings, acquired a number of </w:t>
      </w:r>
      <w:r>
        <w:rPr>
          <w:rFonts w:asciiTheme="minorHAnsi" w:hAnsiTheme="minorHAnsi"/>
          <w:bCs/>
          <w:sz w:val="20"/>
          <w:szCs w:val="20"/>
        </w:rPr>
        <w:t>licence</w:t>
      </w:r>
      <w:r w:rsidRPr="001C5950">
        <w:rPr>
          <w:rFonts w:asciiTheme="minorHAnsi" w:hAnsiTheme="minorHAnsi"/>
          <w:bCs/>
          <w:sz w:val="20"/>
          <w:szCs w:val="20"/>
        </w:rPr>
        <w:t>d bookmaking businesses in the UK and Ireland.</w:t>
      </w:r>
    </w:p>
    <w:p w14:paraId="722D5DCF" w14:textId="77777777" w:rsidR="00794AFD" w:rsidRPr="001C5950" w:rsidRDefault="00794AFD" w:rsidP="00794AFD">
      <w:pPr>
        <w:rPr>
          <w:rFonts w:asciiTheme="minorHAnsi" w:hAnsiTheme="minorHAnsi"/>
          <w:bCs/>
          <w:sz w:val="20"/>
          <w:szCs w:val="20"/>
        </w:rPr>
      </w:pPr>
    </w:p>
    <w:p w14:paraId="5174C1D0" w14:textId="77777777" w:rsidR="00794AFD" w:rsidRPr="001C5950" w:rsidRDefault="00794AFD" w:rsidP="00794AFD">
      <w:pPr>
        <w:rPr>
          <w:rFonts w:asciiTheme="minorHAnsi" w:hAnsiTheme="minorHAnsi"/>
          <w:bCs/>
          <w:sz w:val="20"/>
          <w:szCs w:val="20"/>
        </w:rPr>
      </w:pPr>
      <w:r w:rsidRPr="001C5950">
        <w:rPr>
          <w:rFonts w:asciiTheme="minorHAnsi" w:hAnsiTheme="minorHAnsi"/>
          <w:bCs/>
          <w:sz w:val="20"/>
          <w:szCs w:val="20"/>
        </w:rPr>
        <w:t>Details of the net assets acquired and the goodwill arising on these acquisitions under IFRS are as follows:</w:t>
      </w:r>
    </w:p>
    <w:p w14:paraId="073C2CE5" w14:textId="77777777" w:rsidR="00794AFD" w:rsidRPr="00FC3D06" w:rsidRDefault="00794AFD" w:rsidP="00794AFD">
      <w:pPr>
        <w:rPr>
          <w:rFonts w:asciiTheme="minorHAnsi" w:hAnsiTheme="minorHAnsi"/>
          <w:bCs/>
          <w:sz w:val="20"/>
          <w:szCs w:val="20"/>
        </w:rPr>
      </w:pPr>
    </w:p>
    <w:tbl>
      <w:tblPr>
        <w:tblW w:w="8647" w:type="dxa"/>
        <w:tblInd w:w="108" w:type="dxa"/>
        <w:tblLayout w:type="fixed"/>
        <w:tblLook w:val="01E0" w:firstRow="1" w:lastRow="1" w:firstColumn="1" w:lastColumn="1" w:noHBand="0" w:noVBand="0"/>
      </w:tblPr>
      <w:tblGrid>
        <w:gridCol w:w="6663"/>
        <w:gridCol w:w="1984"/>
      </w:tblGrid>
      <w:tr w:rsidR="00794AFD" w:rsidRPr="001C5950" w14:paraId="02999D73" w14:textId="77777777" w:rsidTr="00794AFD">
        <w:tc>
          <w:tcPr>
            <w:tcW w:w="6663" w:type="dxa"/>
            <w:tcBorders>
              <w:top w:val="single" w:sz="4" w:space="0" w:color="auto"/>
            </w:tcBorders>
            <w:shd w:val="clear" w:color="auto" w:fill="auto"/>
          </w:tcPr>
          <w:p w14:paraId="2A9308FC" w14:textId="77777777" w:rsidR="00794AFD" w:rsidRPr="00FC3D06" w:rsidRDefault="00794AFD" w:rsidP="00794AFD">
            <w:pPr>
              <w:ind w:left="-108"/>
              <w:jc w:val="both"/>
              <w:rPr>
                <w:rFonts w:asciiTheme="minorHAnsi" w:hAnsiTheme="minorHAnsi"/>
                <w:bCs/>
                <w:sz w:val="20"/>
                <w:szCs w:val="20"/>
              </w:rPr>
            </w:pPr>
          </w:p>
        </w:tc>
        <w:tc>
          <w:tcPr>
            <w:tcW w:w="1984" w:type="dxa"/>
            <w:tcBorders>
              <w:top w:val="single" w:sz="4" w:space="0" w:color="auto"/>
            </w:tcBorders>
            <w:shd w:val="clear" w:color="auto" w:fill="auto"/>
          </w:tcPr>
          <w:p w14:paraId="65CC8370" w14:textId="77777777" w:rsidR="00794AFD" w:rsidRPr="001C5950" w:rsidRDefault="00794AFD" w:rsidP="00794AFD">
            <w:pPr>
              <w:ind w:left="-18" w:hanging="25"/>
              <w:jc w:val="right"/>
              <w:rPr>
                <w:rFonts w:asciiTheme="minorHAnsi" w:hAnsiTheme="minorHAnsi"/>
                <w:b/>
                <w:bCs/>
                <w:sz w:val="20"/>
                <w:szCs w:val="20"/>
              </w:rPr>
            </w:pPr>
            <w:r>
              <w:rPr>
                <w:rFonts w:asciiTheme="minorHAnsi" w:hAnsiTheme="minorHAnsi"/>
                <w:b/>
                <w:bCs/>
                <w:sz w:val="20"/>
                <w:szCs w:val="20"/>
              </w:rPr>
              <w:t>F</w:t>
            </w:r>
            <w:r w:rsidRPr="001C5950">
              <w:rPr>
                <w:rFonts w:asciiTheme="minorHAnsi" w:hAnsiTheme="minorHAnsi"/>
                <w:b/>
                <w:bCs/>
                <w:sz w:val="20"/>
                <w:szCs w:val="20"/>
              </w:rPr>
              <w:t>air values</w:t>
            </w:r>
          </w:p>
          <w:p w14:paraId="71DB3BFF" w14:textId="77777777" w:rsidR="00794AFD" w:rsidRPr="001C5950" w:rsidRDefault="00794AFD" w:rsidP="00794AFD">
            <w:pPr>
              <w:ind w:left="-18" w:hanging="25"/>
              <w:jc w:val="right"/>
              <w:rPr>
                <w:rFonts w:asciiTheme="minorHAnsi" w:hAnsiTheme="minorHAnsi"/>
                <w:b/>
                <w:bCs/>
                <w:sz w:val="20"/>
                <w:szCs w:val="20"/>
              </w:rPr>
            </w:pPr>
            <w:r w:rsidRPr="001C5950">
              <w:rPr>
                <w:rFonts w:asciiTheme="minorHAnsi" w:hAnsiTheme="minorHAnsi"/>
                <w:b/>
                <w:bCs/>
                <w:sz w:val="20"/>
                <w:szCs w:val="20"/>
              </w:rPr>
              <w:t xml:space="preserve"> 31 December </w:t>
            </w:r>
            <w:r>
              <w:rPr>
                <w:rFonts w:asciiTheme="minorHAnsi" w:hAnsiTheme="minorHAnsi"/>
                <w:b/>
                <w:bCs/>
                <w:sz w:val="20"/>
                <w:szCs w:val="20"/>
              </w:rPr>
              <w:t>2018</w:t>
            </w:r>
          </w:p>
        </w:tc>
      </w:tr>
      <w:tr w:rsidR="00794AFD" w:rsidRPr="001C5950" w14:paraId="2DD5DAFC" w14:textId="77777777" w:rsidTr="00794AFD">
        <w:tc>
          <w:tcPr>
            <w:tcW w:w="6663" w:type="dxa"/>
            <w:tcBorders>
              <w:bottom w:val="single" w:sz="4" w:space="0" w:color="auto"/>
            </w:tcBorders>
            <w:shd w:val="clear" w:color="auto" w:fill="auto"/>
          </w:tcPr>
          <w:p w14:paraId="5A3A0956" w14:textId="77777777" w:rsidR="00794AFD" w:rsidRPr="001C5950" w:rsidRDefault="00794AFD" w:rsidP="00794AFD">
            <w:pPr>
              <w:jc w:val="both"/>
              <w:rPr>
                <w:rFonts w:asciiTheme="minorHAnsi" w:hAnsiTheme="minorHAnsi"/>
                <w:bCs/>
                <w:sz w:val="20"/>
                <w:szCs w:val="20"/>
              </w:rPr>
            </w:pPr>
          </w:p>
        </w:tc>
        <w:tc>
          <w:tcPr>
            <w:tcW w:w="1984" w:type="dxa"/>
            <w:tcBorders>
              <w:bottom w:val="single" w:sz="4" w:space="0" w:color="auto"/>
            </w:tcBorders>
            <w:shd w:val="clear" w:color="auto" w:fill="auto"/>
          </w:tcPr>
          <w:p w14:paraId="7F8509CC" w14:textId="77777777" w:rsidR="00794AFD" w:rsidRPr="001C5950" w:rsidRDefault="00794AFD" w:rsidP="00794AFD">
            <w:pPr>
              <w:ind w:left="-18" w:firstLine="18"/>
              <w:jc w:val="right"/>
              <w:rPr>
                <w:rFonts w:asciiTheme="minorHAnsi" w:hAnsiTheme="minorHAnsi"/>
                <w:b/>
                <w:bCs/>
                <w:sz w:val="20"/>
                <w:szCs w:val="20"/>
              </w:rPr>
            </w:pPr>
            <w:r w:rsidRPr="001C5950">
              <w:rPr>
                <w:rFonts w:asciiTheme="minorHAnsi" w:hAnsiTheme="minorHAnsi"/>
                <w:b/>
                <w:bCs/>
                <w:sz w:val="20"/>
                <w:szCs w:val="20"/>
              </w:rPr>
              <w:t>£m</w:t>
            </w:r>
          </w:p>
        </w:tc>
      </w:tr>
      <w:tr w:rsidR="00794AFD" w:rsidRPr="001C5950" w14:paraId="241C4A1A" w14:textId="77777777" w:rsidTr="00794AFD">
        <w:tc>
          <w:tcPr>
            <w:tcW w:w="6663" w:type="dxa"/>
            <w:tcBorders>
              <w:top w:val="single" w:sz="4" w:space="0" w:color="auto"/>
            </w:tcBorders>
            <w:shd w:val="clear" w:color="auto" w:fill="auto"/>
          </w:tcPr>
          <w:p w14:paraId="003EC367" w14:textId="77777777" w:rsidR="00794AFD" w:rsidRPr="001C5950" w:rsidRDefault="00794AFD" w:rsidP="00794AFD">
            <w:pPr>
              <w:ind w:left="-108"/>
              <w:rPr>
                <w:rFonts w:asciiTheme="minorHAnsi" w:hAnsiTheme="minorHAnsi"/>
                <w:b/>
                <w:bCs/>
                <w:sz w:val="20"/>
                <w:szCs w:val="20"/>
              </w:rPr>
            </w:pPr>
            <w:r w:rsidRPr="001C5950">
              <w:rPr>
                <w:rFonts w:asciiTheme="minorHAnsi" w:hAnsiTheme="minorHAnsi"/>
                <w:b/>
                <w:bCs/>
                <w:sz w:val="20"/>
                <w:szCs w:val="20"/>
              </w:rPr>
              <w:t>Identifiable net assets acquired:</w:t>
            </w:r>
          </w:p>
        </w:tc>
        <w:tc>
          <w:tcPr>
            <w:tcW w:w="1984" w:type="dxa"/>
            <w:tcBorders>
              <w:top w:val="single" w:sz="4" w:space="0" w:color="auto"/>
            </w:tcBorders>
            <w:shd w:val="clear" w:color="auto" w:fill="auto"/>
          </w:tcPr>
          <w:p w14:paraId="02DAEF55" w14:textId="77777777" w:rsidR="00794AFD" w:rsidRPr="00FC3D06" w:rsidRDefault="00794AFD" w:rsidP="00794AFD">
            <w:pPr>
              <w:ind w:left="360"/>
              <w:jc w:val="right"/>
              <w:rPr>
                <w:rFonts w:asciiTheme="minorHAnsi" w:hAnsiTheme="minorHAnsi"/>
                <w:bCs/>
                <w:sz w:val="20"/>
                <w:szCs w:val="20"/>
              </w:rPr>
            </w:pPr>
          </w:p>
        </w:tc>
      </w:tr>
      <w:tr w:rsidR="00794AFD" w:rsidRPr="001C5950" w14:paraId="33C35833" w14:textId="77777777" w:rsidTr="00794AFD">
        <w:tc>
          <w:tcPr>
            <w:tcW w:w="6663" w:type="dxa"/>
            <w:shd w:val="clear" w:color="auto" w:fill="auto"/>
          </w:tcPr>
          <w:p w14:paraId="6C538E77" w14:textId="77777777" w:rsidR="00794AFD" w:rsidRPr="001C5950" w:rsidRDefault="00794AFD" w:rsidP="00794AFD">
            <w:pPr>
              <w:ind w:left="-108"/>
              <w:rPr>
                <w:rFonts w:asciiTheme="minorHAnsi" w:hAnsiTheme="minorHAnsi"/>
                <w:bCs/>
                <w:sz w:val="20"/>
                <w:szCs w:val="20"/>
              </w:rPr>
            </w:pPr>
            <w:r w:rsidRPr="001C5950">
              <w:rPr>
                <w:rFonts w:asciiTheme="minorHAnsi" w:hAnsiTheme="minorHAnsi"/>
                <w:bCs/>
                <w:sz w:val="20"/>
                <w:szCs w:val="20"/>
              </w:rPr>
              <w:t>Property, plant and equipment</w:t>
            </w:r>
          </w:p>
        </w:tc>
        <w:tc>
          <w:tcPr>
            <w:tcW w:w="1984" w:type="dxa"/>
            <w:shd w:val="clear" w:color="auto" w:fill="auto"/>
          </w:tcPr>
          <w:p w14:paraId="5C8D4CAC" w14:textId="77777777" w:rsidR="00794AFD" w:rsidRPr="001C5950" w:rsidRDefault="00794AFD" w:rsidP="00794AFD">
            <w:pPr>
              <w:ind w:left="360"/>
              <w:jc w:val="right"/>
              <w:rPr>
                <w:rFonts w:asciiTheme="minorHAnsi" w:hAnsiTheme="minorHAnsi"/>
                <w:bCs/>
                <w:sz w:val="20"/>
                <w:szCs w:val="20"/>
              </w:rPr>
            </w:pPr>
            <w:r w:rsidRPr="001C5950">
              <w:rPr>
                <w:rFonts w:asciiTheme="minorHAnsi" w:hAnsiTheme="minorHAnsi"/>
                <w:bCs/>
                <w:sz w:val="20"/>
                <w:szCs w:val="20"/>
              </w:rPr>
              <w:t>0.1</w:t>
            </w:r>
          </w:p>
        </w:tc>
      </w:tr>
      <w:tr w:rsidR="00794AFD" w:rsidRPr="001C5950" w14:paraId="476BCCA6" w14:textId="77777777" w:rsidTr="00794AFD">
        <w:tc>
          <w:tcPr>
            <w:tcW w:w="6663" w:type="dxa"/>
            <w:tcBorders>
              <w:bottom w:val="single" w:sz="4" w:space="0" w:color="auto"/>
            </w:tcBorders>
            <w:shd w:val="clear" w:color="auto" w:fill="auto"/>
          </w:tcPr>
          <w:p w14:paraId="681B5DB6" w14:textId="77777777" w:rsidR="00794AFD" w:rsidRPr="001C5950" w:rsidRDefault="00794AFD" w:rsidP="00794AFD">
            <w:pPr>
              <w:ind w:left="-108"/>
              <w:rPr>
                <w:rFonts w:asciiTheme="minorHAnsi" w:hAnsiTheme="minorHAnsi"/>
                <w:bCs/>
                <w:sz w:val="20"/>
                <w:szCs w:val="20"/>
              </w:rPr>
            </w:pPr>
            <w:r w:rsidRPr="001C5950">
              <w:rPr>
                <w:rFonts w:asciiTheme="minorHAnsi" w:hAnsiTheme="minorHAnsi"/>
                <w:bCs/>
                <w:sz w:val="20"/>
                <w:szCs w:val="20"/>
              </w:rPr>
              <w:t>Goodwill arising on acquisition – UK Retail and Irish Retail</w:t>
            </w:r>
          </w:p>
        </w:tc>
        <w:tc>
          <w:tcPr>
            <w:tcW w:w="1984" w:type="dxa"/>
            <w:tcBorders>
              <w:bottom w:val="single" w:sz="4" w:space="0" w:color="auto"/>
            </w:tcBorders>
            <w:shd w:val="clear" w:color="auto" w:fill="auto"/>
          </w:tcPr>
          <w:p w14:paraId="7CE7105D" w14:textId="77777777" w:rsidR="00794AFD" w:rsidRPr="001C5950" w:rsidRDefault="00794AFD" w:rsidP="00794AFD">
            <w:pPr>
              <w:ind w:left="360"/>
              <w:jc w:val="right"/>
              <w:rPr>
                <w:rFonts w:asciiTheme="minorHAnsi" w:hAnsiTheme="minorHAnsi"/>
                <w:bCs/>
                <w:sz w:val="20"/>
                <w:szCs w:val="20"/>
              </w:rPr>
            </w:pPr>
            <w:r w:rsidRPr="001C5950">
              <w:rPr>
                <w:rFonts w:asciiTheme="minorHAnsi" w:hAnsiTheme="minorHAnsi"/>
                <w:bCs/>
                <w:sz w:val="20"/>
                <w:szCs w:val="20"/>
              </w:rPr>
              <w:t>1.1</w:t>
            </w:r>
          </w:p>
        </w:tc>
      </w:tr>
      <w:tr w:rsidR="00794AFD" w:rsidRPr="001C5950" w14:paraId="302D95CF" w14:textId="77777777" w:rsidTr="00794AFD">
        <w:tc>
          <w:tcPr>
            <w:tcW w:w="6663" w:type="dxa"/>
            <w:tcBorders>
              <w:top w:val="single" w:sz="4" w:space="0" w:color="auto"/>
              <w:bottom w:val="single" w:sz="4" w:space="0" w:color="auto"/>
            </w:tcBorders>
            <w:shd w:val="clear" w:color="auto" w:fill="auto"/>
          </w:tcPr>
          <w:p w14:paraId="0D96E8BB" w14:textId="77777777" w:rsidR="00794AFD" w:rsidRPr="001C5950" w:rsidRDefault="00794AFD" w:rsidP="00794AFD">
            <w:pPr>
              <w:ind w:left="-108"/>
              <w:rPr>
                <w:rFonts w:asciiTheme="minorHAnsi" w:hAnsiTheme="minorHAnsi"/>
                <w:b/>
                <w:bCs/>
                <w:sz w:val="20"/>
                <w:szCs w:val="20"/>
              </w:rPr>
            </w:pPr>
            <w:r w:rsidRPr="001C5950">
              <w:rPr>
                <w:rFonts w:asciiTheme="minorHAnsi" w:hAnsiTheme="minorHAnsi"/>
                <w:b/>
                <w:bCs/>
                <w:sz w:val="20"/>
                <w:szCs w:val="20"/>
              </w:rPr>
              <w:t>Consideration</w:t>
            </w:r>
          </w:p>
        </w:tc>
        <w:tc>
          <w:tcPr>
            <w:tcW w:w="1984" w:type="dxa"/>
            <w:tcBorders>
              <w:top w:val="single" w:sz="4" w:space="0" w:color="auto"/>
              <w:bottom w:val="single" w:sz="4" w:space="0" w:color="auto"/>
            </w:tcBorders>
            <w:shd w:val="clear" w:color="auto" w:fill="auto"/>
          </w:tcPr>
          <w:p w14:paraId="716AFB0A" w14:textId="77777777" w:rsidR="00794AFD" w:rsidRPr="001C5950" w:rsidRDefault="00794AFD" w:rsidP="00794AFD">
            <w:pPr>
              <w:ind w:left="360"/>
              <w:jc w:val="right"/>
              <w:rPr>
                <w:rFonts w:asciiTheme="minorHAnsi" w:hAnsiTheme="minorHAnsi"/>
                <w:bCs/>
                <w:sz w:val="20"/>
                <w:szCs w:val="20"/>
              </w:rPr>
            </w:pPr>
            <w:r w:rsidRPr="001C5950">
              <w:rPr>
                <w:rFonts w:asciiTheme="minorHAnsi" w:hAnsiTheme="minorHAnsi"/>
                <w:bCs/>
                <w:sz w:val="20"/>
                <w:szCs w:val="20"/>
              </w:rPr>
              <w:t>1.2</w:t>
            </w:r>
          </w:p>
        </w:tc>
      </w:tr>
      <w:tr w:rsidR="00794AFD" w:rsidRPr="001C5950" w14:paraId="3AC09BF2" w14:textId="77777777" w:rsidTr="00794AFD">
        <w:tc>
          <w:tcPr>
            <w:tcW w:w="6663" w:type="dxa"/>
            <w:tcBorders>
              <w:top w:val="single" w:sz="4" w:space="0" w:color="auto"/>
            </w:tcBorders>
            <w:shd w:val="clear" w:color="auto" w:fill="auto"/>
          </w:tcPr>
          <w:p w14:paraId="5FD904AF" w14:textId="77777777" w:rsidR="00794AFD" w:rsidRPr="001C5950" w:rsidRDefault="00794AFD" w:rsidP="00794AFD">
            <w:pPr>
              <w:ind w:left="-108"/>
              <w:rPr>
                <w:rFonts w:asciiTheme="minorHAnsi" w:hAnsiTheme="minorHAnsi"/>
                <w:bCs/>
                <w:sz w:val="20"/>
                <w:szCs w:val="20"/>
              </w:rPr>
            </w:pPr>
          </w:p>
        </w:tc>
        <w:tc>
          <w:tcPr>
            <w:tcW w:w="1984" w:type="dxa"/>
            <w:tcBorders>
              <w:top w:val="single" w:sz="4" w:space="0" w:color="auto"/>
            </w:tcBorders>
            <w:shd w:val="clear" w:color="auto" w:fill="auto"/>
          </w:tcPr>
          <w:p w14:paraId="2395894A" w14:textId="77777777" w:rsidR="00794AFD" w:rsidRPr="00FC3D06" w:rsidRDefault="00794AFD" w:rsidP="00794AFD">
            <w:pPr>
              <w:ind w:left="360"/>
              <w:jc w:val="right"/>
              <w:rPr>
                <w:rFonts w:asciiTheme="minorHAnsi" w:hAnsiTheme="minorHAnsi"/>
                <w:bCs/>
                <w:sz w:val="20"/>
                <w:szCs w:val="20"/>
              </w:rPr>
            </w:pPr>
          </w:p>
        </w:tc>
      </w:tr>
      <w:tr w:rsidR="00794AFD" w:rsidRPr="001C5950" w14:paraId="0ED88A77" w14:textId="77777777" w:rsidTr="00794AFD">
        <w:tc>
          <w:tcPr>
            <w:tcW w:w="6663" w:type="dxa"/>
            <w:shd w:val="clear" w:color="auto" w:fill="auto"/>
          </w:tcPr>
          <w:p w14:paraId="0A2B785F" w14:textId="77777777" w:rsidR="00794AFD" w:rsidRPr="001C5950" w:rsidRDefault="00794AFD" w:rsidP="00794AFD">
            <w:pPr>
              <w:ind w:left="-108"/>
              <w:rPr>
                <w:rFonts w:asciiTheme="minorHAnsi" w:hAnsiTheme="minorHAnsi"/>
                <w:b/>
                <w:bCs/>
                <w:sz w:val="20"/>
                <w:szCs w:val="20"/>
              </w:rPr>
            </w:pPr>
            <w:r w:rsidRPr="001C5950">
              <w:rPr>
                <w:rFonts w:asciiTheme="minorHAnsi" w:hAnsiTheme="minorHAnsi"/>
                <w:b/>
                <w:bCs/>
                <w:sz w:val="20"/>
                <w:szCs w:val="20"/>
              </w:rPr>
              <w:t>The consideration is analysed as:</w:t>
            </w:r>
          </w:p>
        </w:tc>
        <w:tc>
          <w:tcPr>
            <w:tcW w:w="1984" w:type="dxa"/>
            <w:shd w:val="clear" w:color="auto" w:fill="auto"/>
          </w:tcPr>
          <w:p w14:paraId="40B585BD" w14:textId="77777777" w:rsidR="00794AFD" w:rsidRPr="00FC3D06" w:rsidRDefault="00794AFD" w:rsidP="00794AFD">
            <w:pPr>
              <w:ind w:left="360"/>
              <w:jc w:val="right"/>
              <w:rPr>
                <w:rFonts w:asciiTheme="minorHAnsi" w:hAnsiTheme="minorHAnsi"/>
                <w:bCs/>
                <w:sz w:val="20"/>
                <w:szCs w:val="20"/>
              </w:rPr>
            </w:pPr>
          </w:p>
        </w:tc>
      </w:tr>
      <w:tr w:rsidR="00794AFD" w:rsidRPr="001C5950" w14:paraId="6D85E22D" w14:textId="77777777" w:rsidTr="00794AFD">
        <w:tc>
          <w:tcPr>
            <w:tcW w:w="6663" w:type="dxa"/>
            <w:shd w:val="clear" w:color="auto" w:fill="auto"/>
          </w:tcPr>
          <w:p w14:paraId="2444B2CD" w14:textId="77777777" w:rsidR="00794AFD" w:rsidRPr="001C5950" w:rsidRDefault="00794AFD" w:rsidP="00794AFD">
            <w:pPr>
              <w:ind w:left="-108"/>
              <w:rPr>
                <w:rFonts w:asciiTheme="minorHAnsi" w:hAnsiTheme="minorHAnsi"/>
                <w:bCs/>
                <w:sz w:val="20"/>
                <w:szCs w:val="20"/>
              </w:rPr>
            </w:pPr>
            <w:r w:rsidRPr="001C5950">
              <w:rPr>
                <w:rFonts w:asciiTheme="minorHAnsi" w:hAnsiTheme="minorHAnsi"/>
                <w:bCs/>
                <w:sz w:val="20"/>
                <w:szCs w:val="20"/>
              </w:rPr>
              <w:t>Cash consideration</w:t>
            </w:r>
          </w:p>
        </w:tc>
        <w:tc>
          <w:tcPr>
            <w:tcW w:w="1984" w:type="dxa"/>
            <w:shd w:val="clear" w:color="auto" w:fill="auto"/>
          </w:tcPr>
          <w:p w14:paraId="7A8C2575" w14:textId="77777777" w:rsidR="00794AFD" w:rsidRPr="001C5950" w:rsidRDefault="00794AFD" w:rsidP="00794AFD">
            <w:pPr>
              <w:ind w:left="360"/>
              <w:jc w:val="right"/>
              <w:rPr>
                <w:rFonts w:asciiTheme="minorHAnsi" w:hAnsiTheme="minorHAnsi"/>
                <w:bCs/>
                <w:sz w:val="20"/>
                <w:szCs w:val="20"/>
              </w:rPr>
            </w:pPr>
            <w:r w:rsidRPr="001C5950">
              <w:rPr>
                <w:rFonts w:asciiTheme="minorHAnsi" w:hAnsiTheme="minorHAnsi"/>
                <w:bCs/>
                <w:sz w:val="20"/>
                <w:szCs w:val="20"/>
              </w:rPr>
              <w:t>1.1</w:t>
            </w:r>
          </w:p>
        </w:tc>
      </w:tr>
      <w:tr w:rsidR="00794AFD" w:rsidRPr="001C5950" w14:paraId="53BE6E3A" w14:textId="77777777" w:rsidTr="00794AFD">
        <w:tc>
          <w:tcPr>
            <w:tcW w:w="6663" w:type="dxa"/>
            <w:tcBorders>
              <w:bottom w:val="single" w:sz="4" w:space="0" w:color="auto"/>
            </w:tcBorders>
            <w:shd w:val="clear" w:color="auto" w:fill="auto"/>
          </w:tcPr>
          <w:p w14:paraId="4442CF1C" w14:textId="77777777" w:rsidR="00794AFD" w:rsidRPr="001C5950" w:rsidRDefault="00794AFD" w:rsidP="00794AFD">
            <w:pPr>
              <w:ind w:left="-108"/>
              <w:rPr>
                <w:rFonts w:asciiTheme="minorHAnsi" w:hAnsiTheme="minorHAnsi"/>
                <w:bCs/>
                <w:sz w:val="20"/>
                <w:szCs w:val="20"/>
              </w:rPr>
            </w:pPr>
            <w:r w:rsidRPr="001C5950">
              <w:rPr>
                <w:rFonts w:asciiTheme="minorHAnsi" w:hAnsiTheme="minorHAnsi" w:cs="Times New Roman"/>
                <w:sz w:val="20"/>
                <w:szCs w:val="20"/>
              </w:rPr>
              <w:t>Contingent deferred consideration</w:t>
            </w:r>
          </w:p>
        </w:tc>
        <w:tc>
          <w:tcPr>
            <w:tcW w:w="1984" w:type="dxa"/>
            <w:tcBorders>
              <w:bottom w:val="single" w:sz="4" w:space="0" w:color="auto"/>
            </w:tcBorders>
            <w:shd w:val="clear" w:color="auto" w:fill="auto"/>
          </w:tcPr>
          <w:p w14:paraId="52103B44" w14:textId="77777777" w:rsidR="00794AFD" w:rsidRPr="001C5950" w:rsidRDefault="00794AFD" w:rsidP="00794AFD">
            <w:pPr>
              <w:ind w:left="360"/>
              <w:jc w:val="right"/>
              <w:rPr>
                <w:rFonts w:asciiTheme="minorHAnsi" w:hAnsiTheme="minorHAnsi"/>
                <w:bCs/>
                <w:sz w:val="20"/>
                <w:szCs w:val="20"/>
              </w:rPr>
            </w:pPr>
            <w:r w:rsidRPr="001C5950">
              <w:rPr>
                <w:rFonts w:asciiTheme="minorHAnsi" w:hAnsiTheme="minorHAnsi"/>
                <w:bCs/>
                <w:sz w:val="20"/>
                <w:szCs w:val="20"/>
              </w:rPr>
              <w:t>0.1</w:t>
            </w:r>
          </w:p>
        </w:tc>
      </w:tr>
      <w:tr w:rsidR="00794AFD" w:rsidRPr="001C5950" w14:paraId="0767E4B3" w14:textId="77777777" w:rsidTr="00794AFD">
        <w:tc>
          <w:tcPr>
            <w:tcW w:w="6663" w:type="dxa"/>
            <w:tcBorders>
              <w:top w:val="single" w:sz="4" w:space="0" w:color="auto"/>
              <w:bottom w:val="single" w:sz="4" w:space="0" w:color="auto"/>
            </w:tcBorders>
            <w:shd w:val="clear" w:color="auto" w:fill="auto"/>
          </w:tcPr>
          <w:p w14:paraId="4B978EB2" w14:textId="77777777" w:rsidR="00794AFD" w:rsidRPr="001C5950" w:rsidRDefault="00794AFD" w:rsidP="00794AFD">
            <w:pPr>
              <w:ind w:left="-108"/>
              <w:jc w:val="both"/>
              <w:rPr>
                <w:rFonts w:asciiTheme="minorHAnsi" w:hAnsiTheme="minorHAnsi"/>
                <w:b/>
                <w:bCs/>
                <w:sz w:val="20"/>
                <w:szCs w:val="20"/>
              </w:rPr>
            </w:pPr>
            <w:r w:rsidRPr="001C5950">
              <w:rPr>
                <w:rFonts w:asciiTheme="minorHAnsi" w:hAnsiTheme="minorHAnsi"/>
                <w:b/>
                <w:bCs/>
                <w:sz w:val="20"/>
                <w:szCs w:val="20"/>
              </w:rPr>
              <w:t>Consideration</w:t>
            </w:r>
          </w:p>
        </w:tc>
        <w:tc>
          <w:tcPr>
            <w:tcW w:w="1984" w:type="dxa"/>
            <w:tcBorders>
              <w:top w:val="single" w:sz="4" w:space="0" w:color="auto"/>
              <w:bottom w:val="single" w:sz="4" w:space="0" w:color="auto"/>
            </w:tcBorders>
            <w:shd w:val="clear" w:color="auto" w:fill="auto"/>
          </w:tcPr>
          <w:p w14:paraId="104A2486" w14:textId="77777777" w:rsidR="00794AFD" w:rsidRPr="001C5950" w:rsidRDefault="00794AFD" w:rsidP="00794AFD">
            <w:pPr>
              <w:ind w:left="360"/>
              <w:jc w:val="right"/>
              <w:rPr>
                <w:rFonts w:asciiTheme="minorHAnsi" w:hAnsiTheme="minorHAnsi"/>
                <w:bCs/>
                <w:sz w:val="20"/>
                <w:szCs w:val="20"/>
              </w:rPr>
            </w:pPr>
            <w:r w:rsidRPr="001C5950">
              <w:rPr>
                <w:rFonts w:asciiTheme="minorHAnsi" w:hAnsiTheme="minorHAnsi"/>
                <w:bCs/>
                <w:sz w:val="20"/>
                <w:szCs w:val="20"/>
              </w:rPr>
              <w:t>1.2</w:t>
            </w:r>
          </w:p>
        </w:tc>
      </w:tr>
      <w:tr w:rsidR="00794AFD" w:rsidRPr="001C5950" w14:paraId="6C277F7F" w14:textId="77777777" w:rsidTr="00794AFD">
        <w:tc>
          <w:tcPr>
            <w:tcW w:w="6663" w:type="dxa"/>
            <w:tcBorders>
              <w:top w:val="single" w:sz="4" w:space="0" w:color="auto"/>
            </w:tcBorders>
            <w:shd w:val="clear" w:color="auto" w:fill="auto"/>
          </w:tcPr>
          <w:p w14:paraId="37BD6D76" w14:textId="77777777" w:rsidR="00794AFD" w:rsidRPr="00FC3D06" w:rsidRDefault="00794AFD" w:rsidP="00794AFD">
            <w:pPr>
              <w:ind w:left="-108"/>
              <w:jc w:val="both"/>
              <w:rPr>
                <w:rFonts w:asciiTheme="minorHAnsi" w:hAnsiTheme="minorHAnsi"/>
                <w:bCs/>
                <w:sz w:val="20"/>
                <w:szCs w:val="20"/>
              </w:rPr>
            </w:pPr>
          </w:p>
        </w:tc>
        <w:tc>
          <w:tcPr>
            <w:tcW w:w="1984" w:type="dxa"/>
            <w:tcBorders>
              <w:top w:val="single" w:sz="4" w:space="0" w:color="auto"/>
            </w:tcBorders>
            <w:shd w:val="clear" w:color="auto" w:fill="auto"/>
          </w:tcPr>
          <w:p w14:paraId="791D17D0" w14:textId="77777777" w:rsidR="00794AFD" w:rsidRPr="00FC3D06" w:rsidRDefault="00794AFD" w:rsidP="00794AFD">
            <w:pPr>
              <w:ind w:left="360"/>
              <w:jc w:val="right"/>
              <w:rPr>
                <w:rFonts w:asciiTheme="minorHAnsi" w:hAnsiTheme="minorHAnsi"/>
                <w:b/>
                <w:bCs/>
                <w:sz w:val="20"/>
                <w:szCs w:val="20"/>
              </w:rPr>
            </w:pPr>
          </w:p>
        </w:tc>
      </w:tr>
    </w:tbl>
    <w:p w14:paraId="42530B92" w14:textId="77777777" w:rsidR="00794AFD" w:rsidRPr="001C5950" w:rsidRDefault="00794AFD" w:rsidP="00794AFD">
      <w:pPr>
        <w:rPr>
          <w:rFonts w:asciiTheme="minorHAnsi" w:hAnsiTheme="minorHAnsi"/>
          <w:b/>
          <w:bCs/>
          <w:sz w:val="20"/>
          <w:szCs w:val="20"/>
        </w:rPr>
      </w:pPr>
      <w:r w:rsidRPr="001C5950">
        <w:rPr>
          <w:rFonts w:asciiTheme="minorHAnsi" w:hAnsiTheme="minorHAnsi"/>
          <w:bCs/>
          <w:sz w:val="20"/>
          <w:szCs w:val="20"/>
        </w:rPr>
        <w:t>The principal factors contributing to the UK Retail and Irish Retail goodwill balances are the well-established nature of the acquired businesses within the locations in which they operate and the potential synergies, rebranding opportunities and operational efficiencies achievable for the acquired businesses within the Group.</w:t>
      </w:r>
    </w:p>
    <w:p w14:paraId="06EFB131" w14:textId="77777777" w:rsidR="00794AFD" w:rsidRPr="001C5950" w:rsidRDefault="00794AFD" w:rsidP="00794AFD">
      <w:pPr>
        <w:rPr>
          <w:rFonts w:asciiTheme="minorHAnsi" w:hAnsiTheme="minorHAnsi"/>
          <w:bCs/>
          <w:sz w:val="20"/>
          <w:szCs w:val="20"/>
        </w:rPr>
      </w:pPr>
    </w:p>
    <w:p w14:paraId="346D4D6A" w14:textId="77777777" w:rsidR="00794AFD" w:rsidRPr="001C5950" w:rsidRDefault="00794AFD" w:rsidP="00794AFD">
      <w:pPr>
        <w:rPr>
          <w:rFonts w:asciiTheme="minorHAnsi" w:hAnsiTheme="minorHAnsi"/>
          <w:bCs/>
          <w:sz w:val="20"/>
          <w:szCs w:val="20"/>
        </w:rPr>
      </w:pPr>
      <w:r w:rsidRPr="001C5950">
        <w:rPr>
          <w:rFonts w:asciiTheme="minorHAnsi" w:hAnsiTheme="minorHAnsi"/>
          <w:bCs/>
          <w:sz w:val="20"/>
          <w:szCs w:val="20"/>
        </w:rPr>
        <w:t xml:space="preserve">Information in respect of revenue, operating profit and cash flows for the acquired businesses in the period from acquisition and for the year ended 31 December </w:t>
      </w:r>
      <w:r>
        <w:rPr>
          <w:rFonts w:asciiTheme="minorHAnsi" w:hAnsiTheme="minorHAnsi"/>
          <w:bCs/>
          <w:sz w:val="20"/>
          <w:szCs w:val="20"/>
        </w:rPr>
        <w:t>2018</w:t>
      </w:r>
      <w:r w:rsidRPr="001C5950">
        <w:rPr>
          <w:rFonts w:asciiTheme="minorHAnsi" w:hAnsiTheme="minorHAnsi"/>
          <w:bCs/>
          <w:sz w:val="20"/>
          <w:szCs w:val="20"/>
        </w:rPr>
        <w:t xml:space="preserve"> has not been presented on the basis of immateriality.</w:t>
      </w:r>
    </w:p>
    <w:p w14:paraId="603FA037" w14:textId="77777777" w:rsidR="00794AFD" w:rsidRPr="00FC3D06" w:rsidRDefault="00794AFD" w:rsidP="00794AFD">
      <w:pPr>
        <w:rPr>
          <w:rFonts w:asciiTheme="minorHAnsi" w:hAnsiTheme="minorHAnsi"/>
          <w:bCs/>
          <w:sz w:val="20"/>
          <w:szCs w:val="20"/>
        </w:rPr>
      </w:pPr>
    </w:p>
    <w:p w14:paraId="03F24D7A" w14:textId="77777777" w:rsidR="00794AFD" w:rsidRPr="001C5950" w:rsidRDefault="00794AFD" w:rsidP="00794AFD">
      <w:pPr>
        <w:rPr>
          <w:rFonts w:asciiTheme="minorHAnsi" w:hAnsiTheme="minorHAnsi"/>
          <w:bCs/>
          <w:sz w:val="20"/>
          <w:szCs w:val="20"/>
        </w:rPr>
      </w:pPr>
      <w:r w:rsidRPr="001C5950">
        <w:rPr>
          <w:rFonts w:asciiTheme="minorHAnsi" w:hAnsiTheme="minorHAnsi"/>
          <w:bCs/>
          <w:sz w:val="20"/>
          <w:szCs w:val="20"/>
        </w:rPr>
        <w:t>Contingent deferred consideration is payable to the vendors by reference to the acquired businesses’ performance against agreed financial targets for the 12 months following the date of acquisition.</w:t>
      </w:r>
    </w:p>
    <w:p w14:paraId="0192FF97" w14:textId="77777777" w:rsidR="00794AFD" w:rsidRPr="00FC3D06" w:rsidRDefault="00794AFD" w:rsidP="00794AFD">
      <w:pPr>
        <w:pStyle w:val="BodyText"/>
        <w:rPr>
          <w:rFonts w:asciiTheme="minorHAnsi" w:hAnsiTheme="minorHAnsi"/>
          <w:b/>
          <w:sz w:val="20"/>
          <w:szCs w:val="20"/>
          <w:lang w:val="en-IE"/>
        </w:rPr>
      </w:pPr>
    </w:p>
    <w:p w14:paraId="7F63F528" w14:textId="77777777" w:rsidR="00794AFD" w:rsidRPr="001C5950" w:rsidRDefault="00794AFD" w:rsidP="00794AFD">
      <w:pPr>
        <w:rPr>
          <w:rFonts w:asciiTheme="minorHAnsi" w:hAnsiTheme="minorHAnsi" w:cs="Times New Roman"/>
          <w:sz w:val="20"/>
          <w:szCs w:val="20"/>
        </w:rPr>
      </w:pPr>
    </w:p>
    <w:p w14:paraId="38C0ED4E" w14:textId="77777777" w:rsidR="00794AFD" w:rsidRPr="001C5950" w:rsidRDefault="00794AFD" w:rsidP="00794AFD">
      <w:pPr>
        <w:rPr>
          <w:rFonts w:asciiTheme="minorHAnsi" w:hAnsiTheme="minorHAnsi"/>
          <w:b/>
          <w:bCs/>
          <w:i/>
          <w:sz w:val="20"/>
          <w:szCs w:val="20"/>
        </w:rPr>
      </w:pPr>
      <w:r w:rsidRPr="001C5950">
        <w:rPr>
          <w:rFonts w:asciiTheme="minorHAnsi" w:hAnsiTheme="minorHAnsi"/>
          <w:b/>
          <w:bCs/>
          <w:sz w:val="20"/>
          <w:szCs w:val="20"/>
        </w:rPr>
        <w:t>Net cash outflow / (inflow) from purchase of businesses</w:t>
      </w:r>
    </w:p>
    <w:tbl>
      <w:tblPr>
        <w:tblW w:w="9072" w:type="dxa"/>
        <w:tblInd w:w="108" w:type="dxa"/>
        <w:tblLayout w:type="fixed"/>
        <w:tblLook w:val="01E0" w:firstRow="1" w:lastRow="1" w:firstColumn="1" w:lastColumn="1" w:noHBand="0" w:noVBand="0"/>
      </w:tblPr>
      <w:tblGrid>
        <w:gridCol w:w="5387"/>
        <w:gridCol w:w="1843"/>
        <w:gridCol w:w="1842"/>
      </w:tblGrid>
      <w:tr w:rsidR="00794AFD" w:rsidRPr="001C5950" w14:paraId="431A9E1B" w14:textId="77777777" w:rsidTr="00794AFD">
        <w:trPr>
          <w:trHeight w:val="225"/>
        </w:trPr>
        <w:tc>
          <w:tcPr>
            <w:tcW w:w="5387" w:type="dxa"/>
            <w:tcBorders>
              <w:top w:val="single" w:sz="4" w:space="0" w:color="auto"/>
            </w:tcBorders>
            <w:shd w:val="clear" w:color="auto" w:fill="auto"/>
          </w:tcPr>
          <w:p w14:paraId="5C5C8C65" w14:textId="77777777" w:rsidR="00794AFD" w:rsidRPr="001C5950" w:rsidRDefault="00794AFD" w:rsidP="00794AFD">
            <w:pPr>
              <w:rPr>
                <w:rFonts w:asciiTheme="minorHAnsi" w:hAnsiTheme="minorHAnsi"/>
                <w:bCs/>
                <w:sz w:val="20"/>
                <w:szCs w:val="20"/>
              </w:rPr>
            </w:pPr>
          </w:p>
        </w:tc>
        <w:tc>
          <w:tcPr>
            <w:tcW w:w="1843" w:type="dxa"/>
            <w:tcBorders>
              <w:top w:val="single" w:sz="4" w:space="0" w:color="auto"/>
            </w:tcBorders>
            <w:shd w:val="clear" w:color="auto" w:fill="auto"/>
          </w:tcPr>
          <w:p w14:paraId="6582EE55" w14:textId="77777777" w:rsidR="00794AFD" w:rsidRPr="001C5950" w:rsidRDefault="00794AFD" w:rsidP="00794AFD">
            <w:pPr>
              <w:jc w:val="right"/>
              <w:rPr>
                <w:rFonts w:asciiTheme="minorHAnsi" w:hAnsiTheme="minorHAnsi"/>
                <w:b/>
                <w:sz w:val="20"/>
                <w:szCs w:val="20"/>
              </w:rPr>
            </w:pPr>
          </w:p>
          <w:p w14:paraId="6AFE2571" w14:textId="77777777" w:rsidR="00794AFD" w:rsidRPr="001C5950" w:rsidRDefault="00794AFD" w:rsidP="00794AFD">
            <w:pPr>
              <w:jc w:val="right"/>
              <w:rPr>
                <w:rFonts w:asciiTheme="minorHAnsi" w:hAnsiTheme="minorHAnsi"/>
                <w:b/>
                <w:bCs/>
                <w:sz w:val="20"/>
                <w:szCs w:val="20"/>
              </w:rPr>
            </w:pPr>
            <w:r w:rsidRPr="001C5950">
              <w:rPr>
                <w:rFonts w:asciiTheme="minorHAnsi" w:hAnsiTheme="minorHAnsi"/>
                <w:b/>
                <w:sz w:val="20"/>
                <w:szCs w:val="20"/>
              </w:rPr>
              <w:t xml:space="preserve">31 December </w:t>
            </w:r>
            <w:r>
              <w:rPr>
                <w:rFonts w:asciiTheme="minorHAnsi" w:hAnsiTheme="minorHAnsi"/>
                <w:b/>
                <w:sz w:val="20"/>
                <w:szCs w:val="20"/>
              </w:rPr>
              <w:t>2019</w:t>
            </w:r>
          </w:p>
        </w:tc>
        <w:tc>
          <w:tcPr>
            <w:tcW w:w="1842" w:type="dxa"/>
            <w:tcBorders>
              <w:top w:val="single" w:sz="4" w:space="0" w:color="auto"/>
            </w:tcBorders>
          </w:tcPr>
          <w:p w14:paraId="32EF55D7" w14:textId="77777777" w:rsidR="00794AFD" w:rsidRPr="001C5950" w:rsidRDefault="00794AFD" w:rsidP="00794AFD">
            <w:pPr>
              <w:jc w:val="right"/>
              <w:rPr>
                <w:rFonts w:asciiTheme="minorHAnsi" w:hAnsiTheme="minorHAnsi"/>
                <w:sz w:val="20"/>
                <w:szCs w:val="20"/>
              </w:rPr>
            </w:pPr>
          </w:p>
          <w:p w14:paraId="22BCE143" w14:textId="77777777" w:rsidR="00794AFD" w:rsidRPr="001C5950" w:rsidRDefault="00794AFD" w:rsidP="00794AFD">
            <w:pPr>
              <w:jc w:val="right"/>
              <w:rPr>
                <w:rFonts w:asciiTheme="minorHAnsi" w:hAnsiTheme="minorHAnsi"/>
                <w:bCs/>
                <w:sz w:val="20"/>
                <w:szCs w:val="20"/>
              </w:rPr>
            </w:pPr>
            <w:r w:rsidRPr="001C5950">
              <w:rPr>
                <w:rFonts w:asciiTheme="minorHAnsi" w:hAnsiTheme="minorHAnsi"/>
                <w:sz w:val="20"/>
                <w:szCs w:val="20"/>
              </w:rPr>
              <w:t xml:space="preserve">31 December </w:t>
            </w:r>
            <w:r>
              <w:rPr>
                <w:rFonts w:asciiTheme="minorHAnsi" w:hAnsiTheme="minorHAnsi"/>
                <w:sz w:val="20"/>
                <w:szCs w:val="20"/>
              </w:rPr>
              <w:t>2018</w:t>
            </w:r>
          </w:p>
        </w:tc>
      </w:tr>
      <w:tr w:rsidR="00794AFD" w:rsidRPr="001C5950" w14:paraId="1CE8E920" w14:textId="77777777" w:rsidTr="00794AFD">
        <w:trPr>
          <w:trHeight w:val="189"/>
        </w:trPr>
        <w:tc>
          <w:tcPr>
            <w:tcW w:w="5387" w:type="dxa"/>
            <w:tcBorders>
              <w:bottom w:val="single" w:sz="4" w:space="0" w:color="auto"/>
            </w:tcBorders>
            <w:shd w:val="clear" w:color="auto" w:fill="auto"/>
          </w:tcPr>
          <w:p w14:paraId="6F3058AF" w14:textId="77777777" w:rsidR="00794AFD" w:rsidRPr="001C5950" w:rsidRDefault="00794AFD" w:rsidP="00794AFD">
            <w:pPr>
              <w:ind w:left="-108"/>
              <w:rPr>
                <w:rFonts w:asciiTheme="minorHAnsi" w:hAnsiTheme="minorHAnsi"/>
                <w:bCs/>
                <w:sz w:val="20"/>
                <w:szCs w:val="20"/>
              </w:rPr>
            </w:pPr>
          </w:p>
        </w:tc>
        <w:tc>
          <w:tcPr>
            <w:tcW w:w="1843" w:type="dxa"/>
            <w:tcBorders>
              <w:bottom w:val="single" w:sz="4" w:space="0" w:color="auto"/>
            </w:tcBorders>
            <w:shd w:val="clear" w:color="auto" w:fill="auto"/>
          </w:tcPr>
          <w:p w14:paraId="2CC71A7A" w14:textId="77777777" w:rsidR="00794AFD" w:rsidRPr="001C5950" w:rsidRDefault="00794AFD" w:rsidP="00794AFD">
            <w:pPr>
              <w:ind w:left="360"/>
              <w:jc w:val="right"/>
              <w:rPr>
                <w:rFonts w:asciiTheme="minorHAnsi" w:hAnsiTheme="minorHAnsi"/>
                <w:b/>
                <w:bCs/>
                <w:sz w:val="20"/>
                <w:szCs w:val="20"/>
              </w:rPr>
            </w:pPr>
            <w:r w:rsidRPr="001C5950">
              <w:rPr>
                <w:rFonts w:asciiTheme="minorHAnsi" w:hAnsiTheme="minorHAnsi"/>
                <w:b/>
                <w:bCs/>
                <w:sz w:val="20"/>
                <w:szCs w:val="20"/>
              </w:rPr>
              <w:t>£m</w:t>
            </w:r>
          </w:p>
        </w:tc>
        <w:tc>
          <w:tcPr>
            <w:tcW w:w="1842" w:type="dxa"/>
            <w:tcBorders>
              <w:bottom w:val="single" w:sz="4" w:space="0" w:color="auto"/>
            </w:tcBorders>
          </w:tcPr>
          <w:p w14:paraId="6D4F792F" w14:textId="77777777" w:rsidR="00794AFD" w:rsidRPr="001C5950" w:rsidRDefault="00794AFD" w:rsidP="00794AFD">
            <w:pPr>
              <w:ind w:left="360"/>
              <w:jc w:val="right"/>
              <w:rPr>
                <w:rFonts w:asciiTheme="minorHAnsi" w:hAnsiTheme="minorHAnsi"/>
                <w:bCs/>
                <w:sz w:val="20"/>
                <w:szCs w:val="20"/>
              </w:rPr>
            </w:pPr>
            <w:r w:rsidRPr="001C5950">
              <w:rPr>
                <w:rFonts w:asciiTheme="minorHAnsi" w:hAnsiTheme="minorHAnsi"/>
                <w:bCs/>
                <w:sz w:val="20"/>
                <w:szCs w:val="20"/>
              </w:rPr>
              <w:t>£m</w:t>
            </w:r>
          </w:p>
        </w:tc>
      </w:tr>
      <w:tr w:rsidR="00794AFD" w:rsidRPr="001C5950" w14:paraId="547EC50C" w14:textId="77777777" w:rsidTr="00794AFD">
        <w:trPr>
          <w:trHeight w:val="133"/>
        </w:trPr>
        <w:tc>
          <w:tcPr>
            <w:tcW w:w="5387" w:type="dxa"/>
            <w:shd w:val="clear" w:color="auto" w:fill="auto"/>
          </w:tcPr>
          <w:p w14:paraId="2E443D94" w14:textId="77777777" w:rsidR="00794AFD" w:rsidRPr="001C5950" w:rsidRDefault="00794AFD" w:rsidP="00794AFD">
            <w:pPr>
              <w:ind w:left="-108"/>
              <w:rPr>
                <w:rFonts w:asciiTheme="minorHAnsi" w:hAnsiTheme="minorHAnsi"/>
                <w:bCs/>
                <w:sz w:val="20"/>
                <w:szCs w:val="20"/>
              </w:rPr>
            </w:pPr>
            <w:r w:rsidRPr="001C5950">
              <w:rPr>
                <w:rFonts w:asciiTheme="minorHAnsi" w:hAnsiTheme="minorHAnsi"/>
                <w:bCs/>
                <w:sz w:val="20"/>
                <w:szCs w:val="20"/>
              </w:rPr>
              <w:t xml:space="preserve">Cash consideration </w:t>
            </w:r>
            <w:r w:rsidRPr="001C5950">
              <w:rPr>
                <w:rFonts w:asciiTheme="minorHAnsi" w:hAnsiTheme="minorHAnsi"/>
                <w:sz w:val="20"/>
                <w:szCs w:val="20"/>
              </w:rPr>
              <w:t>–</w:t>
            </w:r>
            <w:r w:rsidRPr="001C5950">
              <w:rPr>
                <w:rFonts w:asciiTheme="minorHAnsi" w:hAnsiTheme="minorHAnsi"/>
                <w:bCs/>
                <w:sz w:val="20"/>
                <w:szCs w:val="20"/>
              </w:rPr>
              <w:t xml:space="preserve"> acquisitions in the year</w:t>
            </w:r>
          </w:p>
        </w:tc>
        <w:tc>
          <w:tcPr>
            <w:tcW w:w="1843" w:type="dxa"/>
            <w:shd w:val="clear" w:color="auto" w:fill="auto"/>
          </w:tcPr>
          <w:p w14:paraId="0AFB1F26" w14:textId="77777777" w:rsidR="00794AFD" w:rsidRPr="00070ED0" w:rsidRDefault="00794AFD" w:rsidP="00794AFD">
            <w:pPr>
              <w:ind w:left="360"/>
              <w:jc w:val="right"/>
              <w:rPr>
                <w:rFonts w:asciiTheme="minorHAnsi" w:hAnsiTheme="minorHAnsi"/>
                <w:b/>
                <w:bCs/>
                <w:sz w:val="20"/>
                <w:szCs w:val="20"/>
              </w:rPr>
            </w:pPr>
            <w:r w:rsidRPr="00070ED0">
              <w:rPr>
                <w:rFonts w:asciiTheme="minorHAnsi" w:hAnsiTheme="minorHAnsi" w:cs="Times New Roman"/>
                <w:b/>
                <w:bCs/>
                <w:sz w:val="20"/>
                <w:szCs w:val="20"/>
              </w:rPr>
              <w:t>102.0</w:t>
            </w:r>
          </w:p>
        </w:tc>
        <w:tc>
          <w:tcPr>
            <w:tcW w:w="1842" w:type="dxa"/>
          </w:tcPr>
          <w:p w14:paraId="5EE6BA1D" w14:textId="77777777" w:rsidR="00794AFD" w:rsidRPr="00664E9B" w:rsidRDefault="00794AFD" w:rsidP="00794AFD">
            <w:pPr>
              <w:ind w:left="360"/>
              <w:jc w:val="right"/>
              <w:rPr>
                <w:rFonts w:asciiTheme="minorHAnsi" w:hAnsiTheme="minorHAnsi"/>
                <w:bCs/>
                <w:sz w:val="20"/>
                <w:szCs w:val="20"/>
              </w:rPr>
            </w:pPr>
            <w:r w:rsidRPr="00664E9B">
              <w:rPr>
                <w:rFonts w:asciiTheme="minorHAnsi" w:hAnsiTheme="minorHAnsi" w:cs="Times New Roman"/>
                <w:bCs/>
                <w:sz w:val="20"/>
                <w:szCs w:val="20"/>
              </w:rPr>
              <w:t>12.8</w:t>
            </w:r>
          </w:p>
        </w:tc>
      </w:tr>
      <w:tr w:rsidR="00794AFD" w:rsidRPr="001C5950" w14:paraId="147CD366" w14:textId="77777777" w:rsidTr="00794AFD">
        <w:trPr>
          <w:trHeight w:val="234"/>
        </w:trPr>
        <w:tc>
          <w:tcPr>
            <w:tcW w:w="5387" w:type="dxa"/>
            <w:shd w:val="clear" w:color="auto" w:fill="auto"/>
          </w:tcPr>
          <w:p w14:paraId="1E5A4763" w14:textId="77777777" w:rsidR="00794AFD" w:rsidRPr="001C5950" w:rsidRDefault="00794AFD" w:rsidP="00794AFD">
            <w:pPr>
              <w:ind w:left="-108"/>
              <w:rPr>
                <w:rFonts w:asciiTheme="minorHAnsi" w:hAnsiTheme="minorHAnsi"/>
                <w:bCs/>
                <w:sz w:val="20"/>
                <w:szCs w:val="20"/>
              </w:rPr>
            </w:pPr>
            <w:r w:rsidRPr="001C5950">
              <w:rPr>
                <w:rFonts w:asciiTheme="minorHAnsi" w:hAnsiTheme="minorHAnsi"/>
                <w:bCs/>
                <w:sz w:val="20"/>
                <w:szCs w:val="20"/>
              </w:rPr>
              <w:t>Cash acquired – acquisitions in the year</w:t>
            </w:r>
          </w:p>
        </w:tc>
        <w:tc>
          <w:tcPr>
            <w:tcW w:w="1843" w:type="dxa"/>
            <w:shd w:val="clear" w:color="auto" w:fill="auto"/>
          </w:tcPr>
          <w:p w14:paraId="08715545" w14:textId="77777777" w:rsidR="00794AFD" w:rsidRPr="00070ED0" w:rsidRDefault="00794AFD" w:rsidP="00794AFD">
            <w:pPr>
              <w:ind w:left="360"/>
              <w:jc w:val="right"/>
              <w:rPr>
                <w:rFonts w:asciiTheme="minorHAnsi" w:hAnsiTheme="minorHAnsi" w:cs="Times New Roman"/>
                <w:b/>
                <w:bCs/>
                <w:sz w:val="20"/>
                <w:szCs w:val="20"/>
              </w:rPr>
            </w:pPr>
            <w:r w:rsidRPr="00070ED0">
              <w:rPr>
                <w:rFonts w:asciiTheme="minorHAnsi" w:hAnsiTheme="minorHAnsi" w:cs="Times New Roman"/>
                <w:b/>
                <w:bCs/>
                <w:sz w:val="20"/>
                <w:szCs w:val="20"/>
              </w:rPr>
              <w:t>(0.2)</w:t>
            </w:r>
          </w:p>
        </w:tc>
        <w:tc>
          <w:tcPr>
            <w:tcW w:w="1842" w:type="dxa"/>
          </w:tcPr>
          <w:p w14:paraId="7EE0E34C" w14:textId="77777777" w:rsidR="00794AFD" w:rsidRPr="00664E9B" w:rsidRDefault="00794AFD" w:rsidP="00794AFD">
            <w:pPr>
              <w:ind w:left="360"/>
              <w:jc w:val="right"/>
              <w:rPr>
                <w:rFonts w:asciiTheme="minorHAnsi" w:hAnsiTheme="minorHAnsi" w:cs="Times New Roman"/>
                <w:bCs/>
                <w:sz w:val="20"/>
                <w:szCs w:val="20"/>
              </w:rPr>
            </w:pPr>
            <w:r w:rsidRPr="00664E9B">
              <w:rPr>
                <w:rFonts w:asciiTheme="minorHAnsi" w:hAnsiTheme="minorHAnsi" w:cs="Times New Roman"/>
                <w:bCs/>
                <w:sz w:val="20"/>
                <w:szCs w:val="20"/>
              </w:rPr>
              <w:t>(20.4)</w:t>
            </w:r>
          </w:p>
        </w:tc>
      </w:tr>
      <w:tr w:rsidR="00794AFD" w:rsidRPr="004368E1" w14:paraId="481958FB" w14:textId="77777777" w:rsidTr="00794AFD">
        <w:trPr>
          <w:trHeight w:val="234"/>
        </w:trPr>
        <w:tc>
          <w:tcPr>
            <w:tcW w:w="5387" w:type="dxa"/>
            <w:shd w:val="clear" w:color="auto" w:fill="auto"/>
          </w:tcPr>
          <w:p w14:paraId="13C69C0A" w14:textId="77777777" w:rsidR="00794AFD" w:rsidRPr="004368E1" w:rsidRDefault="00794AFD" w:rsidP="00794AFD">
            <w:pPr>
              <w:ind w:left="-108"/>
              <w:rPr>
                <w:rFonts w:asciiTheme="minorHAnsi" w:hAnsiTheme="minorHAnsi"/>
                <w:bCs/>
                <w:sz w:val="20"/>
                <w:szCs w:val="20"/>
              </w:rPr>
            </w:pPr>
            <w:r w:rsidRPr="004368E1">
              <w:rPr>
                <w:rFonts w:asciiTheme="minorHAnsi" w:hAnsiTheme="minorHAnsi"/>
                <w:bCs/>
                <w:sz w:val="20"/>
                <w:szCs w:val="20"/>
              </w:rPr>
              <w:t>Repayment of FanDuel debt and debt like items</w:t>
            </w:r>
          </w:p>
        </w:tc>
        <w:tc>
          <w:tcPr>
            <w:tcW w:w="1843" w:type="dxa"/>
            <w:shd w:val="clear" w:color="auto" w:fill="auto"/>
          </w:tcPr>
          <w:p w14:paraId="455CF703" w14:textId="77777777" w:rsidR="00794AFD" w:rsidRPr="00070ED0" w:rsidRDefault="00794AFD" w:rsidP="00794AFD">
            <w:pPr>
              <w:ind w:left="360"/>
              <w:jc w:val="right"/>
              <w:rPr>
                <w:rFonts w:asciiTheme="minorHAnsi" w:hAnsiTheme="minorHAnsi" w:cs="Times New Roman"/>
                <w:b/>
                <w:bCs/>
                <w:sz w:val="20"/>
                <w:szCs w:val="20"/>
              </w:rPr>
            </w:pPr>
            <w:r w:rsidRPr="00070ED0">
              <w:rPr>
                <w:rFonts w:asciiTheme="minorHAnsi" w:hAnsiTheme="minorHAnsi" w:cs="Times New Roman"/>
                <w:b/>
                <w:bCs/>
                <w:sz w:val="20"/>
                <w:szCs w:val="20"/>
              </w:rPr>
              <w:t>-</w:t>
            </w:r>
          </w:p>
        </w:tc>
        <w:tc>
          <w:tcPr>
            <w:tcW w:w="1842" w:type="dxa"/>
          </w:tcPr>
          <w:p w14:paraId="1A7CFD97" w14:textId="77777777" w:rsidR="00794AFD" w:rsidRPr="004368E1" w:rsidRDefault="00794AFD" w:rsidP="00794AFD">
            <w:pPr>
              <w:ind w:left="360"/>
              <w:jc w:val="right"/>
              <w:rPr>
                <w:rFonts w:asciiTheme="minorHAnsi" w:hAnsiTheme="minorHAnsi" w:cs="Times New Roman"/>
                <w:bCs/>
                <w:sz w:val="20"/>
                <w:szCs w:val="20"/>
              </w:rPr>
            </w:pPr>
            <w:r w:rsidRPr="004368E1">
              <w:rPr>
                <w:rFonts w:asciiTheme="minorHAnsi" w:hAnsiTheme="minorHAnsi" w:cs="Times New Roman"/>
                <w:bCs/>
                <w:sz w:val="20"/>
                <w:szCs w:val="20"/>
              </w:rPr>
              <w:t>79.9</w:t>
            </w:r>
          </w:p>
        </w:tc>
      </w:tr>
      <w:tr w:rsidR="00794AFD" w:rsidRPr="004368E1" w14:paraId="7F930353" w14:textId="77777777" w:rsidTr="00794AFD">
        <w:trPr>
          <w:trHeight w:val="234"/>
        </w:trPr>
        <w:tc>
          <w:tcPr>
            <w:tcW w:w="5387" w:type="dxa"/>
            <w:tcBorders>
              <w:bottom w:val="single" w:sz="4" w:space="0" w:color="auto"/>
            </w:tcBorders>
            <w:shd w:val="clear" w:color="auto" w:fill="auto"/>
          </w:tcPr>
          <w:p w14:paraId="0F7767D5" w14:textId="77777777" w:rsidR="00794AFD" w:rsidRPr="004368E1" w:rsidRDefault="00794AFD" w:rsidP="00794AFD">
            <w:pPr>
              <w:ind w:left="-108"/>
              <w:rPr>
                <w:rFonts w:asciiTheme="minorHAnsi" w:hAnsiTheme="minorHAnsi"/>
                <w:bCs/>
                <w:sz w:val="20"/>
                <w:szCs w:val="20"/>
              </w:rPr>
            </w:pPr>
            <w:r w:rsidRPr="004368E1">
              <w:rPr>
                <w:rFonts w:asciiTheme="minorHAnsi" w:hAnsiTheme="minorHAnsi"/>
                <w:bCs/>
                <w:sz w:val="20"/>
                <w:szCs w:val="20"/>
              </w:rPr>
              <w:t xml:space="preserve">Cash consideration </w:t>
            </w:r>
            <w:r w:rsidRPr="004368E1">
              <w:rPr>
                <w:rFonts w:asciiTheme="minorHAnsi" w:hAnsiTheme="minorHAnsi"/>
                <w:sz w:val="20"/>
                <w:szCs w:val="20"/>
              </w:rPr>
              <w:t>–</w:t>
            </w:r>
            <w:r w:rsidRPr="004368E1">
              <w:rPr>
                <w:rFonts w:asciiTheme="minorHAnsi" w:hAnsiTheme="minorHAnsi"/>
                <w:bCs/>
                <w:sz w:val="20"/>
                <w:szCs w:val="20"/>
              </w:rPr>
              <w:t xml:space="preserve"> acquisitions in previous years</w:t>
            </w:r>
          </w:p>
        </w:tc>
        <w:tc>
          <w:tcPr>
            <w:tcW w:w="1843" w:type="dxa"/>
            <w:tcBorders>
              <w:bottom w:val="single" w:sz="4" w:space="0" w:color="auto"/>
            </w:tcBorders>
            <w:shd w:val="clear" w:color="auto" w:fill="auto"/>
          </w:tcPr>
          <w:p w14:paraId="72D71744" w14:textId="77777777" w:rsidR="00794AFD" w:rsidRPr="00070ED0" w:rsidRDefault="00794AFD" w:rsidP="00794AFD">
            <w:pPr>
              <w:ind w:left="360"/>
              <w:jc w:val="right"/>
              <w:rPr>
                <w:rFonts w:asciiTheme="minorHAnsi" w:hAnsiTheme="minorHAnsi"/>
                <w:b/>
                <w:bCs/>
                <w:sz w:val="20"/>
                <w:szCs w:val="20"/>
              </w:rPr>
            </w:pPr>
            <w:r w:rsidRPr="00070ED0">
              <w:rPr>
                <w:rFonts w:asciiTheme="minorHAnsi" w:hAnsiTheme="minorHAnsi" w:cs="Times New Roman"/>
                <w:b/>
                <w:bCs/>
                <w:sz w:val="20"/>
                <w:szCs w:val="20"/>
              </w:rPr>
              <w:t>4.8</w:t>
            </w:r>
          </w:p>
        </w:tc>
        <w:tc>
          <w:tcPr>
            <w:tcW w:w="1842" w:type="dxa"/>
            <w:tcBorders>
              <w:bottom w:val="single" w:sz="4" w:space="0" w:color="auto"/>
            </w:tcBorders>
          </w:tcPr>
          <w:p w14:paraId="40A47115" w14:textId="77777777" w:rsidR="00794AFD" w:rsidRPr="004368E1" w:rsidRDefault="00794AFD" w:rsidP="00794AFD">
            <w:pPr>
              <w:ind w:left="360"/>
              <w:jc w:val="right"/>
              <w:rPr>
                <w:rFonts w:asciiTheme="minorHAnsi" w:hAnsiTheme="minorHAnsi"/>
                <w:bCs/>
                <w:sz w:val="20"/>
                <w:szCs w:val="20"/>
              </w:rPr>
            </w:pPr>
            <w:r w:rsidRPr="004368E1">
              <w:rPr>
                <w:rFonts w:asciiTheme="minorHAnsi" w:hAnsiTheme="minorHAnsi" w:cs="Times New Roman"/>
                <w:bCs/>
                <w:sz w:val="20"/>
                <w:szCs w:val="20"/>
              </w:rPr>
              <w:t>6.1</w:t>
            </w:r>
          </w:p>
        </w:tc>
      </w:tr>
      <w:tr w:rsidR="00794AFD" w:rsidRPr="004368E1" w14:paraId="53BF21A6" w14:textId="77777777" w:rsidTr="00794AFD">
        <w:trPr>
          <w:trHeight w:val="192"/>
        </w:trPr>
        <w:tc>
          <w:tcPr>
            <w:tcW w:w="5387" w:type="dxa"/>
            <w:tcBorders>
              <w:top w:val="single" w:sz="4" w:space="0" w:color="auto"/>
              <w:bottom w:val="single" w:sz="4" w:space="0" w:color="auto"/>
            </w:tcBorders>
            <w:shd w:val="clear" w:color="auto" w:fill="auto"/>
          </w:tcPr>
          <w:p w14:paraId="45F3790B" w14:textId="77777777" w:rsidR="00794AFD" w:rsidRPr="004368E1" w:rsidRDefault="00794AFD" w:rsidP="00794AFD">
            <w:pPr>
              <w:ind w:left="-108"/>
              <w:rPr>
                <w:rFonts w:asciiTheme="minorHAnsi" w:hAnsiTheme="minorHAnsi"/>
                <w:bCs/>
                <w:sz w:val="20"/>
                <w:szCs w:val="20"/>
              </w:rPr>
            </w:pPr>
            <w:r w:rsidRPr="004368E1">
              <w:rPr>
                <w:rFonts w:asciiTheme="minorHAnsi" w:hAnsiTheme="minorHAnsi"/>
                <w:bCs/>
                <w:sz w:val="20"/>
                <w:szCs w:val="20"/>
              </w:rPr>
              <w:t>Total</w:t>
            </w:r>
          </w:p>
        </w:tc>
        <w:tc>
          <w:tcPr>
            <w:tcW w:w="1843" w:type="dxa"/>
            <w:tcBorders>
              <w:top w:val="single" w:sz="4" w:space="0" w:color="auto"/>
              <w:bottom w:val="single" w:sz="4" w:space="0" w:color="auto"/>
            </w:tcBorders>
            <w:shd w:val="clear" w:color="auto" w:fill="auto"/>
          </w:tcPr>
          <w:p w14:paraId="2877786F" w14:textId="77777777" w:rsidR="00794AFD" w:rsidRPr="00070ED0" w:rsidRDefault="00794AFD" w:rsidP="00794AFD">
            <w:pPr>
              <w:ind w:left="360"/>
              <w:jc w:val="right"/>
              <w:rPr>
                <w:rFonts w:asciiTheme="minorHAnsi" w:hAnsiTheme="minorHAnsi"/>
                <w:b/>
                <w:bCs/>
                <w:sz w:val="20"/>
                <w:szCs w:val="20"/>
              </w:rPr>
            </w:pPr>
            <w:r w:rsidRPr="00070ED0">
              <w:rPr>
                <w:rFonts w:asciiTheme="minorHAnsi" w:hAnsiTheme="minorHAnsi"/>
                <w:b/>
                <w:bCs/>
                <w:sz w:val="20"/>
                <w:szCs w:val="20"/>
              </w:rPr>
              <w:t>106.6</w:t>
            </w:r>
          </w:p>
        </w:tc>
        <w:tc>
          <w:tcPr>
            <w:tcW w:w="1842" w:type="dxa"/>
            <w:tcBorders>
              <w:top w:val="single" w:sz="4" w:space="0" w:color="auto"/>
              <w:bottom w:val="single" w:sz="4" w:space="0" w:color="auto"/>
            </w:tcBorders>
          </w:tcPr>
          <w:p w14:paraId="0A540136" w14:textId="77777777" w:rsidR="00794AFD" w:rsidRPr="004368E1" w:rsidRDefault="00794AFD" w:rsidP="00794AFD">
            <w:pPr>
              <w:ind w:left="360"/>
              <w:jc w:val="right"/>
              <w:rPr>
                <w:rFonts w:asciiTheme="minorHAnsi" w:hAnsiTheme="minorHAnsi"/>
                <w:bCs/>
                <w:sz w:val="20"/>
                <w:szCs w:val="20"/>
              </w:rPr>
            </w:pPr>
            <w:r w:rsidRPr="004368E1">
              <w:rPr>
                <w:rFonts w:asciiTheme="minorHAnsi" w:hAnsiTheme="minorHAnsi"/>
                <w:bCs/>
                <w:sz w:val="20"/>
                <w:szCs w:val="20"/>
              </w:rPr>
              <w:t>78.4</w:t>
            </w:r>
          </w:p>
        </w:tc>
      </w:tr>
      <w:tr w:rsidR="00794AFD" w:rsidRPr="004368E1" w14:paraId="4CBB3945" w14:textId="77777777" w:rsidTr="00794AFD">
        <w:trPr>
          <w:trHeight w:val="218"/>
        </w:trPr>
        <w:tc>
          <w:tcPr>
            <w:tcW w:w="5387" w:type="dxa"/>
            <w:tcBorders>
              <w:top w:val="single" w:sz="4" w:space="0" w:color="auto"/>
            </w:tcBorders>
            <w:shd w:val="clear" w:color="auto" w:fill="auto"/>
          </w:tcPr>
          <w:p w14:paraId="667ABD83" w14:textId="77777777" w:rsidR="00794AFD" w:rsidRPr="004368E1" w:rsidRDefault="00794AFD" w:rsidP="00794AFD">
            <w:pPr>
              <w:ind w:left="-108"/>
              <w:rPr>
                <w:rFonts w:asciiTheme="minorHAnsi" w:hAnsiTheme="minorHAnsi"/>
                <w:sz w:val="20"/>
                <w:szCs w:val="20"/>
                <w:lang w:eastAsia="en-IE"/>
              </w:rPr>
            </w:pPr>
          </w:p>
          <w:p w14:paraId="0DC52D20" w14:textId="77777777" w:rsidR="00794AFD" w:rsidRPr="004368E1" w:rsidRDefault="00794AFD" w:rsidP="00794AFD">
            <w:pPr>
              <w:ind w:left="-108"/>
              <w:rPr>
                <w:rFonts w:asciiTheme="minorHAnsi" w:hAnsiTheme="minorHAnsi"/>
                <w:b/>
                <w:sz w:val="20"/>
                <w:szCs w:val="20"/>
                <w:lang w:eastAsia="en-IE"/>
              </w:rPr>
            </w:pPr>
            <w:r w:rsidRPr="004368E1">
              <w:rPr>
                <w:rFonts w:asciiTheme="minorHAnsi" w:hAnsiTheme="minorHAnsi"/>
                <w:b/>
                <w:sz w:val="20"/>
                <w:szCs w:val="20"/>
                <w:lang w:eastAsia="en-IE"/>
              </w:rPr>
              <w:t>Analysed for the purposes of the statement of cash flows as:</w:t>
            </w:r>
          </w:p>
        </w:tc>
        <w:tc>
          <w:tcPr>
            <w:tcW w:w="1843" w:type="dxa"/>
            <w:tcBorders>
              <w:top w:val="single" w:sz="4" w:space="0" w:color="auto"/>
            </w:tcBorders>
            <w:shd w:val="clear" w:color="auto" w:fill="auto"/>
          </w:tcPr>
          <w:p w14:paraId="6060D2A1" w14:textId="77777777" w:rsidR="00794AFD" w:rsidRPr="00070ED0" w:rsidRDefault="00794AFD" w:rsidP="00794AFD">
            <w:pPr>
              <w:ind w:left="360"/>
              <w:jc w:val="right"/>
              <w:rPr>
                <w:rFonts w:asciiTheme="minorHAnsi" w:hAnsiTheme="minorHAnsi"/>
                <w:b/>
                <w:bCs/>
                <w:sz w:val="20"/>
                <w:szCs w:val="20"/>
              </w:rPr>
            </w:pPr>
          </w:p>
        </w:tc>
        <w:tc>
          <w:tcPr>
            <w:tcW w:w="1842" w:type="dxa"/>
            <w:tcBorders>
              <w:top w:val="single" w:sz="4" w:space="0" w:color="auto"/>
            </w:tcBorders>
          </w:tcPr>
          <w:p w14:paraId="7D7D588E" w14:textId="77777777" w:rsidR="00794AFD" w:rsidRPr="004368E1" w:rsidRDefault="00794AFD" w:rsidP="00794AFD">
            <w:pPr>
              <w:ind w:left="360"/>
              <w:jc w:val="right"/>
              <w:rPr>
                <w:rFonts w:asciiTheme="minorHAnsi" w:hAnsiTheme="minorHAnsi"/>
                <w:bCs/>
                <w:sz w:val="20"/>
                <w:szCs w:val="20"/>
              </w:rPr>
            </w:pPr>
          </w:p>
        </w:tc>
      </w:tr>
      <w:tr w:rsidR="00794AFD" w:rsidRPr="004368E1" w14:paraId="29747783" w14:textId="77777777" w:rsidTr="00794AFD">
        <w:trPr>
          <w:trHeight w:val="218"/>
        </w:trPr>
        <w:tc>
          <w:tcPr>
            <w:tcW w:w="5387" w:type="dxa"/>
            <w:shd w:val="clear" w:color="auto" w:fill="auto"/>
          </w:tcPr>
          <w:p w14:paraId="4590E54E" w14:textId="77777777" w:rsidR="00794AFD" w:rsidRPr="004368E1" w:rsidRDefault="00794AFD" w:rsidP="00794AFD">
            <w:pPr>
              <w:ind w:left="-108"/>
              <w:rPr>
                <w:rFonts w:asciiTheme="minorHAnsi" w:hAnsiTheme="minorHAnsi"/>
                <w:sz w:val="20"/>
                <w:szCs w:val="20"/>
                <w:lang w:eastAsia="en-IE"/>
              </w:rPr>
            </w:pPr>
            <w:r w:rsidRPr="004368E1">
              <w:rPr>
                <w:rFonts w:asciiTheme="minorHAnsi" w:hAnsiTheme="minorHAnsi"/>
                <w:sz w:val="20"/>
                <w:szCs w:val="20"/>
                <w:lang w:eastAsia="en-IE"/>
              </w:rPr>
              <w:t>Purchase of businesses</w:t>
            </w:r>
          </w:p>
        </w:tc>
        <w:tc>
          <w:tcPr>
            <w:tcW w:w="1843" w:type="dxa"/>
            <w:shd w:val="clear" w:color="auto" w:fill="auto"/>
          </w:tcPr>
          <w:p w14:paraId="62B9C7FC" w14:textId="77777777" w:rsidR="00794AFD" w:rsidRPr="00070ED0" w:rsidRDefault="00794AFD" w:rsidP="00794AFD">
            <w:pPr>
              <w:ind w:left="360"/>
              <w:jc w:val="right"/>
              <w:rPr>
                <w:rFonts w:asciiTheme="minorHAnsi" w:hAnsiTheme="minorHAnsi" w:cs="Times New Roman"/>
                <w:b/>
                <w:bCs/>
                <w:sz w:val="20"/>
                <w:szCs w:val="20"/>
              </w:rPr>
            </w:pPr>
            <w:r w:rsidRPr="00070ED0">
              <w:rPr>
                <w:rFonts w:asciiTheme="minorHAnsi" w:hAnsiTheme="minorHAnsi" w:cs="Times New Roman"/>
                <w:b/>
                <w:bCs/>
                <w:sz w:val="20"/>
                <w:szCs w:val="20"/>
              </w:rPr>
              <w:t>102.0</w:t>
            </w:r>
          </w:p>
        </w:tc>
        <w:tc>
          <w:tcPr>
            <w:tcW w:w="1842" w:type="dxa"/>
          </w:tcPr>
          <w:p w14:paraId="0C3A08E9" w14:textId="77777777" w:rsidR="00794AFD" w:rsidRPr="004368E1" w:rsidRDefault="00794AFD" w:rsidP="00794AFD">
            <w:pPr>
              <w:ind w:left="360"/>
              <w:jc w:val="right"/>
              <w:rPr>
                <w:rFonts w:asciiTheme="minorHAnsi" w:hAnsiTheme="minorHAnsi" w:cs="Times New Roman"/>
                <w:bCs/>
                <w:sz w:val="20"/>
                <w:szCs w:val="20"/>
              </w:rPr>
            </w:pPr>
            <w:r w:rsidRPr="004368E1">
              <w:rPr>
                <w:rFonts w:asciiTheme="minorHAnsi" w:hAnsiTheme="minorHAnsi" w:cs="Times New Roman"/>
                <w:bCs/>
                <w:sz w:val="20"/>
                <w:szCs w:val="20"/>
              </w:rPr>
              <w:t>12.8</w:t>
            </w:r>
          </w:p>
        </w:tc>
      </w:tr>
      <w:tr w:rsidR="00794AFD" w:rsidRPr="004368E1" w14:paraId="094DF9CC" w14:textId="77777777" w:rsidTr="00794AFD">
        <w:trPr>
          <w:trHeight w:val="218"/>
        </w:trPr>
        <w:tc>
          <w:tcPr>
            <w:tcW w:w="5387" w:type="dxa"/>
            <w:shd w:val="clear" w:color="auto" w:fill="auto"/>
          </w:tcPr>
          <w:p w14:paraId="74199E26" w14:textId="77777777" w:rsidR="00794AFD" w:rsidRPr="004368E1" w:rsidRDefault="00794AFD" w:rsidP="00794AFD">
            <w:pPr>
              <w:ind w:left="360" w:hanging="468"/>
              <w:rPr>
                <w:rFonts w:asciiTheme="minorHAnsi" w:hAnsiTheme="minorHAnsi"/>
                <w:bCs/>
                <w:sz w:val="20"/>
                <w:szCs w:val="20"/>
              </w:rPr>
            </w:pPr>
            <w:r w:rsidRPr="004368E1">
              <w:rPr>
                <w:rFonts w:asciiTheme="minorHAnsi" w:hAnsiTheme="minorHAnsi"/>
                <w:bCs/>
                <w:sz w:val="20"/>
                <w:szCs w:val="20"/>
              </w:rPr>
              <w:t>Cash acquired from acquisition</w:t>
            </w:r>
            <w:r>
              <w:rPr>
                <w:rFonts w:asciiTheme="minorHAnsi" w:hAnsiTheme="minorHAnsi"/>
                <w:bCs/>
                <w:sz w:val="20"/>
                <w:szCs w:val="20"/>
              </w:rPr>
              <w:t>s</w:t>
            </w:r>
            <w:r w:rsidRPr="004368E1">
              <w:rPr>
                <w:rFonts w:asciiTheme="minorHAnsi" w:hAnsiTheme="minorHAnsi"/>
                <w:bCs/>
                <w:sz w:val="20"/>
                <w:szCs w:val="20"/>
              </w:rPr>
              <w:t xml:space="preserve"> </w:t>
            </w:r>
          </w:p>
        </w:tc>
        <w:tc>
          <w:tcPr>
            <w:tcW w:w="1843" w:type="dxa"/>
            <w:shd w:val="clear" w:color="auto" w:fill="auto"/>
          </w:tcPr>
          <w:p w14:paraId="15D5158A" w14:textId="77777777" w:rsidR="00794AFD" w:rsidRPr="00070ED0" w:rsidRDefault="00794AFD" w:rsidP="00794AFD">
            <w:pPr>
              <w:ind w:left="360"/>
              <w:jc w:val="right"/>
              <w:rPr>
                <w:rFonts w:asciiTheme="minorHAnsi" w:hAnsiTheme="minorHAnsi" w:cs="Times New Roman"/>
                <w:b/>
                <w:bCs/>
                <w:sz w:val="20"/>
                <w:szCs w:val="20"/>
              </w:rPr>
            </w:pPr>
            <w:r w:rsidRPr="00070ED0">
              <w:rPr>
                <w:rFonts w:asciiTheme="minorHAnsi" w:hAnsiTheme="minorHAnsi" w:cs="Times New Roman"/>
                <w:b/>
                <w:bCs/>
                <w:sz w:val="20"/>
                <w:szCs w:val="20"/>
              </w:rPr>
              <w:t>(0.2)</w:t>
            </w:r>
          </w:p>
        </w:tc>
        <w:tc>
          <w:tcPr>
            <w:tcW w:w="1842" w:type="dxa"/>
          </w:tcPr>
          <w:p w14:paraId="2AA7FAD1" w14:textId="77777777" w:rsidR="00794AFD" w:rsidRPr="004368E1" w:rsidRDefault="00794AFD" w:rsidP="00794AFD">
            <w:pPr>
              <w:ind w:left="360"/>
              <w:jc w:val="right"/>
              <w:rPr>
                <w:rFonts w:asciiTheme="minorHAnsi" w:hAnsiTheme="minorHAnsi" w:cs="Times New Roman"/>
                <w:bCs/>
                <w:sz w:val="20"/>
                <w:szCs w:val="20"/>
              </w:rPr>
            </w:pPr>
            <w:r w:rsidRPr="004368E1">
              <w:rPr>
                <w:rFonts w:asciiTheme="minorHAnsi" w:hAnsiTheme="minorHAnsi" w:cs="Times New Roman"/>
                <w:bCs/>
                <w:sz w:val="20"/>
                <w:szCs w:val="20"/>
              </w:rPr>
              <w:t>(20.4)</w:t>
            </w:r>
          </w:p>
        </w:tc>
      </w:tr>
      <w:tr w:rsidR="00794AFD" w:rsidRPr="004368E1" w14:paraId="354DC128" w14:textId="77777777" w:rsidTr="00794AFD">
        <w:trPr>
          <w:trHeight w:val="234"/>
        </w:trPr>
        <w:tc>
          <w:tcPr>
            <w:tcW w:w="5387" w:type="dxa"/>
            <w:shd w:val="clear" w:color="auto" w:fill="auto"/>
          </w:tcPr>
          <w:p w14:paraId="0F74C0BC" w14:textId="77777777" w:rsidR="00794AFD" w:rsidRPr="004368E1" w:rsidRDefault="00794AFD" w:rsidP="00794AFD">
            <w:pPr>
              <w:ind w:left="-108"/>
              <w:rPr>
                <w:rFonts w:asciiTheme="minorHAnsi" w:hAnsiTheme="minorHAnsi"/>
                <w:bCs/>
                <w:sz w:val="20"/>
                <w:szCs w:val="20"/>
              </w:rPr>
            </w:pPr>
            <w:r w:rsidRPr="004368E1">
              <w:rPr>
                <w:rFonts w:asciiTheme="minorHAnsi" w:hAnsiTheme="minorHAnsi"/>
                <w:bCs/>
                <w:sz w:val="20"/>
                <w:szCs w:val="20"/>
              </w:rPr>
              <w:t>Repayment of FanDuel debt and debt like items</w:t>
            </w:r>
          </w:p>
        </w:tc>
        <w:tc>
          <w:tcPr>
            <w:tcW w:w="1843" w:type="dxa"/>
            <w:shd w:val="clear" w:color="auto" w:fill="auto"/>
          </w:tcPr>
          <w:p w14:paraId="0D129390" w14:textId="77777777" w:rsidR="00794AFD" w:rsidRPr="00070ED0" w:rsidRDefault="00794AFD" w:rsidP="00794AFD">
            <w:pPr>
              <w:ind w:left="360"/>
              <w:jc w:val="right"/>
              <w:rPr>
                <w:rFonts w:asciiTheme="minorHAnsi" w:hAnsiTheme="minorHAnsi" w:cs="Times New Roman"/>
                <w:b/>
                <w:bCs/>
                <w:sz w:val="20"/>
                <w:szCs w:val="20"/>
              </w:rPr>
            </w:pPr>
            <w:r w:rsidRPr="00070ED0">
              <w:rPr>
                <w:rFonts w:asciiTheme="minorHAnsi" w:hAnsiTheme="minorHAnsi" w:cs="Times New Roman"/>
                <w:b/>
                <w:bCs/>
                <w:sz w:val="20"/>
                <w:szCs w:val="20"/>
              </w:rPr>
              <w:t>-</w:t>
            </w:r>
          </w:p>
        </w:tc>
        <w:tc>
          <w:tcPr>
            <w:tcW w:w="1842" w:type="dxa"/>
          </w:tcPr>
          <w:p w14:paraId="1CB3B5AF" w14:textId="77777777" w:rsidR="00794AFD" w:rsidRPr="004368E1" w:rsidRDefault="00794AFD" w:rsidP="00794AFD">
            <w:pPr>
              <w:ind w:left="360"/>
              <w:jc w:val="right"/>
              <w:rPr>
                <w:rFonts w:asciiTheme="minorHAnsi" w:hAnsiTheme="minorHAnsi" w:cs="Times New Roman"/>
                <w:bCs/>
                <w:sz w:val="20"/>
                <w:szCs w:val="20"/>
              </w:rPr>
            </w:pPr>
            <w:r w:rsidRPr="004368E1">
              <w:rPr>
                <w:rFonts w:asciiTheme="minorHAnsi" w:hAnsiTheme="minorHAnsi" w:cs="Times New Roman"/>
                <w:bCs/>
                <w:sz w:val="20"/>
                <w:szCs w:val="20"/>
              </w:rPr>
              <w:t>79.9</w:t>
            </w:r>
          </w:p>
        </w:tc>
      </w:tr>
      <w:tr w:rsidR="00794AFD" w:rsidRPr="004368E1" w14:paraId="001D406A" w14:textId="77777777" w:rsidTr="00794AFD">
        <w:trPr>
          <w:trHeight w:val="218"/>
        </w:trPr>
        <w:tc>
          <w:tcPr>
            <w:tcW w:w="5387" w:type="dxa"/>
            <w:tcBorders>
              <w:bottom w:val="single" w:sz="4" w:space="0" w:color="auto"/>
            </w:tcBorders>
            <w:shd w:val="clear" w:color="auto" w:fill="auto"/>
          </w:tcPr>
          <w:p w14:paraId="02F7F96C" w14:textId="77777777" w:rsidR="00794AFD" w:rsidRPr="004368E1" w:rsidRDefault="00794AFD" w:rsidP="00794AFD">
            <w:pPr>
              <w:ind w:left="360" w:hanging="468"/>
              <w:rPr>
                <w:rFonts w:asciiTheme="minorHAnsi" w:hAnsiTheme="minorHAnsi"/>
                <w:bCs/>
                <w:sz w:val="20"/>
                <w:szCs w:val="20"/>
              </w:rPr>
            </w:pPr>
            <w:r w:rsidRPr="004368E1">
              <w:rPr>
                <w:rFonts w:asciiTheme="minorHAnsi" w:hAnsiTheme="minorHAnsi"/>
                <w:bCs/>
                <w:sz w:val="20"/>
                <w:szCs w:val="20"/>
              </w:rPr>
              <w:t>Payment of contingent deferred consideration</w:t>
            </w:r>
          </w:p>
        </w:tc>
        <w:tc>
          <w:tcPr>
            <w:tcW w:w="1843" w:type="dxa"/>
            <w:tcBorders>
              <w:bottom w:val="single" w:sz="4" w:space="0" w:color="auto"/>
            </w:tcBorders>
            <w:shd w:val="clear" w:color="auto" w:fill="auto"/>
          </w:tcPr>
          <w:p w14:paraId="7E284832" w14:textId="77777777" w:rsidR="00794AFD" w:rsidRPr="00070ED0" w:rsidRDefault="00794AFD" w:rsidP="00794AFD">
            <w:pPr>
              <w:ind w:left="360"/>
              <w:jc w:val="right"/>
              <w:rPr>
                <w:rFonts w:asciiTheme="minorHAnsi" w:hAnsiTheme="minorHAnsi"/>
                <w:b/>
                <w:bCs/>
                <w:sz w:val="20"/>
                <w:szCs w:val="20"/>
              </w:rPr>
            </w:pPr>
            <w:r w:rsidRPr="00070ED0">
              <w:rPr>
                <w:rFonts w:asciiTheme="minorHAnsi" w:hAnsiTheme="minorHAnsi" w:cs="Times New Roman"/>
                <w:b/>
                <w:bCs/>
                <w:sz w:val="20"/>
                <w:szCs w:val="20"/>
              </w:rPr>
              <w:t>4.8</w:t>
            </w:r>
          </w:p>
        </w:tc>
        <w:tc>
          <w:tcPr>
            <w:tcW w:w="1842" w:type="dxa"/>
            <w:tcBorders>
              <w:bottom w:val="single" w:sz="4" w:space="0" w:color="auto"/>
            </w:tcBorders>
          </w:tcPr>
          <w:p w14:paraId="6A66AD8F" w14:textId="77777777" w:rsidR="00794AFD" w:rsidRPr="004368E1" w:rsidRDefault="00794AFD" w:rsidP="00794AFD">
            <w:pPr>
              <w:ind w:left="360"/>
              <w:jc w:val="right"/>
              <w:rPr>
                <w:rFonts w:asciiTheme="minorHAnsi" w:hAnsiTheme="minorHAnsi"/>
                <w:bCs/>
                <w:sz w:val="20"/>
                <w:szCs w:val="20"/>
              </w:rPr>
            </w:pPr>
            <w:r w:rsidRPr="004368E1">
              <w:rPr>
                <w:rFonts w:asciiTheme="minorHAnsi" w:hAnsiTheme="minorHAnsi" w:cs="Times New Roman"/>
                <w:bCs/>
                <w:sz w:val="20"/>
                <w:szCs w:val="20"/>
              </w:rPr>
              <w:t>6.1</w:t>
            </w:r>
          </w:p>
        </w:tc>
      </w:tr>
      <w:tr w:rsidR="00794AFD" w:rsidRPr="001C5950" w14:paraId="4DDB265E" w14:textId="77777777" w:rsidTr="00794AFD">
        <w:trPr>
          <w:trHeight w:val="218"/>
        </w:trPr>
        <w:tc>
          <w:tcPr>
            <w:tcW w:w="5387" w:type="dxa"/>
            <w:tcBorders>
              <w:top w:val="single" w:sz="4" w:space="0" w:color="auto"/>
              <w:bottom w:val="single" w:sz="4" w:space="0" w:color="auto"/>
            </w:tcBorders>
            <w:shd w:val="clear" w:color="auto" w:fill="auto"/>
          </w:tcPr>
          <w:p w14:paraId="7D3CC07A" w14:textId="77777777" w:rsidR="00794AFD" w:rsidRPr="004368E1" w:rsidRDefault="00794AFD" w:rsidP="00794AFD">
            <w:pPr>
              <w:ind w:left="360" w:hanging="468"/>
              <w:rPr>
                <w:rFonts w:asciiTheme="minorHAnsi" w:hAnsiTheme="minorHAnsi"/>
                <w:bCs/>
                <w:sz w:val="20"/>
                <w:szCs w:val="20"/>
              </w:rPr>
            </w:pPr>
            <w:r w:rsidRPr="004368E1">
              <w:rPr>
                <w:rFonts w:asciiTheme="minorHAnsi" w:hAnsiTheme="minorHAnsi"/>
                <w:bCs/>
                <w:sz w:val="20"/>
                <w:szCs w:val="20"/>
              </w:rPr>
              <w:t>Total</w:t>
            </w:r>
          </w:p>
        </w:tc>
        <w:tc>
          <w:tcPr>
            <w:tcW w:w="1843" w:type="dxa"/>
            <w:tcBorders>
              <w:top w:val="single" w:sz="4" w:space="0" w:color="auto"/>
              <w:bottom w:val="single" w:sz="4" w:space="0" w:color="auto"/>
            </w:tcBorders>
            <w:shd w:val="clear" w:color="auto" w:fill="auto"/>
          </w:tcPr>
          <w:p w14:paraId="1EB0FB57" w14:textId="77777777" w:rsidR="00794AFD" w:rsidRPr="00070ED0" w:rsidRDefault="00794AFD" w:rsidP="00794AFD">
            <w:pPr>
              <w:ind w:left="360"/>
              <w:jc w:val="right"/>
              <w:rPr>
                <w:rFonts w:asciiTheme="minorHAnsi" w:hAnsiTheme="minorHAnsi"/>
                <w:b/>
                <w:bCs/>
                <w:sz w:val="20"/>
                <w:szCs w:val="20"/>
              </w:rPr>
            </w:pPr>
            <w:r w:rsidRPr="00070ED0">
              <w:rPr>
                <w:rFonts w:asciiTheme="minorHAnsi" w:hAnsiTheme="minorHAnsi"/>
                <w:b/>
                <w:bCs/>
                <w:sz w:val="20"/>
                <w:szCs w:val="20"/>
              </w:rPr>
              <w:t>106.6</w:t>
            </w:r>
          </w:p>
        </w:tc>
        <w:tc>
          <w:tcPr>
            <w:tcW w:w="1842" w:type="dxa"/>
            <w:tcBorders>
              <w:top w:val="single" w:sz="4" w:space="0" w:color="auto"/>
              <w:bottom w:val="single" w:sz="4" w:space="0" w:color="auto"/>
            </w:tcBorders>
          </w:tcPr>
          <w:p w14:paraId="06A6F394" w14:textId="77777777" w:rsidR="00794AFD" w:rsidRPr="00664E9B" w:rsidRDefault="00794AFD" w:rsidP="00794AFD">
            <w:pPr>
              <w:ind w:left="360"/>
              <w:jc w:val="right"/>
              <w:rPr>
                <w:rFonts w:asciiTheme="minorHAnsi" w:hAnsiTheme="minorHAnsi"/>
                <w:bCs/>
                <w:sz w:val="20"/>
                <w:szCs w:val="20"/>
              </w:rPr>
            </w:pPr>
            <w:r w:rsidRPr="004368E1">
              <w:rPr>
                <w:rFonts w:asciiTheme="minorHAnsi" w:hAnsiTheme="minorHAnsi"/>
                <w:bCs/>
                <w:sz w:val="20"/>
                <w:szCs w:val="20"/>
              </w:rPr>
              <w:t>78.4</w:t>
            </w:r>
          </w:p>
        </w:tc>
      </w:tr>
    </w:tbl>
    <w:p w14:paraId="6B5BC76D" w14:textId="77777777" w:rsidR="00794AFD" w:rsidRPr="00FC3D06" w:rsidRDefault="00794AFD" w:rsidP="00794AFD">
      <w:pPr>
        <w:rPr>
          <w:rFonts w:asciiTheme="minorHAnsi" w:hAnsiTheme="minorHAnsi"/>
          <w:b/>
          <w:bCs/>
          <w:i/>
          <w:sz w:val="20"/>
          <w:szCs w:val="20"/>
        </w:rPr>
      </w:pPr>
    </w:p>
    <w:p w14:paraId="3AFE944A" w14:textId="77777777" w:rsidR="00794AFD" w:rsidRPr="001C5950" w:rsidRDefault="00794AFD" w:rsidP="00794AFD">
      <w:pPr>
        <w:rPr>
          <w:rFonts w:asciiTheme="minorHAnsi" w:hAnsiTheme="minorHAnsi"/>
          <w:bCs/>
          <w:sz w:val="20"/>
          <w:szCs w:val="20"/>
        </w:rPr>
      </w:pPr>
      <w:r w:rsidRPr="00042A91">
        <w:rPr>
          <w:rFonts w:asciiTheme="minorHAnsi" w:hAnsiTheme="minorHAnsi"/>
          <w:bCs/>
          <w:sz w:val="20"/>
          <w:szCs w:val="20"/>
        </w:rPr>
        <w:t xml:space="preserve">During 2019, the Group settled deferred consideration liabilities of </w:t>
      </w:r>
      <w:r w:rsidRPr="00784F67">
        <w:rPr>
          <w:rFonts w:asciiTheme="minorHAnsi" w:hAnsiTheme="minorHAnsi"/>
          <w:bCs/>
          <w:sz w:val="20"/>
          <w:szCs w:val="20"/>
        </w:rPr>
        <w:t>£4.5m</w:t>
      </w:r>
      <w:r w:rsidRPr="00042A91">
        <w:rPr>
          <w:rFonts w:asciiTheme="minorHAnsi" w:hAnsiTheme="minorHAnsi"/>
          <w:bCs/>
          <w:sz w:val="20"/>
          <w:szCs w:val="20"/>
        </w:rPr>
        <w:t xml:space="preserve"> (2018: £3.4m) in relation to</w:t>
      </w:r>
      <w:r w:rsidRPr="00042A91">
        <w:rPr>
          <w:rFonts w:asciiTheme="minorHAnsi" w:hAnsiTheme="minorHAnsi"/>
          <w:bCs/>
          <w:sz w:val="20"/>
          <w:lang w:val="en-IE"/>
        </w:rPr>
        <w:t xml:space="preserve"> Betfair’s historical acquisition of HRTV, a horseracing television network based in the US</w:t>
      </w:r>
      <w:r w:rsidRPr="00784F67">
        <w:rPr>
          <w:rFonts w:asciiTheme="minorHAnsi" w:hAnsiTheme="minorHAnsi"/>
          <w:bCs/>
          <w:sz w:val="20"/>
          <w:lang w:val="en-IE"/>
        </w:rPr>
        <w:t xml:space="preserve"> and £0.3m relating to</w:t>
      </w:r>
      <w:r>
        <w:rPr>
          <w:rFonts w:asciiTheme="minorHAnsi" w:hAnsiTheme="minorHAnsi"/>
          <w:bCs/>
          <w:sz w:val="20"/>
          <w:lang w:val="en-IE"/>
        </w:rPr>
        <w:t xml:space="preserve"> other</w:t>
      </w:r>
      <w:r w:rsidRPr="00784F67">
        <w:rPr>
          <w:rFonts w:asciiTheme="minorHAnsi" w:hAnsiTheme="minorHAnsi"/>
          <w:bCs/>
          <w:sz w:val="20"/>
          <w:lang w:val="en-IE"/>
        </w:rPr>
        <w:t xml:space="preserve"> prior year acquisitions.</w:t>
      </w:r>
    </w:p>
    <w:p w14:paraId="538B9FBE" w14:textId="77777777" w:rsidR="00794AFD" w:rsidRPr="001C5950" w:rsidRDefault="00794AFD" w:rsidP="00794AFD">
      <w:pPr>
        <w:rPr>
          <w:rFonts w:asciiTheme="minorHAnsi" w:hAnsiTheme="minorHAnsi"/>
          <w:bCs/>
          <w:sz w:val="20"/>
          <w:szCs w:val="20"/>
        </w:rPr>
      </w:pPr>
    </w:p>
    <w:p w14:paraId="2E7C1317" w14:textId="77777777" w:rsidR="00794AFD" w:rsidRPr="001C5950" w:rsidRDefault="00794AFD" w:rsidP="00794AFD">
      <w:pPr>
        <w:rPr>
          <w:rFonts w:asciiTheme="minorHAnsi" w:hAnsiTheme="minorHAnsi" w:cs="Times New Roman"/>
          <w:b/>
          <w:sz w:val="20"/>
          <w:szCs w:val="20"/>
        </w:rPr>
      </w:pPr>
      <w:r w:rsidRPr="00FC3D06">
        <w:rPr>
          <w:rFonts w:asciiTheme="minorHAnsi" w:hAnsiTheme="minorHAnsi"/>
          <w:b/>
          <w:bCs/>
          <w:i/>
          <w:sz w:val="20"/>
          <w:szCs w:val="20"/>
        </w:rPr>
        <w:br w:type="page"/>
      </w:r>
      <w:r>
        <w:rPr>
          <w:rFonts w:asciiTheme="minorHAnsi" w:hAnsiTheme="minorHAnsi" w:cs="Times New Roman"/>
          <w:b/>
          <w:bCs/>
          <w:sz w:val="20"/>
          <w:szCs w:val="20"/>
        </w:rPr>
        <w:lastRenderedPageBreak/>
        <w:t>9</w:t>
      </w:r>
      <w:r w:rsidRPr="001C5950">
        <w:rPr>
          <w:rFonts w:asciiTheme="minorHAnsi" w:hAnsiTheme="minorHAnsi" w:cs="Times New Roman"/>
          <w:b/>
          <w:bCs/>
          <w:sz w:val="20"/>
          <w:szCs w:val="20"/>
        </w:rPr>
        <w:t xml:space="preserve">.  </w:t>
      </w:r>
      <w:r w:rsidRPr="001C5950">
        <w:rPr>
          <w:rFonts w:asciiTheme="minorHAnsi" w:hAnsiTheme="minorHAnsi" w:cs="Times New Roman"/>
          <w:b/>
          <w:sz w:val="20"/>
          <w:szCs w:val="20"/>
        </w:rPr>
        <w:t>Investments</w:t>
      </w:r>
      <w:r w:rsidRPr="001C5950">
        <w:rPr>
          <w:rFonts w:asciiTheme="minorHAnsi" w:hAnsiTheme="minorHAnsi" w:cs="Times New Roman"/>
          <w:b/>
          <w:bCs/>
          <w:sz w:val="20"/>
          <w:szCs w:val="20"/>
        </w:rPr>
        <w:t xml:space="preserve"> and trade and other receivables</w:t>
      </w:r>
    </w:p>
    <w:p w14:paraId="68F535BD" w14:textId="77777777" w:rsidR="00794AFD" w:rsidRPr="00664E9B" w:rsidRDefault="00794AFD" w:rsidP="00794AFD">
      <w:pPr>
        <w:rPr>
          <w:rFonts w:asciiTheme="minorHAnsi" w:hAnsiTheme="minorHAnsi" w:cs="Times New Roman"/>
          <w:b/>
          <w:bCs/>
          <w:sz w:val="12"/>
          <w:szCs w:val="12"/>
        </w:rPr>
      </w:pPr>
    </w:p>
    <w:p w14:paraId="221B9271" w14:textId="77777777" w:rsidR="00794AFD" w:rsidRPr="001C5950" w:rsidRDefault="00794AFD" w:rsidP="00794AFD">
      <w:pPr>
        <w:jc w:val="both"/>
        <w:rPr>
          <w:rFonts w:asciiTheme="minorHAnsi" w:hAnsiTheme="minorHAnsi" w:cs="Times New Roman"/>
          <w:b/>
          <w:sz w:val="20"/>
          <w:szCs w:val="20"/>
        </w:rPr>
      </w:pPr>
      <w:r w:rsidRPr="001C5950">
        <w:rPr>
          <w:rFonts w:asciiTheme="minorHAnsi" w:hAnsiTheme="minorHAnsi" w:cs="Times New Roman"/>
          <w:b/>
          <w:sz w:val="20"/>
          <w:szCs w:val="20"/>
        </w:rPr>
        <w:t>Non-current assets</w:t>
      </w:r>
    </w:p>
    <w:tbl>
      <w:tblPr>
        <w:tblW w:w="9390" w:type="dxa"/>
        <w:tblInd w:w="108" w:type="dxa"/>
        <w:tblLayout w:type="fixed"/>
        <w:tblLook w:val="0000" w:firstRow="0" w:lastRow="0" w:firstColumn="0" w:lastColumn="0" w:noHBand="0" w:noVBand="0"/>
      </w:tblPr>
      <w:tblGrid>
        <w:gridCol w:w="6555"/>
        <w:gridCol w:w="141"/>
        <w:gridCol w:w="1276"/>
        <w:gridCol w:w="1418"/>
      </w:tblGrid>
      <w:tr w:rsidR="00794AFD" w:rsidRPr="001C5950" w14:paraId="22352FC9" w14:textId="77777777" w:rsidTr="00794AFD">
        <w:tc>
          <w:tcPr>
            <w:tcW w:w="6555" w:type="dxa"/>
            <w:tcBorders>
              <w:top w:val="single" w:sz="4" w:space="0" w:color="auto"/>
              <w:left w:val="nil"/>
              <w:bottom w:val="single" w:sz="4" w:space="0" w:color="auto"/>
              <w:right w:val="nil"/>
            </w:tcBorders>
          </w:tcPr>
          <w:p w14:paraId="16CDB96B" w14:textId="77777777" w:rsidR="00794AFD" w:rsidRPr="001C5950" w:rsidRDefault="00794AFD" w:rsidP="00794AFD">
            <w:pPr>
              <w:jc w:val="both"/>
              <w:rPr>
                <w:rFonts w:asciiTheme="minorHAnsi" w:hAnsiTheme="minorHAnsi" w:cs="Times New Roman"/>
                <w:sz w:val="20"/>
                <w:szCs w:val="20"/>
              </w:rPr>
            </w:pPr>
          </w:p>
        </w:tc>
        <w:tc>
          <w:tcPr>
            <w:tcW w:w="1417" w:type="dxa"/>
            <w:gridSpan w:val="2"/>
            <w:tcBorders>
              <w:top w:val="single" w:sz="4" w:space="0" w:color="auto"/>
              <w:left w:val="nil"/>
              <w:bottom w:val="single" w:sz="4" w:space="0" w:color="auto"/>
              <w:right w:val="nil"/>
            </w:tcBorders>
          </w:tcPr>
          <w:p w14:paraId="6D4EF278"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 xml:space="preserve">31 December </w:t>
            </w:r>
            <w:r>
              <w:rPr>
                <w:rFonts w:asciiTheme="minorHAnsi" w:hAnsiTheme="minorHAnsi" w:cs="Times New Roman"/>
                <w:b/>
                <w:bCs/>
                <w:sz w:val="20"/>
                <w:szCs w:val="20"/>
              </w:rPr>
              <w:t>2019</w:t>
            </w:r>
          </w:p>
          <w:p w14:paraId="08B8D311"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£m</w:t>
            </w:r>
          </w:p>
        </w:tc>
        <w:tc>
          <w:tcPr>
            <w:tcW w:w="1418" w:type="dxa"/>
            <w:tcBorders>
              <w:top w:val="single" w:sz="4" w:space="0" w:color="auto"/>
              <w:left w:val="nil"/>
              <w:bottom w:val="single" w:sz="4" w:space="0" w:color="auto"/>
              <w:right w:val="nil"/>
            </w:tcBorders>
          </w:tcPr>
          <w:p w14:paraId="3585F530"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 xml:space="preserve">31 December </w:t>
            </w:r>
            <w:r>
              <w:rPr>
                <w:rFonts w:asciiTheme="minorHAnsi" w:hAnsiTheme="minorHAnsi" w:cs="Times New Roman"/>
                <w:bCs/>
                <w:sz w:val="20"/>
                <w:szCs w:val="20"/>
              </w:rPr>
              <w:t>2018</w:t>
            </w:r>
          </w:p>
          <w:p w14:paraId="6F1C0D3F"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£m</w:t>
            </w:r>
          </w:p>
        </w:tc>
      </w:tr>
      <w:tr w:rsidR="00794AFD" w:rsidRPr="001C5950" w14:paraId="1BC77F58" w14:textId="77777777" w:rsidTr="00794AFD">
        <w:tc>
          <w:tcPr>
            <w:tcW w:w="6696" w:type="dxa"/>
            <w:gridSpan w:val="2"/>
            <w:tcBorders>
              <w:top w:val="single" w:sz="4" w:space="0" w:color="auto"/>
              <w:left w:val="nil"/>
              <w:bottom w:val="single" w:sz="4" w:space="0" w:color="auto"/>
              <w:right w:val="nil"/>
            </w:tcBorders>
          </w:tcPr>
          <w:p w14:paraId="6D76FC45" w14:textId="77777777" w:rsidR="00794AFD" w:rsidRPr="001C5950" w:rsidRDefault="00794AFD" w:rsidP="00794AFD">
            <w:pPr>
              <w:ind w:left="-108"/>
              <w:rPr>
                <w:rFonts w:asciiTheme="minorHAnsi" w:hAnsiTheme="minorHAnsi" w:cs="Times New Roman"/>
                <w:sz w:val="20"/>
                <w:szCs w:val="20"/>
              </w:rPr>
            </w:pPr>
          </w:p>
          <w:p w14:paraId="08B8E37F"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Investments</w:t>
            </w:r>
          </w:p>
        </w:tc>
        <w:tc>
          <w:tcPr>
            <w:tcW w:w="1276" w:type="dxa"/>
            <w:tcBorders>
              <w:top w:val="single" w:sz="4" w:space="0" w:color="auto"/>
              <w:left w:val="nil"/>
              <w:bottom w:val="single" w:sz="4" w:space="0" w:color="auto"/>
              <w:right w:val="nil"/>
            </w:tcBorders>
          </w:tcPr>
          <w:p w14:paraId="37FC3F80" w14:textId="77777777" w:rsidR="00794AFD" w:rsidRPr="001C5950" w:rsidRDefault="00794AFD" w:rsidP="00794AFD">
            <w:pPr>
              <w:jc w:val="right"/>
              <w:rPr>
                <w:rFonts w:asciiTheme="minorHAnsi" w:hAnsiTheme="minorHAnsi" w:cs="Times New Roman"/>
                <w:b/>
                <w:bCs/>
                <w:sz w:val="20"/>
                <w:szCs w:val="20"/>
              </w:rPr>
            </w:pPr>
          </w:p>
          <w:p w14:paraId="631CEC76" w14:textId="77777777" w:rsidR="00794AFD" w:rsidRPr="001C595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0</w:t>
            </w:r>
            <w:r w:rsidRPr="001C5950">
              <w:rPr>
                <w:rFonts w:asciiTheme="minorHAnsi" w:hAnsiTheme="minorHAnsi" w:cs="Times New Roman"/>
                <w:b/>
                <w:bCs/>
                <w:sz w:val="20"/>
                <w:szCs w:val="20"/>
              </w:rPr>
              <w:t>.</w:t>
            </w:r>
            <w:r>
              <w:rPr>
                <w:rFonts w:asciiTheme="minorHAnsi" w:hAnsiTheme="minorHAnsi" w:cs="Times New Roman"/>
                <w:b/>
                <w:bCs/>
                <w:sz w:val="20"/>
                <w:szCs w:val="20"/>
              </w:rPr>
              <w:t>1</w:t>
            </w:r>
          </w:p>
        </w:tc>
        <w:tc>
          <w:tcPr>
            <w:tcW w:w="1418" w:type="dxa"/>
            <w:tcBorders>
              <w:top w:val="single" w:sz="4" w:space="0" w:color="auto"/>
              <w:left w:val="nil"/>
              <w:bottom w:val="single" w:sz="4" w:space="0" w:color="auto"/>
              <w:right w:val="nil"/>
            </w:tcBorders>
          </w:tcPr>
          <w:p w14:paraId="67A85856" w14:textId="77777777" w:rsidR="00794AFD" w:rsidRPr="001C5950" w:rsidRDefault="00794AFD" w:rsidP="00794AFD">
            <w:pPr>
              <w:jc w:val="right"/>
              <w:rPr>
                <w:rFonts w:asciiTheme="minorHAnsi" w:hAnsiTheme="minorHAnsi" w:cs="Times New Roman"/>
                <w:bCs/>
                <w:sz w:val="20"/>
                <w:szCs w:val="20"/>
              </w:rPr>
            </w:pPr>
          </w:p>
          <w:p w14:paraId="4051C38B" w14:textId="77777777" w:rsidR="00794AFD" w:rsidRPr="001C5950" w:rsidRDefault="00794AFD" w:rsidP="00794AFD">
            <w:pPr>
              <w:jc w:val="right"/>
              <w:rPr>
                <w:rFonts w:asciiTheme="minorHAnsi" w:hAnsiTheme="minorHAnsi" w:cs="Times New Roman"/>
                <w:bCs/>
                <w:sz w:val="20"/>
                <w:szCs w:val="20"/>
              </w:rPr>
            </w:pPr>
            <w:r>
              <w:rPr>
                <w:rFonts w:asciiTheme="minorHAnsi" w:hAnsiTheme="minorHAnsi" w:cs="Times New Roman"/>
                <w:bCs/>
                <w:sz w:val="20"/>
                <w:szCs w:val="20"/>
              </w:rPr>
              <w:t>2</w:t>
            </w:r>
            <w:r w:rsidRPr="001C5950">
              <w:rPr>
                <w:rFonts w:asciiTheme="minorHAnsi" w:hAnsiTheme="minorHAnsi" w:cs="Times New Roman"/>
                <w:bCs/>
                <w:sz w:val="20"/>
                <w:szCs w:val="20"/>
              </w:rPr>
              <w:t>.</w:t>
            </w:r>
            <w:r>
              <w:rPr>
                <w:rFonts w:asciiTheme="minorHAnsi" w:hAnsiTheme="minorHAnsi" w:cs="Times New Roman"/>
                <w:bCs/>
                <w:sz w:val="20"/>
                <w:szCs w:val="20"/>
              </w:rPr>
              <w:t>4</w:t>
            </w:r>
          </w:p>
        </w:tc>
      </w:tr>
    </w:tbl>
    <w:p w14:paraId="4F6D1042" w14:textId="77777777" w:rsidR="00794AFD" w:rsidRPr="007D7976" w:rsidRDefault="00794AFD" w:rsidP="00794AFD">
      <w:pPr>
        <w:rPr>
          <w:rFonts w:asciiTheme="minorHAnsi" w:hAnsiTheme="minorHAnsi" w:cs="Times New Roman"/>
          <w:sz w:val="12"/>
          <w:szCs w:val="12"/>
        </w:rPr>
      </w:pPr>
    </w:p>
    <w:p w14:paraId="2615A425" w14:textId="77777777" w:rsidR="00794AFD" w:rsidRPr="0084401F" w:rsidRDefault="00794AFD" w:rsidP="00794AFD">
      <w:pPr>
        <w:rPr>
          <w:rFonts w:asciiTheme="minorHAnsi" w:hAnsiTheme="minorHAnsi" w:cs="Times New Roman"/>
          <w:b/>
          <w:i/>
          <w:sz w:val="12"/>
          <w:szCs w:val="12"/>
          <w:lang w:val="en-IE"/>
        </w:rPr>
      </w:pPr>
      <w:r w:rsidRPr="001C5950">
        <w:rPr>
          <w:rFonts w:asciiTheme="minorHAnsi" w:hAnsiTheme="minorHAnsi" w:cs="Times New Roman"/>
          <w:sz w:val="20"/>
          <w:szCs w:val="20"/>
        </w:rPr>
        <w:t xml:space="preserve">At 31 December </w:t>
      </w:r>
      <w:r>
        <w:rPr>
          <w:rFonts w:asciiTheme="minorHAnsi" w:hAnsiTheme="minorHAnsi" w:cs="Times New Roman"/>
          <w:sz w:val="20"/>
          <w:szCs w:val="20"/>
        </w:rPr>
        <w:t>2018</w:t>
      </w:r>
      <w:r w:rsidRPr="001C5950">
        <w:rPr>
          <w:rFonts w:asciiTheme="minorHAnsi" w:hAnsiTheme="minorHAnsi" w:cs="Times New Roman"/>
          <w:sz w:val="20"/>
          <w:szCs w:val="20"/>
        </w:rPr>
        <w:t xml:space="preserve">, the Group had a non-controlling interest in Featurespace of 2.38% with a fair value of £2.3m. In 2019, the Group disposed of its remaining 2.38% non-controlling interest in Featurespace for cash consideration amounting to £2.3m.  </w:t>
      </w:r>
    </w:p>
    <w:tbl>
      <w:tblPr>
        <w:tblW w:w="9531" w:type="dxa"/>
        <w:tblInd w:w="108" w:type="dxa"/>
        <w:tblLayout w:type="fixed"/>
        <w:tblLook w:val="0000" w:firstRow="0" w:lastRow="0" w:firstColumn="0" w:lastColumn="0" w:noHBand="0" w:noVBand="0"/>
      </w:tblPr>
      <w:tblGrid>
        <w:gridCol w:w="6696"/>
        <w:gridCol w:w="1418"/>
        <w:gridCol w:w="1417"/>
      </w:tblGrid>
      <w:tr w:rsidR="00794AFD" w:rsidRPr="001C5950" w14:paraId="66E73F8D" w14:textId="77777777" w:rsidTr="00794AFD">
        <w:tc>
          <w:tcPr>
            <w:tcW w:w="6696" w:type="dxa"/>
            <w:tcBorders>
              <w:top w:val="single" w:sz="4" w:space="0" w:color="auto"/>
              <w:left w:val="nil"/>
              <w:bottom w:val="single" w:sz="4" w:space="0" w:color="auto"/>
              <w:right w:val="nil"/>
            </w:tcBorders>
          </w:tcPr>
          <w:p w14:paraId="2746F60F" w14:textId="77777777" w:rsidR="00794AFD" w:rsidRPr="00FC3D06" w:rsidRDefault="00794AFD" w:rsidP="00794AFD">
            <w:pPr>
              <w:jc w:val="both"/>
              <w:rPr>
                <w:rFonts w:asciiTheme="minorHAnsi" w:hAnsiTheme="minorHAnsi" w:cs="Times New Roman"/>
                <w:sz w:val="20"/>
                <w:szCs w:val="20"/>
              </w:rPr>
            </w:pPr>
          </w:p>
        </w:tc>
        <w:tc>
          <w:tcPr>
            <w:tcW w:w="1418" w:type="dxa"/>
            <w:tcBorders>
              <w:top w:val="single" w:sz="4" w:space="0" w:color="auto"/>
              <w:left w:val="nil"/>
              <w:bottom w:val="single" w:sz="4" w:space="0" w:color="auto"/>
              <w:right w:val="nil"/>
            </w:tcBorders>
          </w:tcPr>
          <w:p w14:paraId="685A7663"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 xml:space="preserve">31 December </w:t>
            </w:r>
            <w:r>
              <w:rPr>
                <w:rFonts w:asciiTheme="minorHAnsi" w:hAnsiTheme="minorHAnsi" w:cs="Times New Roman"/>
                <w:b/>
                <w:bCs/>
                <w:sz w:val="20"/>
                <w:szCs w:val="20"/>
              </w:rPr>
              <w:t>2019</w:t>
            </w:r>
          </w:p>
          <w:p w14:paraId="717CA51B"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£m</w:t>
            </w:r>
          </w:p>
        </w:tc>
        <w:tc>
          <w:tcPr>
            <w:tcW w:w="1417" w:type="dxa"/>
            <w:tcBorders>
              <w:top w:val="single" w:sz="4" w:space="0" w:color="auto"/>
              <w:left w:val="nil"/>
              <w:bottom w:val="single" w:sz="4" w:space="0" w:color="auto"/>
              <w:right w:val="nil"/>
            </w:tcBorders>
          </w:tcPr>
          <w:p w14:paraId="55D6E149"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 xml:space="preserve">31 December </w:t>
            </w:r>
            <w:r>
              <w:rPr>
                <w:rFonts w:asciiTheme="minorHAnsi" w:hAnsiTheme="minorHAnsi" w:cs="Times New Roman"/>
                <w:bCs/>
                <w:sz w:val="20"/>
                <w:szCs w:val="20"/>
              </w:rPr>
              <w:t>2018</w:t>
            </w:r>
          </w:p>
          <w:p w14:paraId="2F8D9DB0"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£m</w:t>
            </w:r>
          </w:p>
        </w:tc>
      </w:tr>
      <w:tr w:rsidR="00794AFD" w:rsidRPr="00E37505" w14:paraId="765BB74B" w14:textId="77777777" w:rsidTr="00794AFD">
        <w:trPr>
          <w:trHeight w:val="264"/>
        </w:trPr>
        <w:tc>
          <w:tcPr>
            <w:tcW w:w="6696" w:type="dxa"/>
            <w:tcBorders>
              <w:top w:val="single" w:sz="4" w:space="0" w:color="auto"/>
              <w:left w:val="nil"/>
              <w:right w:val="nil"/>
            </w:tcBorders>
          </w:tcPr>
          <w:p w14:paraId="507E0386" w14:textId="77777777" w:rsidR="00794AFD" w:rsidRPr="00E37505" w:rsidRDefault="00794AFD" w:rsidP="00794AFD">
            <w:pPr>
              <w:ind w:left="-108"/>
              <w:rPr>
                <w:rFonts w:asciiTheme="minorHAnsi" w:hAnsiTheme="minorHAnsi" w:cs="Times New Roman"/>
                <w:sz w:val="20"/>
                <w:szCs w:val="20"/>
              </w:rPr>
            </w:pPr>
            <w:r w:rsidRPr="00E37505">
              <w:rPr>
                <w:rFonts w:asciiTheme="minorHAnsi" w:hAnsiTheme="minorHAnsi" w:cs="Times New Roman"/>
                <w:b/>
                <w:sz w:val="20"/>
                <w:szCs w:val="20"/>
              </w:rPr>
              <w:t>Other receivables</w:t>
            </w:r>
          </w:p>
        </w:tc>
        <w:tc>
          <w:tcPr>
            <w:tcW w:w="1418" w:type="dxa"/>
            <w:tcBorders>
              <w:top w:val="single" w:sz="4" w:space="0" w:color="auto"/>
              <w:left w:val="nil"/>
              <w:right w:val="nil"/>
            </w:tcBorders>
          </w:tcPr>
          <w:p w14:paraId="0D5A1CD3" w14:textId="77777777" w:rsidR="00794AFD" w:rsidRPr="000944E4" w:rsidRDefault="00794AFD" w:rsidP="00794AFD">
            <w:pPr>
              <w:jc w:val="right"/>
              <w:rPr>
                <w:rFonts w:asciiTheme="minorHAnsi" w:hAnsiTheme="minorHAnsi" w:cs="Times New Roman"/>
                <w:b/>
                <w:bCs/>
                <w:sz w:val="20"/>
                <w:szCs w:val="20"/>
              </w:rPr>
            </w:pPr>
          </w:p>
        </w:tc>
        <w:tc>
          <w:tcPr>
            <w:tcW w:w="1417" w:type="dxa"/>
            <w:tcBorders>
              <w:top w:val="single" w:sz="4" w:space="0" w:color="auto"/>
              <w:left w:val="nil"/>
              <w:right w:val="nil"/>
            </w:tcBorders>
          </w:tcPr>
          <w:p w14:paraId="551088C4" w14:textId="77777777" w:rsidR="00794AFD" w:rsidRPr="00E37505" w:rsidRDefault="00794AFD" w:rsidP="00794AFD">
            <w:pPr>
              <w:rPr>
                <w:rFonts w:asciiTheme="minorHAnsi" w:hAnsiTheme="minorHAnsi" w:cs="Times New Roman"/>
                <w:bCs/>
                <w:sz w:val="20"/>
                <w:szCs w:val="20"/>
              </w:rPr>
            </w:pPr>
          </w:p>
        </w:tc>
      </w:tr>
      <w:tr w:rsidR="00794AFD" w:rsidRPr="00E37505" w14:paraId="6CAE7C29" w14:textId="77777777" w:rsidTr="00794AFD">
        <w:tc>
          <w:tcPr>
            <w:tcW w:w="6696" w:type="dxa"/>
            <w:tcBorders>
              <w:left w:val="nil"/>
              <w:right w:val="nil"/>
            </w:tcBorders>
          </w:tcPr>
          <w:p w14:paraId="3793AE42" w14:textId="77777777" w:rsidR="00794AFD" w:rsidRPr="00E37505" w:rsidRDefault="00794AFD" w:rsidP="00794AFD">
            <w:pPr>
              <w:ind w:left="-108"/>
              <w:rPr>
                <w:rFonts w:asciiTheme="minorHAnsi" w:hAnsiTheme="minorHAnsi" w:cs="Times New Roman"/>
                <w:sz w:val="20"/>
                <w:szCs w:val="20"/>
              </w:rPr>
            </w:pPr>
            <w:r w:rsidRPr="00E37505">
              <w:rPr>
                <w:rFonts w:asciiTheme="minorHAnsi" w:hAnsiTheme="minorHAnsi" w:cs="Times New Roman"/>
                <w:sz w:val="20"/>
                <w:szCs w:val="20"/>
              </w:rPr>
              <w:t xml:space="preserve">Prepayments </w:t>
            </w:r>
          </w:p>
        </w:tc>
        <w:tc>
          <w:tcPr>
            <w:tcW w:w="1418" w:type="dxa"/>
            <w:tcBorders>
              <w:left w:val="nil"/>
              <w:right w:val="nil"/>
            </w:tcBorders>
          </w:tcPr>
          <w:p w14:paraId="3790F71D" w14:textId="77777777" w:rsidR="00794AFD" w:rsidRPr="00E37505" w:rsidRDefault="00794AFD" w:rsidP="00794AFD">
            <w:pPr>
              <w:jc w:val="right"/>
              <w:rPr>
                <w:rFonts w:asciiTheme="minorHAnsi" w:hAnsiTheme="minorHAnsi"/>
                <w:b/>
                <w:bCs/>
                <w:sz w:val="20"/>
              </w:rPr>
            </w:pPr>
            <w:r w:rsidRPr="00C87DC9">
              <w:rPr>
                <w:rFonts w:asciiTheme="minorHAnsi" w:hAnsiTheme="minorHAnsi" w:cs="Times New Roman"/>
                <w:b/>
                <w:bCs/>
                <w:sz w:val="20"/>
                <w:szCs w:val="20"/>
              </w:rPr>
              <w:t>9.0</w:t>
            </w:r>
          </w:p>
        </w:tc>
        <w:tc>
          <w:tcPr>
            <w:tcW w:w="1417" w:type="dxa"/>
            <w:tcBorders>
              <w:left w:val="nil"/>
              <w:right w:val="nil"/>
            </w:tcBorders>
          </w:tcPr>
          <w:p w14:paraId="4F64E4E8" w14:textId="77777777" w:rsidR="00794AFD" w:rsidRPr="00E37505" w:rsidRDefault="00794AFD" w:rsidP="00794AFD">
            <w:pPr>
              <w:jc w:val="right"/>
              <w:rPr>
                <w:rFonts w:asciiTheme="minorHAnsi" w:hAnsiTheme="minorHAnsi" w:cs="Times New Roman"/>
                <w:bCs/>
                <w:sz w:val="20"/>
                <w:szCs w:val="20"/>
              </w:rPr>
            </w:pPr>
            <w:r w:rsidRPr="00E37505">
              <w:rPr>
                <w:rFonts w:asciiTheme="minorHAnsi" w:hAnsiTheme="minorHAnsi" w:cs="Times New Roman"/>
                <w:bCs/>
                <w:sz w:val="20"/>
                <w:szCs w:val="20"/>
              </w:rPr>
              <w:t>8.9</w:t>
            </w:r>
          </w:p>
        </w:tc>
      </w:tr>
      <w:tr w:rsidR="00794AFD" w:rsidRPr="00E37505" w14:paraId="3E3D8E66" w14:textId="77777777" w:rsidTr="00794AFD">
        <w:tc>
          <w:tcPr>
            <w:tcW w:w="6696" w:type="dxa"/>
            <w:tcBorders>
              <w:left w:val="nil"/>
              <w:right w:val="nil"/>
            </w:tcBorders>
          </w:tcPr>
          <w:p w14:paraId="7CDE0F9A" w14:textId="77777777" w:rsidR="00794AFD" w:rsidRPr="00E37505" w:rsidRDefault="00794AFD" w:rsidP="00794AFD">
            <w:pPr>
              <w:ind w:left="-108"/>
              <w:rPr>
                <w:rFonts w:asciiTheme="minorHAnsi" w:hAnsiTheme="minorHAnsi"/>
                <w:sz w:val="20"/>
                <w:lang w:val="en-IE"/>
              </w:rPr>
            </w:pPr>
            <w:r w:rsidRPr="00E37505">
              <w:rPr>
                <w:rFonts w:asciiTheme="minorHAnsi" w:hAnsiTheme="minorHAnsi" w:cs="Times New Roman"/>
                <w:sz w:val="20"/>
                <w:szCs w:val="20"/>
              </w:rPr>
              <w:t xml:space="preserve">Finance lease receivable (see Note </w:t>
            </w:r>
            <w:r>
              <w:rPr>
                <w:rFonts w:asciiTheme="minorHAnsi" w:hAnsiTheme="minorHAnsi" w:cs="Times New Roman"/>
                <w:sz w:val="20"/>
                <w:szCs w:val="20"/>
              </w:rPr>
              <w:t>15</w:t>
            </w:r>
            <w:r w:rsidRPr="00E37505">
              <w:rPr>
                <w:rFonts w:asciiTheme="minorHAnsi" w:hAnsiTheme="minorHAnsi" w:cs="Times New Roman"/>
                <w:sz w:val="20"/>
                <w:szCs w:val="20"/>
              </w:rPr>
              <w:t>)</w:t>
            </w:r>
          </w:p>
        </w:tc>
        <w:tc>
          <w:tcPr>
            <w:tcW w:w="1418" w:type="dxa"/>
            <w:tcBorders>
              <w:left w:val="nil"/>
              <w:right w:val="nil"/>
            </w:tcBorders>
          </w:tcPr>
          <w:p w14:paraId="6E09778F" w14:textId="77777777" w:rsidR="00794AFD" w:rsidRPr="00E37505" w:rsidRDefault="00794AFD" w:rsidP="00794AFD">
            <w:pPr>
              <w:jc w:val="right"/>
              <w:rPr>
                <w:rFonts w:asciiTheme="minorHAnsi" w:hAnsiTheme="minorHAnsi"/>
                <w:b/>
                <w:bCs/>
                <w:sz w:val="20"/>
              </w:rPr>
            </w:pPr>
            <w:r w:rsidRPr="00E37505">
              <w:rPr>
                <w:rFonts w:asciiTheme="minorHAnsi" w:hAnsiTheme="minorHAnsi"/>
                <w:b/>
                <w:bCs/>
                <w:sz w:val="20"/>
              </w:rPr>
              <w:t>2.6</w:t>
            </w:r>
          </w:p>
        </w:tc>
        <w:tc>
          <w:tcPr>
            <w:tcW w:w="1417" w:type="dxa"/>
            <w:tcBorders>
              <w:left w:val="nil"/>
              <w:right w:val="nil"/>
            </w:tcBorders>
          </w:tcPr>
          <w:p w14:paraId="7C3CA973" w14:textId="77777777" w:rsidR="00794AFD" w:rsidRPr="00E37505" w:rsidRDefault="00794AFD" w:rsidP="00794AFD">
            <w:pPr>
              <w:jc w:val="right"/>
              <w:rPr>
                <w:rFonts w:asciiTheme="minorHAnsi" w:hAnsiTheme="minorHAnsi" w:cs="Times New Roman"/>
                <w:bCs/>
                <w:sz w:val="20"/>
                <w:szCs w:val="20"/>
              </w:rPr>
            </w:pPr>
            <w:r w:rsidRPr="00E37505">
              <w:rPr>
                <w:rFonts w:asciiTheme="minorHAnsi" w:hAnsiTheme="minorHAnsi" w:cs="Times New Roman"/>
                <w:bCs/>
                <w:sz w:val="20"/>
                <w:szCs w:val="20"/>
              </w:rPr>
              <w:t>-</w:t>
            </w:r>
          </w:p>
        </w:tc>
      </w:tr>
      <w:tr w:rsidR="00794AFD" w:rsidRPr="00E37505" w14:paraId="78C5654E" w14:textId="77777777" w:rsidTr="00794AFD">
        <w:tc>
          <w:tcPr>
            <w:tcW w:w="6696" w:type="dxa"/>
            <w:tcBorders>
              <w:left w:val="nil"/>
              <w:bottom w:val="single" w:sz="4" w:space="0" w:color="auto"/>
              <w:right w:val="nil"/>
            </w:tcBorders>
          </w:tcPr>
          <w:p w14:paraId="5A8CAF00" w14:textId="77777777" w:rsidR="00794AFD" w:rsidRPr="00E37505" w:rsidRDefault="00794AFD" w:rsidP="00794AFD">
            <w:pPr>
              <w:ind w:left="-108"/>
              <w:rPr>
                <w:rFonts w:asciiTheme="minorHAnsi" w:hAnsiTheme="minorHAnsi" w:cs="Times New Roman"/>
                <w:b/>
                <w:sz w:val="20"/>
                <w:szCs w:val="20"/>
              </w:rPr>
            </w:pPr>
            <w:r w:rsidRPr="00E37505">
              <w:rPr>
                <w:rFonts w:asciiTheme="minorHAnsi" w:hAnsiTheme="minorHAnsi"/>
                <w:sz w:val="20"/>
                <w:lang w:val="en-IE"/>
              </w:rPr>
              <w:t>Amounts paid in respect of legacy German and Greek tax assessments (Note A)</w:t>
            </w:r>
          </w:p>
        </w:tc>
        <w:tc>
          <w:tcPr>
            <w:tcW w:w="1418" w:type="dxa"/>
            <w:tcBorders>
              <w:left w:val="nil"/>
              <w:bottom w:val="single" w:sz="4" w:space="0" w:color="auto"/>
              <w:right w:val="nil"/>
            </w:tcBorders>
          </w:tcPr>
          <w:p w14:paraId="62228BEF" w14:textId="77777777" w:rsidR="00794AFD" w:rsidRPr="000944E4" w:rsidRDefault="00794AFD" w:rsidP="00794AFD">
            <w:pPr>
              <w:jc w:val="right"/>
              <w:rPr>
                <w:rFonts w:asciiTheme="minorHAnsi" w:hAnsiTheme="minorHAnsi" w:cs="Times New Roman"/>
                <w:b/>
                <w:bCs/>
                <w:sz w:val="20"/>
                <w:szCs w:val="20"/>
              </w:rPr>
            </w:pPr>
            <w:r w:rsidRPr="00E37505">
              <w:rPr>
                <w:rFonts w:asciiTheme="minorHAnsi" w:hAnsiTheme="minorHAnsi"/>
                <w:b/>
                <w:bCs/>
                <w:sz w:val="20"/>
              </w:rPr>
              <w:t>38.8</w:t>
            </w:r>
          </w:p>
        </w:tc>
        <w:tc>
          <w:tcPr>
            <w:tcW w:w="1417" w:type="dxa"/>
            <w:tcBorders>
              <w:left w:val="nil"/>
              <w:bottom w:val="single" w:sz="4" w:space="0" w:color="auto"/>
              <w:right w:val="nil"/>
            </w:tcBorders>
          </w:tcPr>
          <w:p w14:paraId="625F301B" w14:textId="77777777" w:rsidR="00794AFD" w:rsidRPr="00E37505" w:rsidRDefault="00794AFD" w:rsidP="00794AFD">
            <w:pPr>
              <w:jc w:val="right"/>
              <w:rPr>
                <w:rFonts w:asciiTheme="minorHAnsi" w:hAnsiTheme="minorHAnsi" w:cs="Times New Roman"/>
                <w:bCs/>
                <w:sz w:val="20"/>
                <w:szCs w:val="20"/>
              </w:rPr>
            </w:pPr>
            <w:r w:rsidRPr="00E37505">
              <w:rPr>
                <w:rFonts w:asciiTheme="minorHAnsi" w:hAnsiTheme="minorHAnsi" w:cs="Times New Roman"/>
                <w:bCs/>
                <w:sz w:val="20"/>
                <w:szCs w:val="20"/>
              </w:rPr>
              <w:t>-</w:t>
            </w:r>
          </w:p>
        </w:tc>
      </w:tr>
      <w:tr w:rsidR="00794AFD" w:rsidRPr="00E37505" w14:paraId="0E3B433C" w14:textId="77777777" w:rsidTr="00794AFD">
        <w:tc>
          <w:tcPr>
            <w:tcW w:w="6696" w:type="dxa"/>
            <w:tcBorders>
              <w:top w:val="single" w:sz="4" w:space="0" w:color="auto"/>
              <w:left w:val="nil"/>
              <w:bottom w:val="single" w:sz="4" w:space="0" w:color="auto"/>
              <w:right w:val="nil"/>
            </w:tcBorders>
          </w:tcPr>
          <w:p w14:paraId="47CC57F3" w14:textId="77777777" w:rsidR="00794AFD" w:rsidRPr="00E37505" w:rsidRDefault="00794AFD" w:rsidP="00794AFD">
            <w:pPr>
              <w:ind w:left="-108"/>
              <w:rPr>
                <w:rFonts w:asciiTheme="minorHAnsi" w:hAnsiTheme="minorHAnsi"/>
                <w:sz w:val="20"/>
                <w:lang w:val="en-IE"/>
              </w:rPr>
            </w:pPr>
          </w:p>
        </w:tc>
        <w:tc>
          <w:tcPr>
            <w:tcW w:w="1418" w:type="dxa"/>
            <w:tcBorders>
              <w:top w:val="single" w:sz="4" w:space="0" w:color="auto"/>
              <w:left w:val="nil"/>
              <w:bottom w:val="single" w:sz="4" w:space="0" w:color="auto"/>
              <w:right w:val="nil"/>
            </w:tcBorders>
          </w:tcPr>
          <w:p w14:paraId="0556CD70" w14:textId="77777777" w:rsidR="00794AFD" w:rsidRPr="000944E4" w:rsidRDefault="00794AFD" w:rsidP="00794AFD">
            <w:pPr>
              <w:jc w:val="right"/>
              <w:rPr>
                <w:rFonts w:asciiTheme="minorHAnsi" w:hAnsiTheme="minorHAnsi"/>
                <w:b/>
                <w:bCs/>
                <w:sz w:val="20"/>
              </w:rPr>
            </w:pPr>
            <w:r w:rsidRPr="000944E4">
              <w:rPr>
                <w:rFonts w:asciiTheme="minorHAnsi" w:hAnsiTheme="minorHAnsi"/>
                <w:b/>
                <w:bCs/>
                <w:sz w:val="20"/>
              </w:rPr>
              <w:t>50.4</w:t>
            </w:r>
          </w:p>
        </w:tc>
        <w:tc>
          <w:tcPr>
            <w:tcW w:w="1417" w:type="dxa"/>
            <w:tcBorders>
              <w:top w:val="single" w:sz="4" w:space="0" w:color="auto"/>
              <w:left w:val="nil"/>
              <w:bottom w:val="single" w:sz="4" w:space="0" w:color="auto"/>
              <w:right w:val="nil"/>
            </w:tcBorders>
          </w:tcPr>
          <w:p w14:paraId="6E13F217" w14:textId="77777777" w:rsidR="00794AFD" w:rsidRPr="00E37505" w:rsidRDefault="00794AFD" w:rsidP="00794AFD">
            <w:pPr>
              <w:jc w:val="right"/>
              <w:rPr>
                <w:rFonts w:asciiTheme="minorHAnsi" w:hAnsiTheme="minorHAnsi" w:cs="Times New Roman"/>
                <w:bCs/>
                <w:sz w:val="20"/>
                <w:szCs w:val="20"/>
              </w:rPr>
            </w:pPr>
            <w:r w:rsidRPr="00E37505">
              <w:rPr>
                <w:rFonts w:asciiTheme="minorHAnsi" w:hAnsiTheme="minorHAnsi" w:cs="Times New Roman"/>
                <w:bCs/>
                <w:sz w:val="20"/>
                <w:szCs w:val="20"/>
              </w:rPr>
              <w:t>8.9</w:t>
            </w:r>
          </w:p>
        </w:tc>
      </w:tr>
    </w:tbl>
    <w:p w14:paraId="128F1769" w14:textId="77777777" w:rsidR="00794AFD" w:rsidRPr="00E37505" w:rsidRDefault="00794AFD" w:rsidP="00794AFD">
      <w:pPr>
        <w:rPr>
          <w:rFonts w:asciiTheme="minorHAnsi" w:hAnsiTheme="minorHAnsi" w:cs="Times New Roman"/>
          <w:b/>
          <w:bCs/>
          <w:sz w:val="12"/>
          <w:szCs w:val="12"/>
        </w:rPr>
      </w:pPr>
    </w:p>
    <w:p w14:paraId="1681DCFB" w14:textId="77777777" w:rsidR="00794AFD" w:rsidRPr="00E37505" w:rsidRDefault="00794AFD" w:rsidP="00794AFD">
      <w:pPr>
        <w:rPr>
          <w:rFonts w:asciiTheme="minorHAnsi" w:hAnsiTheme="minorHAnsi" w:cs="Times New Roman"/>
          <w:b/>
          <w:bCs/>
          <w:sz w:val="20"/>
          <w:szCs w:val="20"/>
        </w:rPr>
      </w:pPr>
      <w:r w:rsidRPr="00E37505">
        <w:rPr>
          <w:rFonts w:asciiTheme="minorHAnsi" w:hAnsiTheme="minorHAnsi" w:cs="Times New Roman"/>
          <w:b/>
          <w:bCs/>
          <w:sz w:val="20"/>
          <w:szCs w:val="20"/>
        </w:rPr>
        <w:t>Current assets</w:t>
      </w:r>
    </w:p>
    <w:tbl>
      <w:tblPr>
        <w:tblW w:w="9531" w:type="dxa"/>
        <w:tblInd w:w="108" w:type="dxa"/>
        <w:tblLayout w:type="fixed"/>
        <w:tblLook w:val="0000" w:firstRow="0" w:lastRow="0" w:firstColumn="0" w:lastColumn="0" w:noHBand="0" w:noVBand="0"/>
      </w:tblPr>
      <w:tblGrid>
        <w:gridCol w:w="6696"/>
        <w:gridCol w:w="1418"/>
        <w:gridCol w:w="1417"/>
      </w:tblGrid>
      <w:tr w:rsidR="00794AFD" w:rsidRPr="00E37505" w14:paraId="1697E79E" w14:textId="77777777" w:rsidTr="00794AFD">
        <w:tc>
          <w:tcPr>
            <w:tcW w:w="6696" w:type="dxa"/>
            <w:tcBorders>
              <w:top w:val="single" w:sz="4" w:space="0" w:color="auto"/>
              <w:left w:val="nil"/>
              <w:bottom w:val="single" w:sz="4" w:space="0" w:color="auto"/>
              <w:right w:val="nil"/>
            </w:tcBorders>
          </w:tcPr>
          <w:p w14:paraId="0F0747C1" w14:textId="77777777" w:rsidR="00794AFD" w:rsidRPr="00E37505" w:rsidRDefault="00794AFD" w:rsidP="00794AFD">
            <w:pPr>
              <w:jc w:val="both"/>
              <w:rPr>
                <w:rFonts w:asciiTheme="minorHAnsi" w:hAnsiTheme="minorHAnsi" w:cs="Times New Roman"/>
                <w:sz w:val="20"/>
                <w:szCs w:val="20"/>
              </w:rPr>
            </w:pPr>
          </w:p>
        </w:tc>
        <w:tc>
          <w:tcPr>
            <w:tcW w:w="1418" w:type="dxa"/>
            <w:tcBorders>
              <w:top w:val="single" w:sz="4" w:space="0" w:color="auto"/>
              <w:left w:val="nil"/>
              <w:bottom w:val="single" w:sz="4" w:space="0" w:color="auto"/>
              <w:right w:val="nil"/>
            </w:tcBorders>
          </w:tcPr>
          <w:p w14:paraId="25585DEE" w14:textId="77777777" w:rsidR="00794AFD" w:rsidRPr="00E37505" w:rsidRDefault="00794AFD" w:rsidP="00794AFD">
            <w:pPr>
              <w:jc w:val="right"/>
              <w:rPr>
                <w:rFonts w:asciiTheme="minorHAnsi" w:hAnsiTheme="minorHAnsi" w:cs="Times New Roman"/>
                <w:b/>
                <w:bCs/>
                <w:sz w:val="20"/>
                <w:szCs w:val="20"/>
              </w:rPr>
            </w:pPr>
            <w:r w:rsidRPr="00E37505">
              <w:rPr>
                <w:rFonts w:asciiTheme="minorHAnsi" w:hAnsiTheme="minorHAnsi" w:cs="Times New Roman"/>
                <w:b/>
                <w:bCs/>
                <w:sz w:val="20"/>
                <w:szCs w:val="20"/>
              </w:rPr>
              <w:t>31 December 2019</w:t>
            </w:r>
          </w:p>
          <w:p w14:paraId="4A182A62" w14:textId="77777777" w:rsidR="00794AFD" w:rsidRPr="00E37505" w:rsidRDefault="00794AFD" w:rsidP="00794AFD">
            <w:pPr>
              <w:jc w:val="right"/>
              <w:rPr>
                <w:rFonts w:asciiTheme="minorHAnsi" w:hAnsiTheme="minorHAnsi" w:cs="Times New Roman"/>
                <w:b/>
                <w:bCs/>
                <w:sz w:val="20"/>
                <w:szCs w:val="20"/>
              </w:rPr>
            </w:pPr>
            <w:r w:rsidRPr="00E37505">
              <w:rPr>
                <w:rFonts w:asciiTheme="minorHAnsi" w:hAnsiTheme="minorHAnsi" w:cs="Times New Roman"/>
                <w:b/>
                <w:bCs/>
                <w:sz w:val="20"/>
                <w:szCs w:val="20"/>
              </w:rPr>
              <w:t>£m</w:t>
            </w:r>
          </w:p>
        </w:tc>
        <w:tc>
          <w:tcPr>
            <w:tcW w:w="1417" w:type="dxa"/>
            <w:tcBorders>
              <w:top w:val="single" w:sz="4" w:space="0" w:color="auto"/>
              <w:left w:val="nil"/>
              <w:bottom w:val="single" w:sz="4" w:space="0" w:color="auto"/>
              <w:right w:val="nil"/>
            </w:tcBorders>
          </w:tcPr>
          <w:p w14:paraId="1C1ED0EA" w14:textId="77777777" w:rsidR="00794AFD" w:rsidRPr="00E37505" w:rsidRDefault="00794AFD" w:rsidP="00794AFD">
            <w:pPr>
              <w:jc w:val="right"/>
              <w:rPr>
                <w:rFonts w:asciiTheme="minorHAnsi" w:hAnsiTheme="minorHAnsi" w:cs="Times New Roman"/>
                <w:bCs/>
                <w:sz w:val="20"/>
                <w:szCs w:val="20"/>
              </w:rPr>
            </w:pPr>
            <w:r w:rsidRPr="00E37505">
              <w:rPr>
                <w:rFonts w:asciiTheme="minorHAnsi" w:hAnsiTheme="minorHAnsi" w:cs="Times New Roman"/>
                <w:bCs/>
                <w:sz w:val="20"/>
                <w:szCs w:val="20"/>
              </w:rPr>
              <w:t>31 December 2018</w:t>
            </w:r>
          </w:p>
          <w:p w14:paraId="65415648" w14:textId="77777777" w:rsidR="00794AFD" w:rsidRPr="00E37505" w:rsidRDefault="00794AFD" w:rsidP="00794AFD">
            <w:pPr>
              <w:jc w:val="right"/>
              <w:rPr>
                <w:rFonts w:asciiTheme="minorHAnsi" w:hAnsiTheme="minorHAnsi" w:cs="Times New Roman"/>
                <w:bCs/>
                <w:sz w:val="20"/>
                <w:szCs w:val="20"/>
              </w:rPr>
            </w:pPr>
            <w:r w:rsidRPr="00E37505">
              <w:rPr>
                <w:rFonts w:asciiTheme="minorHAnsi" w:hAnsiTheme="minorHAnsi" w:cs="Times New Roman"/>
                <w:bCs/>
                <w:sz w:val="20"/>
                <w:szCs w:val="20"/>
              </w:rPr>
              <w:t>£m</w:t>
            </w:r>
          </w:p>
        </w:tc>
      </w:tr>
      <w:tr w:rsidR="00794AFD" w:rsidRPr="00E37505" w14:paraId="673B118E" w14:textId="77777777" w:rsidTr="00794AFD">
        <w:tc>
          <w:tcPr>
            <w:tcW w:w="6696" w:type="dxa"/>
            <w:tcBorders>
              <w:top w:val="single" w:sz="4" w:space="0" w:color="auto"/>
              <w:left w:val="nil"/>
              <w:bottom w:val="nil"/>
              <w:right w:val="nil"/>
            </w:tcBorders>
          </w:tcPr>
          <w:p w14:paraId="5C9D5B9C" w14:textId="77777777" w:rsidR="00794AFD" w:rsidRPr="00E37505" w:rsidRDefault="00794AFD" w:rsidP="00794AFD">
            <w:pPr>
              <w:ind w:left="-108"/>
              <w:rPr>
                <w:rFonts w:asciiTheme="minorHAnsi" w:hAnsiTheme="minorHAnsi" w:cs="Times New Roman"/>
                <w:b/>
                <w:sz w:val="20"/>
                <w:szCs w:val="20"/>
              </w:rPr>
            </w:pPr>
            <w:r w:rsidRPr="00E37505">
              <w:rPr>
                <w:rFonts w:asciiTheme="minorHAnsi" w:hAnsiTheme="minorHAnsi" w:cs="Times New Roman"/>
                <w:b/>
                <w:sz w:val="20"/>
                <w:szCs w:val="20"/>
              </w:rPr>
              <w:t>Trade and other receivables</w:t>
            </w:r>
          </w:p>
          <w:p w14:paraId="1BD046E4" w14:textId="77777777" w:rsidR="00794AFD" w:rsidRPr="00E37505" w:rsidRDefault="00794AFD" w:rsidP="00794AFD">
            <w:pPr>
              <w:ind w:left="-108"/>
              <w:rPr>
                <w:rFonts w:asciiTheme="minorHAnsi" w:hAnsiTheme="minorHAnsi" w:cs="Times New Roman"/>
                <w:sz w:val="20"/>
                <w:szCs w:val="20"/>
              </w:rPr>
            </w:pPr>
            <w:r w:rsidRPr="00E37505">
              <w:rPr>
                <w:rFonts w:asciiTheme="minorHAnsi" w:hAnsiTheme="minorHAnsi" w:cs="Times New Roman"/>
                <w:sz w:val="20"/>
                <w:szCs w:val="20"/>
              </w:rPr>
              <w:t>Trade receivables – credit betting customers</w:t>
            </w:r>
          </w:p>
        </w:tc>
        <w:tc>
          <w:tcPr>
            <w:tcW w:w="1418" w:type="dxa"/>
            <w:tcBorders>
              <w:top w:val="single" w:sz="4" w:space="0" w:color="auto"/>
              <w:left w:val="nil"/>
              <w:right w:val="nil"/>
            </w:tcBorders>
          </w:tcPr>
          <w:p w14:paraId="203C5CCA" w14:textId="77777777" w:rsidR="00794AFD" w:rsidRPr="000944E4" w:rsidRDefault="00794AFD" w:rsidP="00794AFD">
            <w:pPr>
              <w:jc w:val="right"/>
              <w:rPr>
                <w:rFonts w:asciiTheme="minorHAnsi" w:hAnsiTheme="minorHAnsi" w:cs="Times New Roman"/>
                <w:b/>
                <w:bCs/>
                <w:sz w:val="20"/>
                <w:szCs w:val="20"/>
              </w:rPr>
            </w:pPr>
          </w:p>
          <w:p w14:paraId="46C0818E"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0.</w:t>
            </w:r>
            <w:r>
              <w:rPr>
                <w:rFonts w:asciiTheme="minorHAnsi" w:hAnsiTheme="minorHAnsi" w:cs="Times New Roman"/>
                <w:b/>
                <w:bCs/>
                <w:sz w:val="20"/>
                <w:szCs w:val="20"/>
              </w:rPr>
              <w:t>4</w:t>
            </w:r>
          </w:p>
        </w:tc>
        <w:tc>
          <w:tcPr>
            <w:tcW w:w="1417" w:type="dxa"/>
            <w:tcBorders>
              <w:top w:val="single" w:sz="4" w:space="0" w:color="auto"/>
              <w:left w:val="nil"/>
              <w:right w:val="nil"/>
            </w:tcBorders>
          </w:tcPr>
          <w:p w14:paraId="62370C0F" w14:textId="77777777" w:rsidR="00794AFD" w:rsidRPr="00E37505" w:rsidRDefault="00794AFD" w:rsidP="00794AFD">
            <w:pPr>
              <w:jc w:val="right"/>
              <w:rPr>
                <w:rFonts w:asciiTheme="minorHAnsi" w:hAnsiTheme="minorHAnsi" w:cs="Times New Roman"/>
                <w:bCs/>
                <w:sz w:val="20"/>
                <w:szCs w:val="20"/>
              </w:rPr>
            </w:pPr>
          </w:p>
          <w:p w14:paraId="74D695BB" w14:textId="77777777" w:rsidR="00794AFD" w:rsidRPr="00E37505" w:rsidRDefault="00794AFD" w:rsidP="00794AFD">
            <w:pPr>
              <w:jc w:val="right"/>
              <w:rPr>
                <w:rFonts w:asciiTheme="minorHAnsi" w:hAnsiTheme="minorHAnsi" w:cs="Times New Roman"/>
                <w:bCs/>
                <w:sz w:val="20"/>
                <w:szCs w:val="20"/>
              </w:rPr>
            </w:pPr>
            <w:r w:rsidRPr="00E37505">
              <w:rPr>
                <w:rFonts w:asciiTheme="minorHAnsi" w:hAnsiTheme="minorHAnsi" w:cs="Times New Roman"/>
                <w:bCs/>
                <w:sz w:val="20"/>
                <w:szCs w:val="20"/>
              </w:rPr>
              <w:t>1.7</w:t>
            </w:r>
          </w:p>
        </w:tc>
      </w:tr>
      <w:tr w:rsidR="00794AFD" w:rsidRPr="00E37505" w14:paraId="00985D35" w14:textId="77777777" w:rsidTr="00794AFD">
        <w:trPr>
          <w:trHeight w:val="175"/>
        </w:trPr>
        <w:tc>
          <w:tcPr>
            <w:tcW w:w="6696" w:type="dxa"/>
            <w:tcBorders>
              <w:top w:val="nil"/>
              <w:left w:val="nil"/>
              <w:bottom w:val="single" w:sz="4" w:space="0" w:color="auto"/>
              <w:right w:val="nil"/>
            </w:tcBorders>
          </w:tcPr>
          <w:p w14:paraId="601D60B5" w14:textId="77777777" w:rsidR="00794AFD" w:rsidRPr="00E37505" w:rsidRDefault="00794AFD" w:rsidP="00794AFD">
            <w:pPr>
              <w:ind w:left="-108"/>
              <w:rPr>
                <w:rFonts w:asciiTheme="minorHAnsi" w:hAnsiTheme="minorHAnsi" w:cs="Times New Roman"/>
                <w:sz w:val="20"/>
                <w:szCs w:val="20"/>
              </w:rPr>
            </w:pPr>
            <w:r w:rsidRPr="00E37505">
              <w:rPr>
                <w:rFonts w:asciiTheme="minorHAnsi" w:hAnsiTheme="minorHAnsi" w:cs="Times New Roman"/>
                <w:sz w:val="20"/>
                <w:szCs w:val="20"/>
              </w:rPr>
              <w:t>Trade receivables – other sports betting counterparties</w:t>
            </w:r>
          </w:p>
        </w:tc>
        <w:tc>
          <w:tcPr>
            <w:tcW w:w="1418" w:type="dxa"/>
            <w:tcBorders>
              <w:top w:val="nil"/>
              <w:left w:val="nil"/>
              <w:bottom w:val="single" w:sz="4" w:space="0" w:color="auto"/>
              <w:right w:val="nil"/>
            </w:tcBorders>
          </w:tcPr>
          <w:p w14:paraId="6213DDB6"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8.</w:t>
            </w:r>
            <w:r>
              <w:rPr>
                <w:rFonts w:asciiTheme="minorHAnsi" w:hAnsiTheme="minorHAnsi" w:cs="Times New Roman"/>
                <w:b/>
                <w:bCs/>
                <w:sz w:val="20"/>
                <w:szCs w:val="20"/>
              </w:rPr>
              <w:t>1</w:t>
            </w:r>
          </w:p>
        </w:tc>
        <w:tc>
          <w:tcPr>
            <w:tcW w:w="1417" w:type="dxa"/>
            <w:tcBorders>
              <w:top w:val="nil"/>
              <w:left w:val="nil"/>
              <w:bottom w:val="single" w:sz="4" w:space="0" w:color="auto"/>
              <w:right w:val="nil"/>
            </w:tcBorders>
          </w:tcPr>
          <w:p w14:paraId="2F2D86C7" w14:textId="77777777" w:rsidR="00794AFD" w:rsidRPr="00E37505" w:rsidRDefault="00794AFD" w:rsidP="00794AFD">
            <w:pPr>
              <w:jc w:val="right"/>
              <w:rPr>
                <w:rFonts w:asciiTheme="minorHAnsi" w:hAnsiTheme="minorHAnsi" w:cs="Times New Roman"/>
                <w:bCs/>
                <w:sz w:val="20"/>
                <w:szCs w:val="20"/>
              </w:rPr>
            </w:pPr>
            <w:r w:rsidRPr="00E37505">
              <w:rPr>
                <w:rFonts w:asciiTheme="minorHAnsi" w:hAnsiTheme="minorHAnsi" w:cs="Times New Roman"/>
                <w:bCs/>
                <w:sz w:val="20"/>
                <w:szCs w:val="20"/>
              </w:rPr>
              <w:t>3.4</w:t>
            </w:r>
          </w:p>
        </w:tc>
      </w:tr>
      <w:tr w:rsidR="00794AFD" w:rsidRPr="00E37505" w14:paraId="7FB6BCAA" w14:textId="77777777" w:rsidTr="00794AFD">
        <w:tc>
          <w:tcPr>
            <w:tcW w:w="6696" w:type="dxa"/>
            <w:tcBorders>
              <w:top w:val="single" w:sz="4" w:space="0" w:color="auto"/>
              <w:left w:val="nil"/>
              <w:bottom w:val="nil"/>
              <w:right w:val="nil"/>
            </w:tcBorders>
          </w:tcPr>
          <w:p w14:paraId="703C76B8" w14:textId="77777777" w:rsidR="00794AFD" w:rsidRPr="00E37505" w:rsidRDefault="00794AFD" w:rsidP="00794AFD">
            <w:pPr>
              <w:ind w:left="-108"/>
              <w:rPr>
                <w:rFonts w:asciiTheme="minorHAnsi" w:hAnsiTheme="minorHAnsi" w:cs="Times New Roman"/>
                <w:sz w:val="20"/>
                <w:szCs w:val="20"/>
              </w:rPr>
            </w:pPr>
            <w:r w:rsidRPr="00E37505">
              <w:rPr>
                <w:rFonts w:asciiTheme="minorHAnsi" w:hAnsiTheme="minorHAnsi" w:cs="Times New Roman"/>
                <w:sz w:val="20"/>
                <w:szCs w:val="20"/>
              </w:rPr>
              <w:t>Trade receivables</w:t>
            </w:r>
          </w:p>
        </w:tc>
        <w:tc>
          <w:tcPr>
            <w:tcW w:w="1418" w:type="dxa"/>
            <w:tcBorders>
              <w:top w:val="single" w:sz="4" w:space="0" w:color="auto"/>
              <w:left w:val="nil"/>
              <w:bottom w:val="nil"/>
              <w:right w:val="nil"/>
            </w:tcBorders>
          </w:tcPr>
          <w:p w14:paraId="5AA36116"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8.5</w:t>
            </w:r>
          </w:p>
        </w:tc>
        <w:tc>
          <w:tcPr>
            <w:tcW w:w="1417" w:type="dxa"/>
            <w:tcBorders>
              <w:top w:val="single" w:sz="4" w:space="0" w:color="auto"/>
              <w:left w:val="nil"/>
              <w:bottom w:val="nil"/>
              <w:right w:val="nil"/>
            </w:tcBorders>
          </w:tcPr>
          <w:p w14:paraId="48D0721E" w14:textId="77777777" w:rsidR="00794AFD" w:rsidRPr="00E37505" w:rsidRDefault="00794AFD" w:rsidP="00794AFD">
            <w:pPr>
              <w:jc w:val="right"/>
              <w:rPr>
                <w:rFonts w:asciiTheme="minorHAnsi" w:hAnsiTheme="minorHAnsi" w:cs="Times New Roman"/>
                <w:bCs/>
                <w:sz w:val="20"/>
                <w:szCs w:val="20"/>
              </w:rPr>
            </w:pPr>
            <w:r w:rsidRPr="00E37505">
              <w:rPr>
                <w:rFonts w:asciiTheme="minorHAnsi" w:hAnsiTheme="minorHAnsi" w:cs="Times New Roman"/>
                <w:bCs/>
                <w:sz w:val="20"/>
                <w:szCs w:val="20"/>
              </w:rPr>
              <w:t>5.1</w:t>
            </w:r>
          </w:p>
        </w:tc>
      </w:tr>
      <w:tr w:rsidR="00794AFD" w:rsidRPr="00E37505" w14:paraId="30659B00" w14:textId="77777777" w:rsidTr="00794AFD">
        <w:tc>
          <w:tcPr>
            <w:tcW w:w="6696" w:type="dxa"/>
            <w:tcBorders>
              <w:top w:val="nil"/>
              <w:left w:val="nil"/>
              <w:right w:val="nil"/>
            </w:tcBorders>
          </w:tcPr>
          <w:p w14:paraId="2070C8CF" w14:textId="77777777" w:rsidR="00794AFD" w:rsidRPr="00E37505" w:rsidRDefault="00794AFD" w:rsidP="00794AFD">
            <w:pPr>
              <w:ind w:left="-108"/>
              <w:rPr>
                <w:rFonts w:asciiTheme="minorHAnsi" w:hAnsiTheme="minorHAnsi" w:cs="Times New Roman"/>
                <w:sz w:val="20"/>
                <w:szCs w:val="20"/>
              </w:rPr>
            </w:pPr>
            <w:r w:rsidRPr="00E37505">
              <w:rPr>
                <w:rFonts w:asciiTheme="minorHAnsi" w:hAnsiTheme="minorHAnsi" w:cs="Times New Roman"/>
                <w:sz w:val="20"/>
                <w:szCs w:val="20"/>
              </w:rPr>
              <w:t xml:space="preserve">Finance lease receivable (see Note </w:t>
            </w:r>
            <w:r>
              <w:rPr>
                <w:rFonts w:asciiTheme="minorHAnsi" w:hAnsiTheme="minorHAnsi" w:cs="Times New Roman"/>
                <w:sz w:val="20"/>
                <w:szCs w:val="20"/>
              </w:rPr>
              <w:t>15</w:t>
            </w:r>
            <w:r w:rsidRPr="00E37505">
              <w:rPr>
                <w:rFonts w:asciiTheme="minorHAnsi" w:hAnsiTheme="minorHAnsi" w:cs="Times New Roman"/>
                <w:sz w:val="20"/>
                <w:szCs w:val="20"/>
              </w:rPr>
              <w:t>)</w:t>
            </w:r>
          </w:p>
        </w:tc>
        <w:tc>
          <w:tcPr>
            <w:tcW w:w="1418" w:type="dxa"/>
            <w:tcBorders>
              <w:top w:val="nil"/>
              <w:left w:val="nil"/>
              <w:right w:val="nil"/>
            </w:tcBorders>
          </w:tcPr>
          <w:p w14:paraId="21D47B34" w14:textId="77777777" w:rsidR="00794AFD" w:rsidRPr="000944E4" w:rsidDel="00D913EE"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0.4</w:t>
            </w:r>
          </w:p>
        </w:tc>
        <w:tc>
          <w:tcPr>
            <w:tcW w:w="1417" w:type="dxa"/>
            <w:tcBorders>
              <w:top w:val="nil"/>
              <w:left w:val="nil"/>
              <w:right w:val="nil"/>
            </w:tcBorders>
          </w:tcPr>
          <w:p w14:paraId="6F8730BC" w14:textId="77777777" w:rsidR="00794AFD" w:rsidRPr="00E37505" w:rsidRDefault="00794AFD" w:rsidP="00794AFD">
            <w:pPr>
              <w:jc w:val="right"/>
              <w:rPr>
                <w:rFonts w:asciiTheme="minorHAnsi" w:hAnsiTheme="minorHAnsi" w:cs="Times New Roman"/>
                <w:bCs/>
                <w:sz w:val="20"/>
                <w:szCs w:val="20"/>
              </w:rPr>
            </w:pPr>
            <w:r w:rsidRPr="00E37505">
              <w:rPr>
                <w:rFonts w:asciiTheme="minorHAnsi" w:hAnsiTheme="minorHAnsi" w:cs="Times New Roman"/>
                <w:bCs/>
                <w:sz w:val="20"/>
                <w:szCs w:val="20"/>
              </w:rPr>
              <w:t>-</w:t>
            </w:r>
          </w:p>
        </w:tc>
      </w:tr>
      <w:tr w:rsidR="00794AFD" w:rsidRPr="00E37505" w14:paraId="53FC1005" w14:textId="77777777" w:rsidTr="00794AFD">
        <w:tc>
          <w:tcPr>
            <w:tcW w:w="6696" w:type="dxa"/>
            <w:tcBorders>
              <w:top w:val="nil"/>
              <w:left w:val="nil"/>
              <w:right w:val="nil"/>
            </w:tcBorders>
          </w:tcPr>
          <w:p w14:paraId="44F82ED5" w14:textId="77777777" w:rsidR="00794AFD" w:rsidRPr="00E37505" w:rsidRDefault="00794AFD" w:rsidP="00794AFD">
            <w:pPr>
              <w:ind w:left="-108"/>
              <w:rPr>
                <w:rFonts w:asciiTheme="minorHAnsi" w:hAnsiTheme="minorHAnsi" w:cs="Times New Roman"/>
                <w:sz w:val="20"/>
                <w:szCs w:val="20"/>
              </w:rPr>
            </w:pPr>
            <w:r w:rsidRPr="00E37505">
              <w:rPr>
                <w:rFonts w:asciiTheme="minorHAnsi" w:hAnsiTheme="minorHAnsi" w:cs="Times New Roman"/>
                <w:sz w:val="20"/>
                <w:szCs w:val="20"/>
              </w:rPr>
              <w:t>Other receivables</w:t>
            </w:r>
          </w:p>
        </w:tc>
        <w:tc>
          <w:tcPr>
            <w:tcW w:w="1418" w:type="dxa"/>
            <w:tcBorders>
              <w:top w:val="nil"/>
              <w:left w:val="nil"/>
              <w:right w:val="nil"/>
            </w:tcBorders>
          </w:tcPr>
          <w:p w14:paraId="0029876F"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8.0</w:t>
            </w:r>
          </w:p>
        </w:tc>
        <w:tc>
          <w:tcPr>
            <w:tcW w:w="1417" w:type="dxa"/>
            <w:tcBorders>
              <w:top w:val="nil"/>
              <w:left w:val="nil"/>
              <w:right w:val="nil"/>
            </w:tcBorders>
          </w:tcPr>
          <w:p w14:paraId="543D6FEF" w14:textId="77777777" w:rsidR="00794AFD" w:rsidRPr="00E37505" w:rsidRDefault="00794AFD" w:rsidP="00794AFD">
            <w:pPr>
              <w:jc w:val="right"/>
              <w:rPr>
                <w:rFonts w:asciiTheme="minorHAnsi" w:hAnsiTheme="minorHAnsi" w:cs="Times New Roman"/>
                <w:bCs/>
                <w:sz w:val="20"/>
                <w:szCs w:val="20"/>
              </w:rPr>
            </w:pPr>
            <w:r w:rsidRPr="00E37505">
              <w:rPr>
                <w:rFonts w:asciiTheme="minorHAnsi" w:hAnsiTheme="minorHAnsi" w:cs="Times New Roman"/>
                <w:bCs/>
                <w:sz w:val="20"/>
                <w:szCs w:val="20"/>
              </w:rPr>
              <w:t>6.9</w:t>
            </w:r>
          </w:p>
        </w:tc>
      </w:tr>
      <w:tr w:rsidR="00794AFD" w:rsidRPr="00E37505" w14:paraId="5F8810E5" w14:textId="77777777" w:rsidTr="00794AFD">
        <w:tc>
          <w:tcPr>
            <w:tcW w:w="6696" w:type="dxa"/>
            <w:tcBorders>
              <w:top w:val="nil"/>
              <w:left w:val="nil"/>
              <w:right w:val="nil"/>
            </w:tcBorders>
          </w:tcPr>
          <w:p w14:paraId="07FF8323" w14:textId="77777777" w:rsidR="00794AFD" w:rsidRPr="00E37505" w:rsidRDefault="00794AFD" w:rsidP="00794AFD">
            <w:pPr>
              <w:ind w:left="-108"/>
              <w:rPr>
                <w:rFonts w:asciiTheme="minorHAnsi" w:hAnsiTheme="minorHAnsi" w:cs="Times New Roman"/>
                <w:sz w:val="20"/>
                <w:szCs w:val="20"/>
              </w:rPr>
            </w:pPr>
            <w:r w:rsidRPr="00E37505">
              <w:rPr>
                <w:rFonts w:asciiTheme="minorHAnsi" w:hAnsiTheme="minorHAnsi" w:cs="Times New Roman"/>
                <w:sz w:val="20"/>
                <w:szCs w:val="20"/>
              </w:rPr>
              <w:t>Value-added tax and goods and services tax</w:t>
            </w:r>
          </w:p>
        </w:tc>
        <w:tc>
          <w:tcPr>
            <w:tcW w:w="1418" w:type="dxa"/>
            <w:tcBorders>
              <w:top w:val="nil"/>
              <w:left w:val="nil"/>
              <w:right w:val="nil"/>
            </w:tcBorders>
          </w:tcPr>
          <w:p w14:paraId="705677BB"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1.9</w:t>
            </w:r>
          </w:p>
        </w:tc>
        <w:tc>
          <w:tcPr>
            <w:tcW w:w="1417" w:type="dxa"/>
            <w:tcBorders>
              <w:top w:val="nil"/>
              <w:left w:val="nil"/>
              <w:right w:val="nil"/>
            </w:tcBorders>
          </w:tcPr>
          <w:p w14:paraId="403C2C9B" w14:textId="77777777" w:rsidR="00794AFD" w:rsidRPr="00E37505" w:rsidRDefault="00794AFD" w:rsidP="00794AFD">
            <w:pPr>
              <w:jc w:val="right"/>
              <w:rPr>
                <w:rFonts w:asciiTheme="minorHAnsi" w:hAnsiTheme="minorHAnsi" w:cs="Times New Roman"/>
                <w:bCs/>
                <w:sz w:val="20"/>
                <w:szCs w:val="20"/>
              </w:rPr>
            </w:pPr>
            <w:r w:rsidRPr="00E37505">
              <w:rPr>
                <w:rFonts w:asciiTheme="minorHAnsi" w:hAnsiTheme="minorHAnsi" w:cs="Times New Roman"/>
                <w:bCs/>
                <w:sz w:val="20"/>
                <w:szCs w:val="20"/>
              </w:rPr>
              <w:t>2.1</w:t>
            </w:r>
          </w:p>
        </w:tc>
      </w:tr>
      <w:tr w:rsidR="00794AFD" w:rsidRPr="00E37505" w14:paraId="46F1486A" w14:textId="77777777" w:rsidTr="00794AFD">
        <w:tc>
          <w:tcPr>
            <w:tcW w:w="6696" w:type="dxa"/>
            <w:tcBorders>
              <w:left w:val="nil"/>
              <w:bottom w:val="single" w:sz="4" w:space="0" w:color="auto"/>
              <w:right w:val="nil"/>
            </w:tcBorders>
          </w:tcPr>
          <w:p w14:paraId="01FD1230" w14:textId="77777777" w:rsidR="00794AFD" w:rsidRPr="00E37505" w:rsidRDefault="00794AFD" w:rsidP="00794AFD">
            <w:pPr>
              <w:ind w:left="-108"/>
              <w:rPr>
                <w:rFonts w:asciiTheme="minorHAnsi" w:hAnsiTheme="minorHAnsi" w:cs="Times New Roman"/>
                <w:sz w:val="20"/>
                <w:szCs w:val="20"/>
              </w:rPr>
            </w:pPr>
            <w:r w:rsidRPr="00E37505">
              <w:rPr>
                <w:rFonts w:asciiTheme="minorHAnsi" w:hAnsiTheme="minorHAnsi" w:cs="Times New Roman"/>
                <w:sz w:val="20"/>
                <w:szCs w:val="20"/>
              </w:rPr>
              <w:t xml:space="preserve">Prepayments </w:t>
            </w:r>
          </w:p>
        </w:tc>
        <w:tc>
          <w:tcPr>
            <w:tcW w:w="1418" w:type="dxa"/>
            <w:tcBorders>
              <w:left w:val="nil"/>
              <w:bottom w:val="single" w:sz="4" w:space="0" w:color="auto"/>
              <w:right w:val="nil"/>
            </w:tcBorders>
          </w:tcPr>
          <w:p w14:paraId="64AF6B9D"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45.8</w:t>
            </w:r>
          </w:p>
        </w:tc>
        <w:tc>
          <w:tcPr>
            <w:tcW w:w="1417" w:type="dxa"/>
            <w:tcBorders>
              <w:left w:val="nil"/>
              <w:bottom w:val="single" w:sz="4" w:space="0" w:color="auto"/>
              <w:right w:val="nil"/>
            </w:tcBorders>
          </w:tcPr>
          <w:p w14:paraId="38C05E60" w14:textId="77777777" w:rsidR="00794AFD" w:rsidRPr="00E37505" w:rsidRDefault="00794AFD" w:rsidP="00794AFD">
            <w:pPr>
              <w:jc w:val="right"/>
              <w:rPr>
                <w:rFonts w:asciiTheme="minorHAnsi" w:hAnsiTheme="minorHAnsi" w:cs="Times New Roman"/>
                <w:bCs/>
                <w:sz w:val="20"/>
                <w:szCs w:val="20"/>
              </w:rPr>
            </w:pPr>
            <w:r w:rsidRPr="00E37505">
              <w:rPr>
                <w:rFonts w:asciiTheme="minorHAnsi" w:hAnsiTheme="minorHAnsi" w:cs="Times New Roman"/>
                <w:bCs/>
                <w:sz w:val="20"/>
                <w:szCs w:val="20"/>
              </w:rPr>
              <w:t>67.7</w:t>
            </w:r>
          </w:p>
        </w:tc>
      </w:tr>
      <w:tr w:rsidR="00794AFD" w:rsidRPr="001C5950" w14:paraId="6DF63C95" w14:textId="77777777" w:rsidTr="00794AFD">
        <w:trPr>
          <w:trHeight w:val="121"/>
        </w:trPr>
        <w:tc>
          <w:tcPr>
            <w:tcW w:w="6696" w:type="dxa"/>
            <w:tcBorders>
              <w:top w:val="single" w:sz="4" w:space="0" w:color="auto"/>
              <w:left w:val="nil"/>
              <w:bottom w:val="single" w:sz="4" w:space="0" w:color="auto"/>
              <w:right w:val="nil"/>
            </w:tcBorders>
          </w:tcPr>
          <w:p w14:paraId="3173E58C" w14:textId="77777777" w:rsidR="00794AFD" w:rsidRPr="00E37505" w:rsidRDefault="00794AFD" w:rsidP="00794AFD">
            <w:pPr>
              <w:ind w:left="-108"/>
              <w:jc w:val="both"/>
              <w:rPr>
                <w:rFonts w:asciiTheme="minorHAnsi" w:hAnsiTheme="minorHAnsi" w:cs="Times New Roman"/>
                <w:sz w:val="20"/>
                <w:szCs w:val="20"/>
              </w:rPr>
            </w:pPr>
            <w:r w:rsidRPr="00E37505">
              <w:rPr>
                <w:rFonts w:asciiTheme="minorHAnsi" w:hAnsiTheme="minorHAnsi" w:cs="Times New Roman"/>
                <w:sz w:val="20"/>
                <w:szCs w:val="20"/>
              </w:rPr>
              <w:t>Total</w:t>
            </w:r>
          </w:p>
        </w:tc>
        <w:tc>
          <w:tcPr>
            <w:tcW w:w="1418" w:type="dxa"/>
            <w:tcBorders>
              <w:top w:val="single" w:sz="4" w:space="0" w:color="auto"/>
              <w:left w:val="nil"/>
              <w:bottom w:val="single" w:sz="4" w:space="0" w:color="auto"/>
              <w:right w:val="nil"/>
            </w:tcBorders>
          </w:tcPr>
          <w:p w14:paraId="4639F9EF" w14:textId="77777777" w:rsidR="00794AFD" w:rsidRPr="00E37505"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64.6</w:t>
            </w:r>
          </w:p>
        </w:tc>
        <w:tc>
          <w:tcPr>
            <w:tcW w:w="1417" w:type="dxa"/>
            <w:tcBorders>
              <w:top w:val="single" w:sz="4" w:space="0" w:color="auto"/>
              <w:left w:val="nil"/>
              <w:bottom w:val="single" w:sz="4" w:space="0" w:color="auto"/>
              <w:right w:val="nil"/>
            </w:tcBorders>
          </w:tcPr>
          <w:p w14:paraId="39362A01" w14:textId="77777777" w:rsidR="00794AFD" w:rsidRPr="00664E9B" w:rsidRDefault="00794AFD" w:rsidP="00794AFD">
            <w:pPr>
              <w:jc w:val="right"/>
              <w:rPr>
                <w:rFonts w:asciiTheme="minorHAnsi" w:hAnsiTheme="minorHAnsi" w:cs="Times New Roman"/>
                <w:bCs/>
                <w:sz w:val="20"/>
                <w:szCs w:val="20"/>
              </w:rPr>
            </w:pPr>
            <w:r w:rsidRPr="00E37505">
              <w:rPr>
                <w:rFonts w:asciiTheme="minorHAnsi" w:hAnsiTheme="minorHAnsi" w:cs="Times New Roman"/>
                <w:bCs/>
                <w:sz w:val="20"/>
                <w:szCs w:val="20"/>
              </w:rPr>
              <w:t>81.8</w:t>
            </w:r>
          </w:p>
        </w:tc>
      </w:tr>
    </w:tbl>
    <w:p w14:paraId="1A7F0044" w14:textId="77777777" w:rsidR="00794AFD" w:rsidRPr="007D7976" w:rsidRDefault="00794AFD" w:rsidP="00794AFD">
      <w:pPr>
        <w:jc w:val="both"/>
        <w:rPr>
          <w:rFonts w:asciiTheme="minorHAnsi" w:hAnsiTheme="minorHAnsi" w:cs="Times New Roman"/>
          <w:sz w:val="12"/>
          <w:szCs w:val="12"/>
        </w:rPr>
      </w:pPr>
    </w:p>
    <w:p w14:paraId="1539E5FB" w14:textId="77777777" w:rsidR="00794AFD" w:rsidRPr="001C5950" w:rsidRDefault="00794AFD" w:rsidP="00794AFD">
      <w:pPr>
        <w:jc w:val="both"/>
        <w:rPr>
          <w:rFonts w:asciiTheme="minorHAnsi" w:hAnsiTheme="minorHAnsi" w:cs="Times New Roman"/>
          <w:sz w:val="20"/>
          <w:szCs w:val="20"/>
        </w:rPr>
      </w:pPr>
      <w:r w:rsidRPr="001C5950">
        <w:rPr>
          <w:rFonts w:asciiTheme="minorHAnsi" w:hAnsiTheme="minorHAnsi" w:cs="Times New Roman"/>
          <w:sz w:val="20"/>
          <w:szCs w:val="20"/>
        </w:rPr>
        <w:t>Trade and other receivables are non-interest bearing.</w:t>
      </w:r>
    </w:p>
    <w:p w14:paraId="69388747" w14:textId="77777777" w:rsidR="00794AFD" w:rsidRPr="00664E9B" w:rsidRDefault="00794AFD" w:rsidP="00794AFD">
      <w:pPr>
        <w:pStyle w:val="a"/>
        <w:rPr>
          <w:rFonts w:asciiTheme="minorHAnsi" w:hAnsiTheme="minorHAnsi"/>
          <w:b/>
          <w:bCs/>
          <w:i/>
          <w:sz w:val="12"/>
          <w:szCs w:val="12"/>
          <w:lang w:val="en-IE"/>
        </w:rPr>
      </w:pPr>
    </w:p>
    <w:p w14:paraId="38AA985E" w14:textId="77777777" w:rsidR="00794AFD" w:rsidRPr="000944E4" w:rsidRDefault="00794AFD" w:rsidP="00794AFD">
      <w:pPr>
        <w:pStyle w:val="a"/>
        <w:rPr>
          <w:rFonts w:asciiTheme="minorHAnsi" w:hAnsiTheme="minorHAnsi"/>
          <w:b/>
          <w:bCs/>
          <w:i/>
          <w:sz w:val="20"/>
          <w:u w:val="single"/>
          <w:lang w:val="en-IE"/>
        </w:rPr>
      </w:pPr>
      <w:r w:rsidRPr="000944E4">
        <w:rPr>
          <w:rFonts w:asciiTheme="minorHAnsi" w:hAnsiTheme="minorHAnsi"/>
          <w:b/>
          <w:bCs/>
          <w:i/>
          <w:sz w:val="20"/>
          <w:u w:val="single"/>
          <w:lang w:val="en-IE"/>
        </w:rPr>
        <w:t>Note A</w:t>
      </w:r>
    </w:p>
    <w:p w14:paraId="03A4255E" w14:textId="77777777" w:rsidR="00794AFD" w:rsidRDefault="00794AFD" w:rsidP="00794AFD">
      <w:pPr>
        <w:rPr>
          <w:rFonts w:asciiTheme="minorHAnsi" w:hAnsiTheme="minorHAnsi" w:cstheme="minorHAnsi"/>
          <w:sz w:val="20"/>
          <w:szCs w:val="20"/>
        </w:rPr>
      </w:pPr>
      <w:r>
        <w:rPr>
          <w:rFonts w:asciiTheme="minorHAnsi" w:hAnsiTheme="minorHAnsi" w:cstheme="minorHAnsi"/>
          <w:sz w:val="20"/>
          <w:szCs w:val="20"/>
        </w:rPr>
        <w:t>O</w:t>
      </w:r>
      <w:r w:rsidRPr="001D6493">
        <w:rPr>
          <w:rFonts w:asciiTheme="minorHAnsi" w:hAnsiTheme="minorHAnsi" w:cstheme="minorHAnsi"/>
          <w:sz w:val="20"/>
          <w:szCs w:val="20"/>
        </w:rPr>
        <w:t xml:space="preserve">n 13 February 2019, the Group provided an update on two separate disputed legacy tax assessments. The first relates to the Betfair Exchange in Germany, which operated there until November 2012, and the second relates to the paddypower.com business in Greece. </w:t>
      </w:r>
      <w:r>
        <w:rPr>
          <w:rFonts w:asciiTheme="minorHAnsi" w:hAnsiTheme="minorHAnsi" w:cstheme="minorHAnsi"/>
          <w:sz w:val="20"/>
          <w:szCs w:val="20"/>
        </w:rPr>
        <w:t xml:space="preserve"> </w:t>
      </w:r>
    </w:p>
    <w:p w14:paraId="4B3A4B1C" w14:textId="77777777" w:rsidR="00794AFD" w:rsidRDefault="00794AFD" w:rsidP="00794AFD">
      <w:pPr>
        <w:rPr>
          <w:rFonts w:asciiTheme="minorHAnsi" w:hAnsiTheme="minorHAnsi" w:cstheme="minorHAnsi"/>
          <w:sz w:val="20"/>
          <w:szCs w:val="20"/>
        </w:rPr>
      </w:pPr>
    </w:p>
    <w:p w14:paraId="16604159" w14:textId="77777777" w:rsidR="00794AFD" w:rsidRPr="001D6493" w:rsidRDefault="00794AFD" w:rsidP="00794AFD">
      <w:pPr>
        <w:rPr>
          <w:rFonts w:asciiTheme="minorHAnsi" w:hAnsiTheme="minorHAnsi" w:cstheme="minorHAnsi"/>
        </w:rPr>
      </w:pPr>
      <w:r w:rsidRPr="001D6493">
        <w:rPr>
          <w:rFonts w:asciiTheme="minorHAnsi" w:hAnsiTheme="minorHAnsi" w:cstheme="minorHAnsi"/>
          <w:sz w:val="20"/>
          <w:szCs w:val="20"/>
        </w:rPr>
        <w:t xml:space="preserve">The Hessen Fiscal Court provided the Group with its decision relating to the Group's appeal of a 2012 German tax assessment relating to the Betfair Exchange, which operated in Germany until November 2012. The Fiscal Court found against the Group and deemed that a tax liability of approximately €40m (£36m) is payable (including accrued interest). This represents a multiple of the revenues generated by the Exchange during the assessment period. </w:t>
      </w:r>
    </w:p>
    <w:p w14:paraId="05B7B473" w14:textId="77777777" w:rsidR="00794AFD" w:rsidRPr="0084401F" w:rsidRDefault="00794AFD" w:rsidP="00794AFD">
      <w:pPr>
        <w:rPr>
          <w:rFonts w:asciiTheme="minorHAnsi" w:hAnsiTheme="minorHAnsi" w:cstheme="minorHAnsi"/>
          <w:sz w:val="10"/>
          <w:szCs w:val="10"/>
        </w:rPr>
      </w:pPr>
      <w:r w:rsidRPr="001D6493">
        <w:rPr>
          <w:rFonts w:asciiTheme="minorHAnsi" w:hAnsiTheme="minorHAnsi" w:cstheme="minorHAnsi"/>
          <w:sz w:val="20"/>
          <w:szCs w:val="20"/>
        </w:rPr>
        <w:t> </w:t>
      </w:r>
    </w:p>
    <w:p w14:paraId="73924D55" w14:textId="77777777" w:rsidR="00794AFD" w:rsidRPr="001D6493" w:rsidRDefault="00794AFD" w:rsidP="00794AFD">
      <w:pPr>
        <w:pStyle w:val="a"/>
        <w:rPr>
          <w:rFonts w:asciiTheme="minorHAnsi" w:hAnsiTheme="minorHAnsi" w:cstheme="minorHAnsi"/>
          <w:bCs/>
        </w:rPr>
      </w:pPr>
      <w:r w:rsidRPr="001D6493">
        <w:rPr>
          <w:rFonts w:asciiTheme="minorHAnsi" w:hAnsiTheme="minorHAnsi" w:cstheme="minorHAnsi"/>
          <w:sz w:val="20"/>
          <w:szCs w:val="20"/>
        </w:rPr>
        <w:t xml:space="preserve">Separately, the Group was issued with a Greek tax assessment for financial years 2012, 2013 and 2014, relating to </w:t>
      </w:r>
      <w:proofErr w:type="spellStart"/>
      <w:r w:rsidRPr="001D6493">
        <w:rPr>
          <w:rFonts w:asciiTheme="minorHAnsi" w:hAnsiTheme="minorHAnsi" w:cstheme="minorHAnsi"/>
          <w:sz w:val="20"/>
          <w:szCs w:val="20"/>
        </w:rPr>
        <w:t>paddypower.com's</w:t>
      </w:r>
      <w:proofErr w:type="spellEnd"/>
      <w:r w:rsidRPr="001D6493">
        <w:rPr>
          <w:rFonts w:asciiTheme="minorHAnsi" w:hAnsiTheme="minorHAnsi" w:cstheme="minorHAnsi"/>
          <w:sz w:val="20"/>
          <w:szCs w:val="20"/>
        </w:rPr>
        <w:t xml:space="preserve"> Greek interim </w:t>
      </w:r>
      <w:proofErr w:type="spellStart"/>
      <w:r w:rsidRPr="001D6493">
        <w:rPr>
          <w:rFonts w:asciiTheme="minorHAnsi" w:hAnsiTheme="minorHAnsi" w:cstheme="minorHAnsi"/>
          <w:sz w:val="20"/>
          <w:szCs w:val="20"/>
        </w:rPr>
        <w:t>licence</w:t>
      </w:r>
      <w:proofErr w:type="spellEnd"/>
      <w:r w:rsidRPr="001D6493">
        <w:rPr>
          <w:rFonts w:asciiTheme="minorHAnsi" w:hAnsiTheme="minorHAnsi" w:cstheme="minorHAnsi"/>
          <w:sz w:val="20"/>
          <w:szCs w:val="20"/>
        </w:rPr>
        <w:t xml:space="preserve">. This assessment concluded that the Group is liable to pay €15.0m in taxes including penalties and interest. This is substantially higher (by multiples) than the total cumulative revenues ever generated by paddypower.com in Greece. </w:t>
      </w:r>
      <w:r w:rsidRPr="001D6493">
        <w:rPr>
          <w:rFonts w:asciiTheme="minorHAnsi" w:hAnsiTheme="minorHAnsi" w:cstheme="minorHAnsi"/>
          <w:bCs/>
          <w:sz w:val="20"/>
          <w:szCs w:val="20"/>
        </w:rPr>
        <w:t xml:space="preserve">There is potential that the periods after 2014 could also be subject to further challenge by the Greek tax authorities. </w:t>
      </w:r>
    </w:p>
    <w:p w14:paraId="4EADA080" w14:textId="77777777" w:rsidR="00794AFD" w:rsidRPr="0084401F" w:rsidRDefault="00794AFD" w:rsidP="00794AFD">
      <w:pPr>
        <w:pStyle w:val="a"/>
        <w:rPr>
          <w:rFonts w:asciiTheme="minorHAnsi" w:hAnsiTheme="minorHAnsi" w:cstheme="minorHAnsi"/>
          <w:sz w:val="10"/>
          <w:szCs w:val="10"/>
        </w:rPr>
      </w:pPr>
      <w:r w:rsidRPr="001D6493">
        <w:rPr>
          <w:rFonts w:asciiTheme="minorHAnsi" w:hAnsiTheme="minorHAnsi" w:cstheme="minorHAnsi"/>
          <w:sz w:val="20"/>
          <w:szCs w:val="20"/>
        </w:rPr>
        <w:t> </w:t>
      </w:r>
    </w:p>
    <w:p w14:paraId="75F33A9E" w14:textId="77777777" w:rsidR="00794AFD" w:rsidRPr="001C5950" w:rsidRDefault="00794AFD" w:rsidP="00794AFD">
      <w:pPr>
        <w:rPr>
          <w:rFonts w:asciiTheme="minorHAnsi" w:hAnsiTheme="minorHAnsi"/>
          <w:b/>
          <w:bCs/>
          <w:sz w:val="20"/>
          <w:szCs w:val="20"/>
        </w:rPr>
      </w:pPr>
      <w:r w:rsidRPr="001D6493">
        <w:rPr>
          <w:rFonts w:asciiTheme="minorHAnsi" w:hAnsiTheme="minorHAnsi" w:cstheme="minorHAnsi"/>
          <w:sz w:val="20"/>
          <w:szCs w:val="20"/>
          <w:lang w:val="en-US"/>
        </w:rPr>
        <w:t xml:space="preserve">The Group strongly disputes the basis of these assessments, and in line with the legal and tax advice we have received, is confident in our grounds to </w:t>
      </w:r>
      <w:r w:rsidRPr="001D6493">
        <w:rPr>
          <w:rFonts w:asciiTheme="minorHAnsi" w:hAnsiTheme="minorHAnsi" w:cstheme="minorHAnsi"/>
          <w:bCs/>
          <w:sz w:val="20"/>
          <w:szCs w:val="20"/>
          <w:lang w:val="en-US"/>
        </w:rPr>
        <w:t>successfully</w:t>
      </w:r>
      <w:r w:rsidRPr="001D6493">
        <w:rPr>
          <w:rFonts w:asciiTheme="minorHAnsi" w:hAnsiTheme="minorHAnsi" w:cstheme="minorHAnsi"/>
          <w:sz w:val="20"/>
          <w:szCs w:val="20"/>
          <w:lang w:val="en-US"/>
        </w:rPr>
        <w:t xml:space="preserve"> appeal </w:t>
      </w:r>
      <w:r w:rsidRPr="001D6493">
        <w:rPr>
          <w:rFonts w:asciiTheme="minorHAnsi" w:hAnsiTheme="minorHAnsi" w:cstheme="minorHAnsi"/>
          <w:bCs/>
          <w:sz w:val="20"/>
          <w:szCs w:val="20"/>
          <w:lang w:val="en-US"/>
        </w:rPr>
        <w:t>them.</w:t>
      </w:r>
      <w:r w:rsidRPr="001D6493">
        <w:rPr>
          <w:rFonts w:asciiTheme="minorHAnsi" w:hAnsiTheme="minorHAnsi" w:cstheme="minorHAnsi"/>
          <w:sz w:val="20"/>
          <w:szCs w:val="20"/>
          <w:lang w:val="en-US"/>
        </w:rPr>
        <w:t xml:space="preserve"> </w:t>
      </w:r>
      <w:r w:rsidRPr="001D6493">
        <w:rPr>
          <w:rFonts w:asciiTheme="minorHAnsi" w:hAnsiTheme="minorHAnsi" w:cstheme="minorHAnsi"/>
          <w:bCs/>
          <w:sz w:val="20"/>
          <w:szCs w:val="20"/>
          <w:lang w:val="en-US"/>
        </w:rPr>
        <w:t>The appeals process has commenced in both cases.</w:t>
      </w:r>
      <w:r w:rsidRPr="001D6493">
        <w:rPr>
          <w:rFonts w:asciiTheme="minorHAnsi" w:hAnsiTheme="minorHAnsi" w:cstheme="minorHAnsi"/>
          <w:sz w:val="20"/>
          <w:szCs w:val="20"/>
          <w:lang w:val="en-US"/>
        </w:rPr>
        <w:t xml:space="preserve">  Accordingly, </w:t>
      </w:r>
      <w:r w:rsidRPr="001D6493">
        <w:rPr>
          <w:rFonts w:asciiTheme="minorHAnsi" w:hAnsiTheme="minorHAnsi" w:cstheme="minorHAnsi"/>
          <w:bCs/>
          <w:sz w:val="20"/>
          <w:szCs w:val="20"/>
          <w:lang w:val="en-US"/>
        </w:rPr>
        <w:t xml:space="preserve">we do not consider that these amounts represent liabilities for the Group and no provision has been made for amounts assessed or potential further assessments. </w:t>
      </w:r>
      <w:r w:rsidRPr="001D6493">
        <w:rPr>
          <w:rFonts w:asciiTheme="minorHAnsi" w:hAnsiTheme="minorHAnsi" w:cstheme="minorHAnsi"/>
          <w:sz w:val="20"/>
          <w:szCs w:val="20"/>
          <w:lang w:val="en-US"/>
        </w:rPr>
        <w:t xml:space="preserve">This involves a series of judgements about future events </w:t>
      </w:r>
      <w:r w:rsidRPr="001D6493">
        <w:rPr>
          <w:rFonts w:asciiTheme="minorHAnsi" w:hAnsiTheme="minorHAnsi" w:cstheme="minorHAnsi"/>
          <w:bCs/>
          <w:sz w:val="20"/>
          <w:szCs w:val="20"/>
          <w:lang w:val="en-US"/>
        </w:rPr>
        <w:t>and ultimately the court judgements and therefore the directors may need to re-assess the accounting treatment as matters develop further</w:t>
      </w:r>
      <w:r w:rsidRPr="001D6493">
        <w:rPr>
          <w:rFonts w:asciiTheme="minorHAnsi" w:hAnsiTheme="minorHAnsi" w:cstheme="minorHAnsi"/>
          <w:sz w:val="20"/>
          <w:szCs w:val="20"/>
          <w:lang w:val="en-US"/>
        </w:rPr>
        <w:t>.  Pending the outcome of these appeals, we paid the total Greek tax</w:t>
      </w:r>
      <w:r w:rsidRPr="001D6493">
        <w:rPr>
          <w:rFonts w:asciiTheme="minorHAnsi" w:hAnsiTheme="minorHAnsi" w:cstheme="minorHAnsi"/>
          <w:bCs/>
          <w:sz w:val="20"/>
          <w:szCs w:val="20"/>
          <w:lang w:val="en-US"/>
        </w:rPr>
        <w:t xml:space="preserve"> assessment</w:t>
      </w:r>
      <w:r w:rsidRPr="001D6493">
        <w:rPr>
          <w:rFonts w:asciiTheme="minorHAnsi" w:hAnsiTheme="minorHAnsi" w:cstheme="minorHAnsi"/>
          <w:sz w:val="20"/>
          <w:szCs w:val="20"/>
          <w:lang w:val="en-US"/>
        </w:rPr>
        <w:t xml:space="preserve"> (including the penalties and interest) and the €30.6m German tax </w:t>
      </w:r>
      <w:r w:rsidRPr="001D6493">
        <w:rPr>
          <w:rFonts w:asciiTheme="minorHAnsi" w:hAnsiTheme="minorHAnsi" w:cstheme="minorHAnsi"/>
          <w:bCs/>
          <w:sz w:val="20"/>
          <w:szCs w:val="20"/>
          <w:lang w:val="en-US"/>
        </w:rPr>
        <w:t>assessment during 2019</w:t>
      </w:r>
      <w:r w:rsidRPr="001D6493">
        <w:rPr>
          <w:rFonts w:asciiTheme="minorHAnsi" w:hAnsiTheme="minorHAnsi" w:cstheme="minorHAnsi"/>
          <w:sz w:val="20"/>
          <w:szCs w:val="20"/>
          <w:lang w:val="en-US"/>
        </w:rPr>
        <w:t xml:space="preserve">, with the late payment interest to be paid in due course.  </w:t>
      </w:r>
    </w:p>
    <w:p w14:paraId="0F1CC3BA" w14:textId="77777777" w:rsidR="00794AFD" w:rsidRPr="001C5950" w:rsidRDefault="00794AFD" w:rsidP="00794AFD">
      <w:pPr>
        <w:jc w:val="both"/>
        <w:rPr>
          <w:rFonts w:asciiTheme="minorHAnsi" w:hAnsiTheme="minorHAnsi" w:cs="Times New Roman"/>
          <w:b/>
          <w:bCs/>
          <w:sz w:val="20"/>
          <w:szCs w:val="20"/>
        </w:rPr>
      </w:pPr>
      <w:r w:rsidRPr="001C5950">
        <w:rPr>
          <w:rFonts w:asciiTheme="minorHAnsi" w:hAnsiTheme="minorHAnsi" w:cs="Times New Roman"/>
          <w:b/>
          <w:bCs/>
          <w:sz w:val="20"/>
          <w:szCs w:val="20"/>
        </w:rPr>
        <w:lastRenderedPageBreak/>
        <w:t>1</w:t>
      </w:r>
      <w:r>
        <w:rPr>
          <w:rFonts w:asciiTheme="minorHAnsi" w:hAnsiTheme="minorHAnsi" w:cs="Times New Roman"/>
          <w:b/>
          <w:bCs/>
          <w:sz w:val="20"/>
          <w:szCs w:val="20"/>
        </w:rPr>
        <w:t>0</w:t>
      </w:r>
      <w:r w:rsidRPr="001C5950">
        <w:rPr>
          <w:rFonts w:asciiTheme="minorHAnsi" w:hAnsiTheme="minorHAnsi" w:cs="Times New Roman"/>
          <w:b/>
          <w:bCs/>
          <w:sz w:val="20"/>
          <w:szCs w:val="20"/>
        </w:rPr>
        <w:t>.  Financial assets and cash and cash equivalents</w:t>
      </w:r>
    </w:p>
    <w:p w14:paraId="5D8D61A7" w14:textId="77777777" w:rsidR="00794AFD" w:rsidRPr="001C5950" w:rsidRDefault="00794AFD" w:rsidP="00794AFD">
      <w:pPr>
        <w:jc w:val="both"/>
        <w:rPr>
          <w:rFonts w:asciiTheme="minorHAnsi" w:hAnsiTheme="minorHAnsi" w:cs="Times New Roman"/>
          <w:b/>
          <w:bCs/>
          <w:sz w:val="20"/>
          <w:szCs w:val="20"/>
        </w:rPr>
      </w:pPr>
    </w:p>
    <w:tbl>
      <w:tblPr>
        <w:tblW w:w="8114" w:type="dxa"/>
        <w:tblInd w:w="108" w:type="dxa"/>
        <w:tblLayout w:type="fixed"/>
        <w:tblLook w:val="0000" w:firstRow="0" w:lastRow="0" w:firstColumn="0" w:lastColumn="0" w:noHBand="0" w:noVBand="0"/>
      </w:tblPr>
      <w:tblGrid>
        <w:gridCol w:w="4712"/>
        <w:gridCol w:w="1701"/>
        <w:gridCol w:w="1701"/>
      </w:tblGrid>
      <w:tr w:rsidR="00794AFD" w:rsidRPr="001C5950" w14:paraId="3EFC0C9D" w14:textId="77777777" w:rsidTr="00794AFD">
        <w:tc>
          <w:tcPr>
            <w:tcW w:w="4712" w:type="dxa"/>
            <w:tcBorders>
              <w:top w:val="single" w:sz="4" w:space="0" w:color="auto"/>
              <w:left w:val="nil"/>
              <w:bottom w:val="single" w:sz="4" w:space="0" w:color="auto"/>
              <w:right w:val="nil"/>
            </w:tcBorders>
          </w:tcPr>
          <w:p w14:paraId="13E82E85" w14:textId="77777777" w:rsidR="00794AFD" w:rsidRPr="001C5950" w:rsidRDefault="00794AFD" w:rsidP="00794AFD">
            <w:pPr>
              <w:ind w:left="360"/>
              <w:jc w:val="both"/>
              <w:rPr>
                <w:rFonts w:asciiTheme="minorHAnsi" w:hAnsiTheme="minorHAnsi"/>
                <w:sz w:val="20"/>
                <w:szCs w:val="20"/>
              </w:rPr>
            </w:pPr>
          </w:p>
        </w:tc>
        <w:tc>
          <w:tcPr>
            <w:tcW w:w="1701" w:type="dxa"/>
            <w:tcBorders>
              <w:top w:val="single" w:sz="4" w:space="0" w:color="auto"/>
              <w:left w:val="nil"/>
              <w:bottom w:val="single" w:sz="4" w:space="0" w:color="auto"/>
              <w:right w:val="nil"/>
            </w:tcBorders>
          </w:tcPr>
          <w:p w14:paraId="4D4D588A" w14:textId="77777777" w:rsidR="00794AFD" w:rsidRPr="001C5950" w:rsidRDefault="00794AFD" w:rsidP="00794AFD">
            <w:pPr>
              <w:ind w:left="360"/>
              <w:jc w:val="right"/>
              <w:rPr>
                <w:rFonts w:asciiTheme="minorHAnsi" w:hAnsiTheme="minorHAnsi"/>
                <w:b/>
                <w:bCs/>
                <w:sz w:val="20"/>
                <w:szCs w:val="20"/>
              </w:rPr>
            </w:pPr>
          </w:p>
          <w:p w14:paraId="2B4A9720" w14:textId="77777777" w:rsidR="00794AFD" w:rsidRPr="001C5950" w:rsidRDefault="00794AFD" w:rsidP="00794AFD">
            <w:pPr>
              <w:ind w:left="360"/>
              <w:jc w:val="right"/>
              <w:rPr>
                <w:rFonts w:asciiTheme="minorHAnsi" w:hAnsiTheme="minorHAnsi"/>
                <w:b/>
                <w:bCs/>
                <w:sz w:val="20"/>
                <w:szCs w:val="20"/>
              </w:rPr>
            </w:pPr>
            <w:r w:rsidRPr="001C5950">
              <w:rPr>
                <w:rFonts w:asciiTheme="minorHAnsi" w:hAnsiTheme="minorHAnsi"/>
                <w:b/>
                <w:bCs/>
                <w:sz w:val="20"/>
                <w:szCs w:val="20"/>
              </w:rPr>
              <w:t xml:space="preserve">31 December </w:t>
            </w:r>
            <w:r>
              <w:rPr>
                <w:rFonts w:asciiTheme="minorHAnsi" w:hAnsiTheme="minorHAnsi"/>
                <w:b/>
                <w:bCs/>
                <w:sz w:val="20"/>
                <w:szCs w:val="20"/>
              </w:rPr>
              <w:t>2019</w:t>
            </w:r>
          </w:p>
          <w:p w14:paraId="67947D2A" w14:textId="77777777" w:rsidR="00794AFD" w:rsidRPr="001C5950" w:rsidRDefault="00794AFD" w:rsidP="00794AFD">
            <w:pPr>
              <w:ind w:left="360"/>
              <w:jc w:val="right"/>
              <w:rPr>
                <w:rFonts w:asciiTheme="minorHAnsi" w:hAnsiTheme="minorHAnsi"/>
                <w:b/>
                <w:bCs/>
                <w:sz w:val="20"/>
                <w:szCs w:val="20"/>
              </w:rPr>
            </w:pPr>
            <w:r w:rsidRPr="001C5950">
              <w:rPr>
                <w:rFonts w:asciiTheme="minorHAnsi" w:hAnsiTheme="minorHAnsi"/>
                <w:b/>
                <w:bCs/>
                <w:sz w:val="20"/>
                <w:szCs w:val="20"/>
              </w:rPr>
              <w:t>£m</w:t>
            </w:r>
          </w:p>
        </w:tc>
        <w:tc>
          <w:tcPr>
            <w:tcW w:w="1701" w:type="dxa"/>
            <w:tcBorders>
              <w:top w:val="single" w:sz="4" w:space="0" w:color="auto"/>
              <w:left w:val="nil"/>
              <w:bottom w:val="single" w:sz="4" w:space="0" w:color="auto"/>
              <w:right w:val="nil"/>
            </w:tcBorders>
          </w:tcPr>
          <w:p w14:paraId="4692AC98" w14:textId="77777777" w:rsidR="00794AFD" w:rsidRPr="001C5950" w:rsidRDefault="00794AFD" w:rsidP="00794AFD">
            <w:pPr>
              <w:ind w:left="360"/>
              <w:jc w:val="right"/>
              <w:rPr>
                <w:rFonts w:asciiTheme="minorHAnsi" w:hAnsiTheme="minorHAnsi"/>
                <w:bCs/>
                <w:sz w:val="20"/>
                <w:szCs w:val="20"/>
              </w:rPr>
            </w:pPr>
          </w:p>
          <w:p w14:paraId="03F4121F" w14:textId="77777777" w:rsidR="00794AFD" w:rsidRPr="001C5950" w:rsidRDefault="00794AFD" w:rsidP="00794AFD">
            <w:pPr>
              <w:ind w:left="360"/>
              <w:jc w:val="right"/>
              <w:rPr>
                <w:rFonts w:asciiTheme="minorHAnsi" w:hAnsiTheme="minorHAnsi"/>
                <w:bCs/>
                <w:sz w:val="20"/>
                <w:szCs w:val="20"/>
              </w:rPr>
            </w:pPr>
            <w:r w:rsidRPr="001C5950">
              <w:rPr>
                <w:rFonts w:asciiTheme="minorHAnsi" w:hAnsiTheme="minorHAnsi"/>
                <w:bCs/>
                <w:sz w:val="20"/>
                <w:szCs w:val="20"/>
              </w:rPr>
              <w:t xml:space="preserve">31 December </w:t>
            </w:r>
            <w:r>
              <w:rPr>
                <w:rFonts w:asciiTheme="minorHAnsi" w:hAnsiTheme="minorHAnsi"/>
                <w:bCs/>
                <w:sz w:val="20"/>
                <w:szCs w:val="20"/>
              </w:rPr>
              <w:t>2018</w:t>
            </w:r>
          </w:p>
          <w:p w14:paraId="4567ED01" w14:textId="77777777" w:rsidR="00794AFD" w:rsidRPr="001C5950" w:rsidRDefault="00794AFD" w:rsidP="00794AFD">
            <w:pPr>
              <w:ind w:left="360"/>
              <w:jc w:val="right"/>
              <w:rPr>
                <w:rFonts w:asciiTheme="minorHAnsi" w:hAnsiTheme="minorHAnsi"/>
                <w:bCs/>
                <w:sz w:val="20"/>
                <w:szCs w:val="20"/>
              </w:rPr>
            </w:pPr>
            <w:r w:rsidRPr="001C5950">
              <w:rPr>
                <w:rFonts w:asciiTheme="minorHAnsi" w:hAnsiTheme="minorHAnsi"/>
                <w:bCs/>
                <w:sz w:val="20"/>
                <w:szCs w:val="20"/>
              </w:rPr>
              <w:t>£m</w:t>
            </w:r>
          </w:p>
        </w:tc>
      </w:tr>
      <w:tr w:rsidR="00794AFD" w:rsidRPr="001C5950" w14:paraId="413B7829" w14:textId="77777777" w:rsidTr="00794AFD">
        <w:tc>
          <w:tcPr>
            <w:tcW w:w="4712" w:type="dxa"/>
            <w:tcBorders>
              <w:left w:val="nil"/>
              <w:right w:val="nil"/>
            </w:tcBorders>
          </w:tcPr>
          <w:p w14:paraId="667CC74A" w14:textId="77777777" w:rsidR="00794AFD" w:rsidRPr="001C5950" w:rsidDel="003B6674" w:rsidRDefault="00794AFD" w:rsidP="00794AFD">
            <w:pPr>
              <w:ind w:left="-108"/>
              <w:jc w:val="both"/>
              <w:rPr>
                <w:rFonts w:asciiTheme="minorHAnsi" w:hAnsiTheme="minorHAnsi"/>
                <w:b/>
                <w:sz w:val="20"/>
                <w:szCs w:val="20"/>
              </w:rPr>
            </w:pPr>
            <w:r w:rsidRPr="001C5950">
              <w:rPr>
                <w:rFonts w:asciiTheme="minorHAnsi" w:hAnsiTheme="minorHAnsi"/>
                <w:b/>
                <w:sz w:val="20"/>
                <w:szCs w:val="20"/>
              </w:rPr>
              <w:t>Current</w:t>
            </w:r>
          </w:p>
        </w:tc>
        <w:tc>
          <w:tcPr>
            <w:tcW w:w="1701" w:type="dxa"/>
            <w:tcBorders>
              <w:top w:val="single" w:sz="4" w:space="0" w:color="auto"/>
              <w:left w:val="nil"/>
              <w:right w:val="nil"/>
            </w:tcBorders>
          </w:tcPr>
          <w:p w14:paraId="5BF63D12" w14:textId="77777777" w:rsidR="00794AFD" w:rsidRPr="00FC3D06" w:rsidRDefault="00794AFD" w:rsidP="00794AFD">
            <w:pPr>
              <w:ind w:left="360"/>
              <w:jc w:val="right"/>
              <w:rPr>
                <w:rFonts w:asciiTheme="minorHAnsi" w:hAnsiTheme="minorHAnsi"/>
                <w:b/>
                <w:bCs/>
                <w:sz w:val="20"/>
                <w:szCs w:val="20"/>
              </w:rPr>
            </w:pPr>
          </w:p>
        </w:tc>
        <w:tc>
          <w:tcPr>
            <w:tcW w:w="1701" w:type="dxa"/>
            <w:tcBorders>
              <w:top w:val="single" w:sz="4" w:space="0" w:color="auto"/>
              <w:left w:val="nil"/>
              <w:right w:val="nil"/>
            </w:tcBorders>
          </w:tcPr>
          <w:p w14:paraId="1091B78E" w14:textId="77777777" w:rsidR="00794AFD" w:rsidRPr="001C5950" w:rsidRDefault="00794AFD" w:rsidP="00794AFD">
            <w:pPr>
              <w:ind w:left="360"/>
              <w:jc w:val="right"/>
              <w:rPr>
                <w:rFonts w:asciiTheme="minorHAnsi" w:hAnsiTheme="minorHAnsi"/>
                <w:bCs/>
                <w:sz w:val="20"/>
                <w:szCs w:val="20"/>
              </w:rPr>
            </w:pPr>
          </w:p>
        </w:tc>
      </w:tr>
      <w:tr w:rsidR="00794AFD" w:rsidRPr="001C5950" w14:paraId="51F7B017" w14:textId="77777777" w:rsidTr="00794AFD">
        <w:tc>
          <w:tcPr>
            <w:tcW w:w="4712" w:type="dxa"/>
            <w:tcBorders>
              <w:left w:val="nil"/>
              <w:right w:val="nil"/>
            </w:tcBorders>
          </w:tcPr>
          <w:p w14:paraId="217D91DE" w14:textId="77777777" w:rsidR="00794AFD" w:rsidRPr="001C5950" w:rsidDel="003B6674" w:rsidRDefault="00794AFD" w:rsidP="00794AFD">
            <w:pPr>
              <w:ind w:left="-108"/>
              <w:jc w:val="both"/>
              <w:rPr>
                <w:rFonts w:asciiTheme="minorHAnsi" w:hAnsiTheme="minorHAnsi"/>
                <w:sz w:val="20"/>
                <w:szCs w:val="20"/>
              </w:rPr>
            </w:pPr>
            <w:r w:rsidRPr="001C5950">
              <w:rPr>
                <w:rFonts w:asciiTheme="minorHAnsi" w:hAnsiTheme="minorHAnsi"/>
                <w:sz w:val="20"/>
                <w:szCs w:val="20"/>
              </w:rPr>
              <w:t>Financial assets – restricted cash</w:t>
            </w:r>
          </w:p>
        </w:tc>
        <w:tc>
          <w:tcPr>
            <w:tcW w:w="1701" w:type="dxa"/>
            <w:tcBorders>
              <w:left w:val="nil"/>
              <w:right w:val="nil"/>
            </w:tcBorders>
          </w:tcPr>
          <w:p w14:paraId="6951A45F" w14:textId="77777777" w:rsidR="00794AFD" w:rsidRPr="00070ED0" w:rsidRDefault="00794AFD" w:rsidP="00794AFD">
            <w:pPr>
              <w:ind w:left="360"/>
              <w:jc w:val="right"/>
              <w:rPr>
                <w:rFonts w:asciiTheme="minorHAnsi" w:hAnsiTheme="minorHAnsi"/>
                <w:b/>
                <w:bCs/>
                <w:sz w:val="20"/>
                <w:szCs w:val="20"/>
              </w:rPr>
            </w:pPr>
            <w:r w:rsidRPr="00070ED0">
              <w:rPr>
                <w:rFonts w:asciiTheme="minorHAnsi" w:hAnsiTheme="minorHAnsi"/>
                <w:b/>
                <w:bCs/>
                <w:sz w:val="20"/>
                <w:szCs w:val="20"/>
              </w:rPr>
              <w:t>189.1</w:t>
            </w:r>
          </w:p>
        </w:tc>
        <w:tc>
          <w:tcPr>
            <w:tcW w:w="1701" w:type="dxa"/>
            <w:tcBorders>
              <w:left w:val="nil"/>
              <w:right w:val="nil"/>
            </w:tcBorders>
          </w:tcPr>
          <w:p w14:paraId="7C1BCF96" w14:textId="77777777" w:rsidR="00794AFD" w:rsidRPr="00664E9B" w:rsidRDefault="00794AFD" w:rsidP="00794AFD">
            <w:pPr>
              <w:ind w:left="360"/>
              <w:jc w:val="right"/>
              <w:rPr>
                <w:rFonts w:asciiTheme="minorHAnsi" w:hAnsiTheme="minorHAnsi"/>
                <w:bCs/>
                <w:sz w:val="20"/>
                <w:szCs w:val="20"/>
              </w:rPr>
            </w:pPr>
            <w:r w:rsidRPr="00664E9B">
              <w:rPr>
                <w:rFonts w:asciiTheme="minorHAnsi" w:hAnsiTheme="minorHAnsi"/>
                <w:bCs/>
                <w:sz w:val="20"/>
                <w:szCs w:val="20"/>
              </w:rPr>
              <w:t>167.2</w:t>
            </w:r>
          </w:p>
        </w:tc>
      </w:tr>
      <w:tr w:rsidR="00794AFD" w:rsidRPr="001C5950" w14:paraId="4912F707" w14:textId="77777777" w:rsidTr="00794AFD">
        <w:tc>
          <w:tcPr>
            <w:tcW w:w="4712" w:type="dxa"/>
            <w:tcBorders>
              <w:left w:val="nil"/>
              <w:right w:val="nil"/>
            </w:tcBorders>
          </w:tcPr>
          <w:p w14:paraId="262B5346" w14:textId="77777777" w:rsidR="00794AFD" w:rsidRPr="001C5950" w:rsidDel="003B6674" w:rsidRDefault="00794AFD" w:rsidP="00794AFD">
            <w:pPr>
              <w:ind w:left="-108"/>
              <w:jc w:val="both"/>
              <w:rPr>
                <w:rFonts w:asciiTheme="minorHAnsi" w:hAnsiTheme="minorHAnsi"/>
                <w:sz w:val="20"/>
                <w:szCs w:val="20"/>
              </w:rPr>
            </w:pPr>
            <w:r w:rsidRPr="001C5950">
              <w:rPr>
                <w:rFonts w:asciiTheme="minorHAnsi" w:hAnsiTheme="minorHAnsi"/>
                <w:sz w:val="20"/>
                <w:szCs w:val="20"/>
              </w:rPr>
              <w:t>Cash and cash equivalents</w:t>
            </w:r>
          </w:p>
        </w:tc>
        <w:tc>
          <w:tcPr>
            <w:tcW w:w="1701" w:type="dxa"/>
            <w:tcBorders>
              <w:left w:val="nil"/>
              <w:bottom w:val="single" w:sz="4" w:space="0" w:color="auto"/>
              <w:right w:val="nil"/>
            </w:tcBorders>
          </w:tcPr>
          <w:p w14:paraId="67267400" w14:textId="77777777" w:rsidR="00794AFD" w:rsidRPr="00070ED0" w:rsidRDefault="00794AFD" w:rsidP="00794AFD">
            <w:pPr>
              <w:ind w:left="360"/>
              <w:jc w:val="right"/>
              <w:rPr>
                <w:rFonts w:asciiTheme="minorHAnsi" w:hAnsiTheme="minorHAnsi"/>
                <w:b/>
                <w:bCs/>
                <w:sz w:val="20"/>
                <w:szCs w:val="20"/>
              </w:rPr>
            </w:pPr>
            <w:r w:rsidRPr="00070ED0">
              <w:rPr>
                <w:rFonts w:asciiTheme="minorHAnsi" w:hAnsiTheme="minorHAnsi"/>
                <w:b/>
                <w:bCs/>
                <w:sz w:val="20"/>
                <w:szCs w:val="20"/>
              </w:rPr>
              <w:t>10</w:t>
            </w:r>
            <w:r>
              <w:rPr>
                <w:rFonts w:asciiTheme="minorHAnsi" w:hAnsiTheme="minorHAnsi"/>
                <w:b/>
                <w:bCs/>
                <w:sz w:val="20"/>
                <w:szCs w:val="20"/>
              </w:rPr>
              <w:t>8</w:t>
            </w:r>
            <w:r w:rsidRPr="00070ED0">
              <w:rPr>
                <w:rFonts w:asciiTheme="minorHAnsi" w:hAnsiTheme="minorHAnsi"/>
                <w:b/>
                <w:bCs/>
                <w:sz w:val="20"/>
                <w:szCs w:val="20"/>
              </w:rPr>
              <w:t>.1</w:t>
            </w:r>
          </w:p>
        </w:tc>
        <w:tc>
          <w:tcPr>
            <w:tcW w:w="1701" w:type="dxa"/>
            <w:tcBorders>
              <w:left w:val="nil"/>
              <w:bottom w:val="single" w:sz="4" w:space="0" w:color="auto"/>
              <w:right w:val="nil"/>
            </w:tcBorders>
          </w:tcPr>
          <w:p w14:paraId="493D2075" w14:textId="77777777" w:rsidR="00794AFD" w:rsidRPr="00664E9B" w:rsidRDefault="00794AFD" w:rsidP="00794AFD">
            <w:pPr>
              <w:ind w:left="360"/>
              <w:jc w:val="right"/>
              <w:rPr>
                <w:rFonts w:asciiTheme="minorHAnsi" w:hAnsiTheme="minorHAnsi"/>
                <w:bCs/>
                <w:sz w:val="20"/>
                <w:szCs w:val="20"/>
              </w:rPr>
            </w:pPr>
            <w:r w:rsidRPr="00664E9B">
              <w:rPr>
                <w:rFonts w:asciiTheme="minorHAnsi" w:hAnsiTheme="minorHAnsi"/>
                <w:bCs/>
                <w:sz w:val="20"/>
                <w:szCs w:val="20"/>
              </w:rPr>
              <w:t>123.7</w:t>
            </w:r>
          </w:p>
        </w:tc>
      </w:tr>
      <w:tr w:rsidR="00794AFD" w:rsidRPr="001C5950" w14:paraId="3CF15791" w14:textId="77777777" w:rsidTr="00794AFD">
        <w:tc>
          <w:tcPr>
            <w:tcW w:w="4712" w:type="dxa"/>
            <w:tcBorders>
              <w:top w:val="single" w:sz="4" w:space="0" w:color="auto"/>
              <w:left w:val="nil"/>
              <w:bottom w:val="single" w:sz="4" w:space="0" w:color="auto"/>
              <w:right w:val="nil"/>
            </w:tcBorders>
          </w:tcPr>
          <w:p w14:paraId="779BAF2A" w14:textId="77777777" w:rsidR="00794AFD" w:rsidRPr="001C5950" w:rsidRDefault="00794AFD" w:rsidP="00794AFD">
            <w:pPr>
              <w:tabs>
                <w:tab w:val="left" w:pos="2895"/>
              </w:tabs>
              <w:ind w:left="-108"/>
              <w:jc w:val="both"/>
              <w:rPr>
                <w:rFonts w:asciiTheme="minorHAnsi" w:hAnsiTheme="minorHAnsi"/>
                <w:sz w:val="20"/>
                <w:szCs w:val="20"/>
              </w:rPr>
            </w:pPr>
            <w:r w:rsidRPr="001C5950">
              <w:rPr>
                <w:rFonts w:asciiTheme="minorHAnsi" w:hAnsiTheme="minorHAnsi"/>
                <w:sz w:val="20"/>
                <w:szCs w:val="20"/>
              </w:rPr>
              <w:t>Total</w:t>
            </w:r>
          </w:p>
        </w:tc>
        <w:tc>
          <w:tcPr>
            <w:tcW w:w="1701" w:type="dxa"/>
            <w:tcBorders>
              <w:top w:val="single" w:sz="4" w:space="0" w:color="auto"/>
              <w:left w:val="nil"/>
              <w:bottom w:val="single" w:sz="4" w:space="0" w:color="auto"/>
              <w:right w:val="nil"/>
            </w:tcBorders>
          </w:tcPr>
          <w:p w14:paraId="2A9BE67B" w14:textId="77777777" w:rsidR="00794AFD" w:rsidRPr="00070ED0" w:rsidRDefault="00794AFD" w:rsidP="00794AFD">
            <w:pPr>
              <w:ind w:left="360"/>
              <w:jc w:val="right"/>
              <w:rPr>
                <w:rFonts w:asciiTheme="minorHAnsi" w:hAnsiTheme="minorHAnsi"/>
                <w:b/>
                <w:bCs/>
                <w:sz w:val="20"/>
                <w:szCs w:val="20"/>
              </w:rPr>
            </w:pPr>
            <w:r w:rsidRPr="00070ED0">
              <w:rPr>
                <w:rFonts w:asciiTheme="minorHAnsi" w:hAnsiTheme="minorHAnsi"/>
                <w:b/>
                <w:bCs/>
                <w:sz w:val="20"/>
                <w:szCs w:val="20"/>
              </w:rPr>
              <w:t>29</w:t>
            </w:r>
            <w:r>
              <w:rPr>
                <w:rFonts w:asciiTheme="minorHAnsi" w:hAnsiTheme="minorHAnsi"/>
                <w:b/>
                <w:bCs/>
                <w:sz w:val="20"/>
                <w:szCs w:val="20"/>
              </w:rPr>
              <w:t>7</w:t>
            </w:r>
            <w:r w:rsidRPr="00070ED0">
              <w:rPr>
                <w:rFonts w:asciiTheme="minorHAnsi" w:hAnsiTheme="minorHAnsi"/>
                <w:b/>
                <w:bCs/>
                <w:sz w:val="20"/>
                <w:szCs w:val="20"/>
              </w:rPr>
              <w:t>.2</w:t>
            </w:r>
          </w:p>
        </w:tc>
        <w:tc>
          <w:tcPr>
            <w:tcW w:w="1701" w:type="dxa"/>
            <w:tcBorders>
              <w:top w:val="single" w:sz="4" w:space="0" w:color="auto"/>
              <w:left w:val="nil"/>
              <w:bottom w:val="single" w:sz="4" w:space="0" w:color="auto"/>
              <w:right w:val="nil"/>
            </w:tcBorders>
          </w:tcPr>
          <w:p w14:paraId="39E5B8DA" w14:textId="77777777" w:rsidR="00794AFD" w:rsidRPr="00664E9B" w:rsidRDefault="00794AFD" w:rsidP="00794AFD">
            <w:pPr>
              <w:ind w:left="360"/>
              <w:jc w:val="right"/>
              <w:rPr>
                <w:rFonts w:asciiTheme="minorHAnsi" w:hAnsiTheme="minorHAnsi"/>
                <w:bCs/>
                <w:sz w:val="20"/>
                <w:szCs w:val="20"/>
              </w:rPr>
            </w:pPr>
            <w:r w:rsidRPr="00664E9B">
              <w:rPr>
                <w:rFonts w:asciiTheme="minorHAnsi" w:hAnsiTheme="minorHAnsi"/>
                <w:bCs/>
                <w:sz w:val="20"/>
                <w:szCs w:val="20"/>
              </w:rPr>
              <w:t>290.9</w:t>
            </w:r>
          </w:p>
        </w:tc>
      </w:tr>
    </w:tbl>
    <w:p w14:paraId="11B91D63" w14:textId="77777777" w:rsidR="00794AFD" w:rsidRDefault="00794AFD" w:rsidP="00794AFD">
      <w:pPr>
        <w:jc w:val="both"/>
        <w:rPr>
          <w:rFonts w:asciiTheme="minorHAnsi" w:hAnsiTheme="minorHAnsi"/>
          <w:sz w:val="20"/>
          <w:szCs w:val="20"/>
        </w:rPr>
      </w:pPr>
    </w:p>
    <w:p w14:paraId="05A90BED" w14:textId="77777777" w:rsidR="00794AFD" w:rsidRDefault="00794AFD" w:rsidP="00794AFD">
      <w:pPr>
        <w:jc w:val="both"/>
        <w:rPr>
          <w:rFonts w:asciiTheme="minorHAnsi" w:hAnsiTheme="minorHAnsi"/>
          <w:sz w:val="20"/>
          <w:szCs w:val="20"/>
        </w:rPr>
      </w:pPr>
      <w:r w:rsidRPr="00E37505">
        <w:rPr>
          <w:rFonts w:asciiTheme="minorHAnsi" w:hAnsiTheme="minorHAnsi"/>
          <w:sz w:val="20"/>
          <w:szCs w:val="20"/>
        </w:rPr>
        <w:t>The above</w:t>
      </w:r>
      <w:r w:rsidRPr="000944E4">
        <w:rPr>
          <w:rFonts w:asciiTheme="minorHAnsi" w:hAnsiTheme="minorHAnsi"/>
          <w:sz w:val="20"/>
          <w:szCs w:val="20"/>
        </w:rPr>
        <w:t xml:space="preserve"> cash and cash equivalents</w:t>
      </w:r>
      <w:r w:rsidRPr="00E37505">
        <w:rPr>
          <w:rFonts w:asciiTheme="minorHAnsi" w:hAnsiTheme="minorHAnsi"/>
          <w:sz w:val="20"/>
          <w:szCs w:val="20"/>
        </w:rPr>
        <w:t xml:space="preserve"> figure reconcile</w:t>
      </w:r>
      <w:r w:rsidRPr="000944E4">
        <w:rPr>
          <w:rFonts w:asciiTheme="minorHAnsi" w:hAnsiTheme="minorHAnsi"/>
          <w:sz w:val="20"/>
          <w:szCs w:val="20"/>
        </w:rPr>
        <w:t>s</w:t>
      </w:r>
      <w:r w:rsidRPr="00E37505">
        <w:rPr>
          <w:rFonts w:asciiTheme="minorHAnsi" w:hAnsiTheme="minorHAnsi"/>
          <w:sz w:val="20"/>
          <w:szCs w:val="20"/>
        </w:rPr>
        <w:t xml:space="preserve"> to the amount shown in the statement of cash flows at the end of the financial year as follows:</w:t>
      </w:r>
      <w:r w:rsidRPr="004554AB">
        <w:rPr>
          <w:rFonts w:asciiTheme="minorHAnsi" w:hAnsiTheme="minorHAnsi"/>
          <w:sz w:val="20"/>
          <w:szCs w:val="20"/>
        </w:rPr>
        <w:t xml:space="preserve">    </w:t>
      </w:r>
    </w:p>
    <w:p w14:paraId="413B35F9" w14:textId="77777777" w:rsidR="00794AFD" w:rsidRDefault="00794AFD" w:rsidP="00794AFD">
      <w:pPr>
        <w:jc w:val="both"/>
        <w:rPr>
          <w:rFonts w:asciiTheme="minorHAnsi" w:hAnsiTheme="minorHAnsi"/>
          <w:sz w:val="20"/>
          <w:szCs w:val="20"/>
        </w:rPr>
      </w:pPr>
    </w:p>
    <w:tbl>
      <w:tblPr>
        <w:tblW w:w="8114" w:type="dxa"/>
        <w:tblInd w:w="108" w:type="dxa"/>
        <w:tblLayout w:type="fixed"/>
        <w:tblLook w:val="0000" w:firstRow="0" w:lastRow="0" w:firstColumn="0" w:lastColumn="0" w:noHBand="0" w:noVBand="0"/>
      </w:tblPr>
      <w:tblGrid>
        <w:gridCol w:w="4712"/>
        <w:gridCol w:w="1701"/>
        <w:gridCol w:w="1701"/>
      </w:tblGrid>
      <w:tr w:rsidR="00794AFD" w:rsidRPr="001C5950" w14:paraId="6D87F07D" w14:textId="77777777" w:rsidTr="00794AFD">
        <w:tc>
          <w:tcPr>
            <w:tcW w:w="4712" w:type="dxa"/>
            <w:tcBorders>
              <w:top w:val="single" w:sz="4" w:space="0" w:color="auto"/>
              <w:left w:val="nil"/>
              <w:bottom w:val="single" w:sz="4" w:space="0" w:color="auto"/>
              <w:right w:val="nil"/>
            </w:tcBorders>
          </w:tcPr>
          <w:p w14:paraId="1792781D" w14:textId="77777777" w:rsidR="00794AFD" w:rsidRPr="001C5950" w:rsidRDefault="00794AFD" w:rsidP="00794AFD">
            <w:pPr>
              <w:ind w:left="360"/>
              <w:jc w:val="both"/>
              <w:rPr>
                <w:rFonts w:asciiTheme="minorHAnsi" w:hAnsiTheme="minorHAnsi"/>
                <w:sz w:val="20"/>
                <w:szCs w:val="20"/>
              </w:rPr>
            </w:pPr>
          </w:p>
        </w:tc>
        <w:tc>
          <w:tcPr>
            <w:tcW w:w="1701" w:type="dxa"/>
            <w:tcBorders>
              <w:top w:val="single" w:sz="4" w:space="0" w:color="auto"/>
              <w:left w:val="nil"/>
              <w:bottom w:val="single" w:sz="4" w:space="0" w:color="auto"/>
              <w:right w:val="nil"/>
            </w:tcBorders>
          </w:tcPr>
          <w:p w14:paraId="69169E2A" w14:textId="77777777" w:rsidR="00794AFD" w:rsidRPr="001C5950" w:rsidRDefault="00794AFD" w:rsidP="00794AFD">
            <w:pPr>
              <w:ind w:left="360"/>
              <w:jc w:val="right"/>
              <w:rPr>
                <w:rFonts w:asciiTheme="minorHAnsi" w:hAnsiTheme="minorHAnsi"/>
                <w:b/>
                <w:bCs/>
                <w:sz w:val="20"/>
                <w:szCs w:val="20"/>
              </w:rPr>
            </w:pPr>
          </w:p>
          <w:p w14:paraId="23BEA2DA" w14:textId="77777777" w:rsidR="00794AFD" w:rsidRPr="001C5950" w:rsidRDefault="00794AFD" w:rsidP="00794AFD">
            <w:pPr>
              <w:ind w:left="360"/>
              <w:jc w:val="right"/>
              <w:rPr>
                <w:rFonts w:asciiTheme="minorHAnsi" w:hAnsiTheme="minorHAnsi"/>
                <w:b/>
                <w:bCs/>
                <w:sz w:val="20"/>
                <w:szCs w:val="20"/>
              </w:rPr>
            </w:pPr>
            <w:r w:rsidRPr="001C5950">
              <w:rPr>
                <w:rFonts w:asciiTheme="minorHAnsi" w:hAnsiTheme="minorHAnsi"/>
                <w:b/>
                <w:bCs/>
                <w:sz w:val="20"/>
                <w:szCs w:val="20"/>
              </w:rPr>
              <w:t xml:space="preserve">31 December </w:t>
            </w:r>
            <w:r>
              <w:rPr>
                <w:rFonts w:asciiTheme="minorHAnsi" w:hAnsiTheme="minorHAnsi"/>
                <w:b/>
                <w:bCs/>
                <w:sz w:val="20"/>
                <w:szCs w:val="20"/>
              </w:rPr>
              <w:t>2019</w:t>
            </w:r>
          </w:p>
          <w:p w14:paraId="637A46C1" w14:textId="77777777" w:rsidR="00794AFD" w:rsidRPr="001C5950" w:rsidRDefault="00794AFD" w:rsidP="00794AFD">
            <w:pPr>
              <w:ind w:left="360"/>
              <w:jc w:val="right"/>
              <w:rPr>
                <w:rFonts w:asciiTheme="minorHAnsi" w:hAnsiTheme="minorHAnsi"/>
                <w:b/>
                <w:bCs/>
                <w:sz w:val="20"/>
                <w:szCs w:val="20"/>
              </w:rPr>
            </w:pPr>
            <w:r w:rsidRPr="001C5950">
              <w:rPr>
                <w:rFonts w:asciiTheme="minorHAnsi" w:hAnsiTheme="minorHAnsi"/>
                <w:b/>
                <w:bCs/>
                <w:sz w:val="20"/>
                <w:szCs w:val="20"/>
              </w:rPr>
              <w:t>£m</w:t>
            </w:r>
          </w:p>
        </w:tc>
        <w:tc>
          <w:tcPr>
            <w:tcW w:w="1701" w:type="dxa"/>
            <w:tcBorders>
              <w:top w:val="single" w:sz="4" w:space="0" w:color="auto"/>
              <w:left w:val="nil"/>
              <w:bottom w:val="single" w:sz="4" w:space="0" w:color="auto"/>
              <w:right w:val="nil"/>
            </w:tcBorders>
          </w:tcPr>
          <w:p w14:paraId="64F957D7" w14:textId="77777777" w:rsidR="00794AFD" w:rsidRPr="001C5950" w:rsidRDefault="00794AFD" w:rsidP="00794AFD">
            <w:pPr>
              <w:ind w:left="360"/>
              <w:jc w:val="right"/>
              <w:rPr>
                <w:rFonts w:asciiTheme="minorHAnsi" w:hAnsiTheme="minorHAnsi"/>
                <w:bCs/>
                <w:sz w:val="20"/>
                <w:szCs w:val="20"/>
              </w:rPr>
            </w:pPr>
          </w:p>
          <w:p w14:paraId="4CABCB5D" w14:textId="77777777" w:rsidR="00794AFD" w:rsidRPr="001C5950" w:rsidRDefault="00794AFD" w:rsidP="00794AFD">
            <w:pPr>
              <w:ind w:left="360"/>
              <w:jc w:val="right"/>
              <w:rPr>
                <w:rFonts w:asciiTheme="minorHAnsi" w:hAnsiTheme="minorHAnsi"/>
                <w:bCs/>
                <w:sz w:val="20"/>
                <w:szCs w:val="20"/>
              </w:rPr>
            </w:pPr>
            <w:r w:rsidRPr="001C5950">
              <w:rPr>
                <w:rFonts w:asciiTheme="minorHAnsi" w:hAnsiTheme="minorHAnsi"/>
                <w:bCs/>
                <w:sz w:val="20"/>
                <w:szCs w:val="20"/>
              </w:rPr>
              <w:t xml:space="preserve">31 December </w:t>
            </w:r>
            <w:r>
              <w:rPr>
                <w:rFonts w:asciiTheme="minorHAnsi" w:hAnsiTheme="minorHAnsi"/>
                <w:bCs/>
                <w:sz w:val="20"/>
                <w:szCs w:val="20"/>
              </w:rPr>
              <w:t>2018</w:t>
            </w:r>
          </w:p>
          <w:p w14:paraId="75A59D14" w14:textId="77777777" w:rsidR="00794AFD" w:rsidRPr="001C5950" w:rsidRDefault="00794AFD" w:rsidP="00794AFD">
            <w:pPr>
              <w:ind w:left="360"/>
              <w:jc w:val="right"/>
              <w:rPr>
                <w:rFonts w:asciiTheme="minorHAnsi" w:hAnsiTheme="minorHAnsi"/>
                <w:bCs/>
                <w:sz w:val="20"/>
                <w:szCs w:val="20"/>
              </w:rPr>
            </w:pPr>
            <w:r w:rsidRPr="001C5950">
              <w:rPr>
                <w:rFonts w:asciiTheme="minorHAnsi" w:hAnsiTheme="minorHAnsi"/>
                <w:bCs/>
                <w:sz w:val="20"/>
                <w:szCs w:val="20"/>
              </w:rPr>
              <w:t>£m</w:t>
            </w:r>
          </w:p>
        </w:tc>
      </w:tr>
      <w:tr w:rsidR="00794AFD" w:rsidRPr="001C5950" w14:paraId="7B5104AE" w14:textId="77777777" w:rsidTr="00794AFD">
        <w:tc>
          <w:tcPr>
            <w:tcW w:w="4712" w:type="dxa"/>
            <w:tcBorders>
              <w:left w:val="nil"/>
              <w:right w:val="nil"/>
            </w:tcBorders>
          </w:tcPr>
          <w:p w14:paraId="1321DEBA" w14:textId="77777777" w:rsidR="00794AFD" w:rsidRPr="000944E4" w:rsidDel="003B6674" w:rsidRDefault="00794AFD" w:rsidP="00794AFD">
            <w:pPr>
              <w:ind w:left="-108"/>
              <w:jc w:val="both"/>
              <w:rPr>
                <w:rFonts w:asciiTheme="minorHAnsi" w:hAnsiTheme="minorHAnsi"/>
                <w:sz w:val="20"/>
                <w:szCs w:val="20"/>
              </w:rPr>
            </w:pPr>
            <w:r w:rsidRPr="000944E4">
              <w:rPr>
                <w:rFonts w:asciiTheme="minorHAnsi" w:hAnsiTheme="minorHAnsi"/>
                <w:sz w:val="20"/>
                <w:szCs w:val="20"/>
              </w:rPr>
              <w:t>Cash and cash equivalents</w:t>
            </w:r>
            <w:r>
              <w:rPr>
                <w:rFonts w:asciiTheme="minorHAnsi" w:hAnsiTheme="minorHAnsi"/>
                <w:sz w:val="20"/>
                <w:szCs w:val="20"/>
              </w:rPr>
              <w:t xml:space="preserve"> as above</w:t>
            </w:r>
          </w:p>
        </w:tc>
        <w:tc>
          <w:tcPr>
            <w:tcW w:w="1701" w:type="dxa"/>
            <w:tcBorders>
              <w:top w:val="single" w:sz="4" w:space="0" w:color="auto"/>
              <w:left w:val="nil"/>
              <w:right w:val="nil"/>
            </w:tcBorders>
          </w:tcPr>
          <w:p w14:paraId="156A4E07" w14:textId="77777777" w:rsidR="00794AFD" w:rsidRPr="00FC3D06" w:rsidRDefault="00794AFD" w:rsidP="00794AFD">
            <w:pPr>
              <w:ind w:left="360"/>
              <w:jc w:val="right"/>
              <w:rPr>
                <w:rFonts w:asciiTheme="minorHAnsi" w:hAnsiTheme="minorHAnsi"/>
                <w:b/>
                <w:bCs/>
                <w:sz w:val="20"/>
                <w:szCs w:val="20"/>
              </w:rPr>
            </w:pPr>
            <w:r>
              <w:rPr>
                <w:rFonts w:asciiTheme="minorHAnsi" w:hAnsiTheme="minorHAnsi"/>
                <w:b/>
                <w:bCs/>
                <w:sz w:val="20"/>
                <w:szCs w:val="20"/>
              </w:rPr>
              <w:t>108.1</w:t>
            </w:r>
          </w:p>
        </w:tc>
        <w:tc>
          <w:tcPr>
            <w:tcW w:w="1701" w:type="dxa"/>
            <w:tcBorders>
              <w:top w:val="single" w:sz="4" w:space="0" w:color="auto"/>
              <w:left w:val="nil"/>
              <w:right w:val="nil"/>
            </w:tcBorders>
          </w:tcPr>
          <w:p w14:paraId="2A402ED2" w14:textId="77777777" w:rsidR="00794AFD" w:rsidRPr="001C5950" w:rsidRDefault="00794AFD" w:rsidP="00794AFD">
            <w:pPr>
              <w:ind w:left="360"/>
              <w:jc w:val="right"/>
              <w:rPr>
                <w:rFonts w:asciiTheme="minorHAnsi" w:hAnsiTheme="minorHAnsi"/>
                <w:bCs/>
                <w:sz w:val="20"/>
                <w:szCs w:val="20"/>
              </w:rPr>
            </w:pPr>
            <w:r>
              <w:rPr>
                <w:rFonts w:asciiTheme="minorHAnsi" w:hAnsiTheme="minorHAnsi"/>
                <w:bCs/>
                <w:sz w:val="20"/>
                <w:szCs w:val="20"/>
              </w:rPr>
              <w:t>123.7</w:t>
            </w:r>
          </w:p>
        </w:tc>
      </w:tr>
      <w:tr w:rsidR="00794AFD" w:rsidRPr="001C5950" w14:paraId="637D6589" w14:textId="77777777" w:rsidTr="00794AFD">
        <w:tc>
          <w:tcPr>
            <w:tcW w:w="4712" w:type="dxa"/>
            <w:tcBorders>
              <w:left w:val="nil"/>
              <w:right w:val="nil"/>
            </w:tcBorders>
          </w:tcPr>
          <w:p w14:paraId="6E2D719B" w14:textId="77777777" w:rsidR="00794AFD" w:rsidRPr="001C5950" w:rsidDel="003B6674" w:rsidRDefault="00794AFD" w:rsidP="00794AFD">
            <w:pPr>
              <w:ind w:left="-108"/>
              <w:jc w:val="both"/>
              <w:rPr>
                <w:rFonts w:asciiTheme="minorHAnsi" w:hAnsiTheme="minorHAnsi"/>
                <w:sz w:val="20"/>
                <w:szCs w:val="20"/>
              </w:rPr>
            </w:pPr>
            <w:r>
              <w:rPr>
                <w:rFonts w:asciiTheme="minorHAnsi" w:hAnsiTheme="minorHAnsi"/>
                <w:sz w:val="20"/>
                <w:szCs w:val="20"/>
              </w:rPr>
              <w:t xml:space="preserve">Bank overdraft </w:t>
            </w:r>
          </w:p>
        </w:tc>
        <w:tc>
          <w:tcPr>
            <w:tcW w:w="1701" w:type="dxa"/>
            <w:tcBorders>
              <w:left w:val="nil"/>
              <w:bottom w:val="single" w:sz="4" w:space="0" w:color="auto"/>
              <w:right w:val="nil"/>
            </w:tcBorders>
          </w:tcPr>
          <w:p w14:paraId="606C44D0" w14:textId="77777777" w:rsidR="00794AFD" w:rsidRPr="00070ED0" w:rsidRDefault="00794AFD" w:rsidP="00794AFD">
            <w:pPr>
              <w:ind w:left="360"/>
              <w:jc w:val="right"/>
              <w:rPr>
                <w:rFonts w:asciiTheme="minorHAnsi" w:hAnsiTheme="minorHAnsi"/>
                <w:b/>
                <w:bCs/>
                <w:sz w:val="20"/>
                <w:szCs w:val="20"/>
              </w:rPr>
            </w:pPr>
            <w:r>
              <w:rPr>
                <w:rFonts w:asciiTheme="minorHAnsi" w:hAnsiTheme="minorHAnsi"/>
                <w:b/>
                <w:bCs/>
                <w:sz w:val="20"/>
                <w:szCs w:val="20"/>
              </w:rPr>
              <w:t>(5.0)</w:t>
            </w:r>
          </w:p>
        </w:tc>
        <w:tc>
          <w:tcPr>
            <w:tcW w:w="1701" w:type="dxa"/>
            <w:tcBorders>
              <w:left w:val="nil"/>
              <w:bottom w:val="single" w:sz="4" w:space="0" w:color="auto"/>
              <w:right w:val="nil"/>
            </w:tcBorders>
          </w:tcPr>
          <w:p w14:paraId="3498C2FE" w14:textId="77777777" w:rsidR="00794AFD" w:rsidRPr="00664E9B" w:rsidRDefault="00794AFD" w:rsidP="00794AFD">
            <w:pPr>
              <w:ind w:left="360"/>
              <w:jc w:val="right"/>
              <w:rPr>
                <w:rFonts w:asciiTheme="minorHAnsi" w:hAnsiTheme="minorHAnsi"/>
                <w:bCs/>
                <w:sz w:val="20"/>
                <w:szCs w:val="20"/>
              </w:rPr>
            </w:pPr>
            <w:r>
              <w:rPr>
                <w:rFonts w:asciiTheme="minorHAnsi" w:hAnsiTheme="minorHAnsi"/>
                <w:bCs/>
                <w:sz w:val="20"/>
                <w:szCs w:val="20"/>
              </w:rPr>
              <w:t>-</w:t>
            </w:r>
          </w:p>
        </w:tc>
      </w:tr>
      <w:tr w:rsidR="00794AFD" w:rsidRPr="001C5950" w14:paraId="150AB176" w14:textId="77777777" w:rsidTr="00794AFD">
        <w:tc>
          <w:tcPr>
            <w:tcW w:w="4712" w:type="dxa"/>
            <w:tcBorders>
              <w:left w:val="nil"/>
              <w:right w:val="nil"/>
            </w:tcBorders>
          </w:tcPr>
          <w:p w14:paraId="5CAD1BC0" w14:textId="77777777" w:rsidR="00794AFD" w:rsidRPr="001C5950" w:rsidDel="003B6674" w:rsidRDefault="00794AFD" w:rsidP="00794AFD">
            <w:pPr>
              <w:ind w:left="-108"/>
              <w:jc w:val="both"/>
              <w:rPr>
                <w:rFonts w:asciiTheme="minorHAnsi" w:hAnsiTheme="minorHAnsi"/>
                <w:sz w:val="20"/>
                <w:szCs w:val="20"/>
              </w:rPr>
            </w:pPr>
            <w:r w:rsidRPr="00694E58">
              <w:rPr>
                <w:rFonts w:asciiTheme="minorHAnsi" w:hAnsiTheme="minorHAnsi"/>
                <w:sz w:val="20"/>
                <w:szCs w:val="20"/>
              </w:rPr>
              <w:t>Cash and cash equivalent</w:t>
            </w:r>
            <w:r>
              <w:rPr>
                <w:rFonts w:asciiTheme="minorHAnsi" w:hAnsiTheme="minorHAnsi"/>
                <w:sz w:val="20"/>
                <w:szCs w:val="20"/>
              </w:rPr>
              <w:t>s per cash flow</w:t>
            </w:r>
          </w:p>
        </w:tc>
        <w:tc>
          <w:tcPr>
            <w:tcW w:w="1701" w:type="dxa"/>
            <w:tcBorders>
              <w:top w:val="single" w:sz="4" w:space="0" w:color="auto"/>
              <w:left w:val="nil"/>
              <w:bottom w:val="single" w:sz="4" w:space="0" w:color="auto"/>
              <w:right w:val="nil"/>
            </w:tcBorders>
          </w:tcPr>
          <w:p w14:paraId="780E6C90" w14:textId="77777777" w:rsidR="00794AFD" w:rsidRPr="00070ED0" w:rsidRDefault="00794AFD" w:rsidP="00794AFD">
            <w:pPr>
              <w:ind w:left="360"/>
              <w:jc w:val="right"/>
              <w:rPr>
                <w:rFonts w:asciiTheme="minorHAnsi" w:hAnsiTheme="minorHAnsi"/>
                <w:b/>
                <w:bCs/>
                <w:sz w:val="20"/>
                <w:szCs w:val="20"/>
              </w:rPr>
            </w:pPr>
            <w:r w:rsidRPr="00070ED0">
              <w:rPr>
                <w:rFonts w:asciiTheme="minorHAnsi" w:hAnsiTheme="minorHAnsi"/>
                <w:b/>
                <w:bCs/>
                <w:sz w:val="20"/>
                <w:szCs w:val="20"/>
              </w:rPr>
              <w:t>10</w:t>
            </w:r>
            <w:r>
              <w:rPr>
                <w:rFonts w:asciiTheme="minorHAnsi" w:hAnsiTheme="minorHAnsi"/>
                <w:b/>
                <w:bCs/>
                <w:sz w:val="20"/>
                <w:szCs w:val="20"/>
              </w:rPr>
              <w:t>3</w:t>
            </w:r>
            <w:r w:rsidRPr="00070ED0">
              <w:rPr>
                <w:rFonts w:asciiTheme="minorHAnsi" w:hAnsiTheme="minorHAnsi"/>
                <w:b/>
                <w:bCs/>
                <w:sz w:val="20"/>
                <w:szCs w:val="20"/>
              </w:rPr>
              <w:t>.1</w:t>
            </w:r>
          </w:p>
        </w:tc>
        <w:tc>
          <w:tcPr>
            <w:tcW w:w="1701" w:type="dxa"/>
            <w:tcBorders>
              <w:top w:val="single" w:sz="4" w:space="0" w:color="auto"/>
              <w:left w:val="nil"/>
              <w:bottom w:val="single" w:sz="4" w:space="0" w:color="auto"/>
              <w:right w:val="nil"/>
            </w:tcBorders>
          </w:tcPr>
          <w:p w14:paraId="5C67CC05" w14:textId="77777777" w:rsidR="00794AFD" w:rsidRPr="00664E9B" w:rsidRDefault="00794AFD" w:rsidP="00794AFD">
            <w:pPr>
              <w:ind w:left="360"/>
              <w:jc w:val="right"/>
              <w:rPr>
                <w:rFonts w:asciiTheme="minorHAnsi" w:hAnsiTheme="minorHAnsi"/>
                <w:bCs/>
                <w:sz w:val="20"/>
                <w:szCs w:val="20"/>
              </w:rPr>
            </w:pPr>
            <w:r w:rsidRPr="00664E9B">
              <w:rPr>
                <w:rFonts w:asciiTheme="minorHAnsi" w:hAnsiTheme="minorHAnsi"/>
                <w:bCs/>
                <w:sz w:val="20"/>
                <w:szCs w:val="20"/>
              </w:rPr>
              <w:t>1</w:t>
            </w:r>
            <w:r>
              <w:rPr>
                <w:rFonts w:asciiTheme="minorHAnsi" w:hAnsiTheme="minorHAnsi"/>
                <w:bCs/>
                <w:sz w:val="20"/>
                <w:szCs w:val="20"/>
              </w:rPr>
              <w:t>23.7</w:t>
            </w:r>
          </w:p>
        </w:tc>
      </w:tr>
    </w:tbl>
    <w:p w14:paraId="5646C6F2" w14:textId="77777777" w:rsidR="00794AFD" w:rsidRDefault="00794AFD" w:rsidP="00794AFD">
      <w:pPr>
        <w:jc w:val="both"/>
        <w:rPr>
          <w:rFonts w:asciiTheme="minorHAnsi" w:hAnsiTheme="minorHAnsi"/>
          <w:sz w:val="20"/>
          <w:szCs w:val="20"/>
        </w:rPr>
      </w:pPr>
    </w:p>
    <w:p w14:paraId="744B0BE6" w14:textId="77777777" w:rsidR="00794AFD" w:rsidRPr="001C5950" w:rsidRDefault="00794AFD" w:rsidP="00794AFD">
      <w:pPr>
        <w:pStyle w:val="BodyText"/>
        <w:rPr>
          <w:rFonts w:asciiTheme="minorHAnsi" w:hAnsiTheme="minorHAnsi" w:cs="Times New Roman"/>
          <w:b/>
          <w:sz w:val="20"/>
          <w:szCs w:val="20"/>
        </w:rPr>
      </w:pPr>
      <w:r w:rsidRPr="001C5950">
        <w:rPr>
          <w:rFonts w:asciiTheme="minorHAnsi" w:hAnsiTheme="minorHAnsi" w:cs="Times New Roman"/>
          <w:b/>
          <w:sz w:val="20"/>
          <w:szCs w:val="20"/>
        </w:rPr>
        <w:t>Financial assets</w:t>
      </w:r>
    </w:p>
    <w:p w14:paraId="7E147C86" w14:textId="77777777" w:rsidR="00794AFD" w:rsidRPr="007D7976" w:rsidRDefault="00794AFD" w:rsidP="00794AFD">
      <w:pPr>
        <w:rPr>
          <w:rFonts w:asciiTheme="minorHAnsi" w:hAnsiTheme="minorHAnsi" w:cstheme="minorHAnsi"/>
          <w:sz w:val="20"/>
          <w:szCs w:val="20"/>
          <w:lang w:val="en-IE"/>
        </w:rPr>
      </w:pPr>
      <w:r w:rsidRPr="001C5950">
        <w:rPr>
          <w:rFonts w:asciiTheme="minorHAnsi" w:hAnsiTheme="minorHAnsi"/>
          <w:sz w:val="20"/>
          <w:szCs w:val="20"/>
        </w:rPr>
        <w:t xml:space="preserve">Included in financial assets – restricted cash at 31 December </w:t>
      </w:r>
      <w:r>
        <w:rPr>
          <w:rFonts w:asciiTheme="minorHAnsi" w:hAnsiTheme="minorHAnsi"/>
          <w:sz w:val="20"/>
          <w:szCs w:val="20"/>
        </w:rPr>
        <w:t>2019</w:t>
      </w:r>
      <w:r w:rsidRPr="001C5950">
        <w:rPr>
          <w:rFonts w:asciiTheme="minorHAnsi" w:hAnsiTheme="minorHAnsi"/>
          <w:sz w:val="20"/>
          <w:szCs w:val="20"/>
        </w:rPr>
        <w:t xml:space="preserve"> w</w:t>
      </w:r>
      <w:r w:rsidRPr="001C5950">
        <w:rPr>
          <w:rFonts w:asciiTheme="minorHAnsi" w:hAnsiTheme="minorHAnsi"/>
          <w:sz w:val="20"/>
          <w:lang w:val="en-IE"/>
        </w:rPr>
        <w:t>ere either (1) restricted at that date, as they represented customer funds balances securing player funds held by the Group or (2) required to be held to guarantee third party letter of credit facilities. These customer funds that are not held in trust are matched by liabilities of equal value.</w:t>
      </w:r>
      <w:r>
        <w:rPr>
          <w:rFonts w:asciiTheme="minorHAnsi" w:hAnsiTheme="minorHAnsi"/>
          <w:sz w:val="20"/>
          <w:lang w:val="en-IE"/>
        </w:rPr>
        <w:t xml:space="preserve"> </w:t>
      </w:r>
      <w:bookmarkStart w:id="39" w:name="_Hlk536606859"/>
      <w:r w:rsidRPr="007D7976">
        <w:rPr>
          <w:rFonts w:asciiTheme="minorHAnsi" w:hAnsiTheme="minorHAnsi" w:cstheme="minorHAnsi"/>
          <w:sz w:val="20"/>
          <w:szCs w:val="20"/>
        </w:rPr>
        <w:t>The effective interest rate on bank deposits at 31 December 2019 was 0.6% (2018: 2.28%); these deposits have an average original maturity date of 1 day (2018: 1 day).  The bank deposits also have an average maturity date of 1 day from 31 December 2019 (2018: 1 day). The Directors believe that all short term bank deposits can be withdrawn without significant penalty.</w:t>
      </w:r>
      <w:bookmarkEnd w:id="39"/>
    </w:p>
    <w:p w14:paraId="72FA1830" w14:textId="77777777" w:rsidR="00794AFD" w:rsidRPr="00FC3D06" w:rsidRDefault="00794AFD" w:rsidP="00794AFD">
      <w:pPr>
        <w:rPr>
          <w:rFonts w:asciiTheme="minorHAnsi" w:hAnsiTheme="minorHAnsi" w:cs="Times New Roman"/>
          <w:sz w:val="20"/>
          <w:szCs w:val="20"/>
        </w:rPr>
      </w:pPr>
    </w:p>
    <w:p w14:paraId="7F7EDED9" w14:textId="77777777" w:rsidR="00794AFD" w:rsidRPr="001C5950" w:rsidRDefault="00794AFD" w:rsidP="00794AFD">
      <w:pPr>
        <w:rPr>
          <w:rFonts w:asciiTheme="minorHAnsi" w:hAnsiTheme="minorHAnsi"/>
          <w:sz w:val="20"/>
          <w:szCs w:val="20"/>
        </w:rPr>
      </w:pPr>
      <w:bookmarkStart w:id="40" w:name="_Hlk536639932"/>
      <w:r w:rsidRPr="001C5950">
        <w:rPr>
          <w:rFonts w:asciiTheme="minorHAnsi" w:hAnsiTheme="minorHAnsi"/>
          <w:sz w:val="20"/>
          <w:szCs w:val="20"/>
        </w:rPr>
        <w:t>Financial assets – restricted cash and cash and cash equivalents are analysed by currency as follows:</w:t>
      </w:r>
    </w:p>
    <w:p w14:paraId="41381CF3" w14:textId="77777777" w:rsidR="00794AFD" w:rsidRPr="00FC3D06" w:rsidRDefault="00794AFD" w:rsidP="00794AFD">
      <w:pPr>
        <w:ind w:left="360" w:hanging="360"/>
        <w:rPr>
          <w:rFonts w:asciiTheme="minorHAnsi" w:hAnsiTheme="minorHAnsi"/>
          <w:sz w:val="20"/>
          <w:szCs w:val="20"/>
        </w:rPr>
      </w:pPr>
    </w:p>
    <w:tbl>
      <w:tblPr>
        <w:tblW w:w="8114" w:type="dxa"/>
        <w:tblInd w:w="108" w:type="dxa"/>
        <w:tblLook w:val="01E0" w:firstRow="1" w:lastRow="1" w:firstColumn="1" w:lastColumn="1" w:noHBand="0" w:noVBand="0"/>
      </w:tblPr>
      <w:tblGrid>
        <w:gridCol w:w="4145"/>
        <w:gridCol w:w="2268"/>
        <w:gridCol w:w="1701"/>
      </w:tblGrid>
      <w:tr w:rsidR="00794AFD" w:rsidRPr="001C5950" w14:paraId="4AA55804" w14:textId="77777777" w:rsidTr="00794AFD">
        <w:tc>
          <w:tcPr>
            <w:tcW w:w="4145" w:type="dxa"/>
            <w:tcBorders>
              <w:top w:val="single" w:sz="4" w:space="0" w:color="auto"/>
            </w:tcBorders>
            <w:shd w:val="clear" w:color="auto" w:fill="auto"/>
          </w:tcPr>
          <w:p w14:paraId="20BB6255" w14:textId="77777777" w:rsidR="00794AFD" w:rsidRPr="001C5950" w:rsidRDefault="00794AFD" w:rsidP="00794AFD">
            <w:pPr>
              <w:ind w:left="-108"/>
              <w:rPr>
                <w:rFonts w:asciiTheme="minorHAnsi" w:hAnsiTheme="minorHAnsi"/>
                <w:sz w:val="20"/>
                <w:szCs w:val="20"/>
              </w:rPr>
            </w:pPr>
          </w:p>
        </w:tc>
        <w:tc>
          <w:tcPr>
            <w:tcW w:w="2268" w:type="dxa"/>
            <w:tcBorders>
              <w:top w:val="single" w:sz="4" w:space="0" w:color="auto"/>
            </w:tcBorders>
            <w:shd w:val="clear" w:color="auto" w:fill="auto"/>
          </w:tcPr>
          <w:p w14:paraId="4FB8185E" w14:textId="77777777" w:rsidR="00794AFD" w:rsidRPr="001C5950" w:rsidRDefault="00794AFD" w:rsidP="00794AFD">
            <w:pPr>
              <w:ind w:left="-18" w:firstLine="18"/>
              <w:jc w:val="right"/>
              <w:rPr>
                <w:rFonts w:asciiTheme="minorHAnsi" w:hAnsiTheme="minorHAnsi"/>
                <w:b/>
                <w:bCs/>
                <w:sz w:val="20"/>
                <w:szCs w:val="20"/>
              </w:rPr>
            </w:pPr>
          </w:p>
          <w:p w14:paraId="648B9E8B" w14:textId="77777777" w:rsidR="00794AFD" w:rsidRPr="001C5950" w:rsidRDefault="00794AFD" w:rsidP="00794AFD">
            <w:pPr>
              <w:ind w:left="-18" w:firstLine="18"/>
              <w:jc w:val="right"/>
              <w:rPr>
                <w:rFonts w:asciiTheme="minorHAnsi" w:hAnsiTheme="minorHAnsi"/>
                <w:b/>
                <w:bCs/>
                <w:sz w:val="20"/>
                <w:szCs w:val="20"/>
              </w:rPr>
            </w:pPr>
            <w:r w:rsidRPr="001C5950">
              <w:rPr>
                <w:rFonts w:asciiTheme="minorHAnsi" w:hAnsiTheme="minorHAnsi"/>
                <w:b/>
                <w:bCs/>
                <w:sz w:val="20"/>
                <w:szCs w:val="20"/>
              </w:rPr>
              <w:t>31 December</w:t>
            </w:r>
          </w:p>
          <w:p w14:paraId="5B4E36E0" w14:textId="77777777" w:rsidR="00794AFD" w:rsidRPr="001C5950" w:rsidRDefault="00794AFD" w:rsidP="00794AFD">
            <w:pPr>
              <w:ind w:left="-18" w:firstLine="18"/>
              <w:jc w:val="right"/>
              <w:rPr>
                <w:rFonts w:asciiTheme="minorHAnsi" w:hAnsiTheme="minorHAnsi"/>
                <w:b/>
                <w:bCs/>
                <w:sz w:val="20"/>
                <w:szCs w:val="20"/>
              </w:rPr>
            </w:pPr>
            <w:r>
              <w:rPr>
                <w:rFonts w:asciiTheme="minorHAnsi" w:hAnsiTheme="minorHAnsi"/>
                <w:b/>
                <w:bCs/>
                <w:sz w:val="20"/>
                <w:szCs w:val="20"/>
              </w:rPr>
              <w:t>2019</w:t>
            </w:r>
          </w:p>
        </w:tc>
        <w:tc>
          <w:tcPr>
            <w:tcW w:w="1701" w:type="dxa"/>
            <w:tcBorders>
              <w:top w:val="single" w:sz="4" w:space="0" w:color="auto"/>
            </w:tcBorders>
            <w:shd w:val="clear" w:color="auto" w:fill="auto"/>
          </w:tcPr>
          <w:p w14:paraId="629C1D4B" w14:textId="77777777" w:rsidR="00794AFD" w:rsidRPr="001C5950" w:rsidRDefault="00794AFD" w:rsidP="00794AFD">
            <w:pPr>
              <w:ind w:left="-18" w:firstLine="18"/>
              <w:jc w:val="right"/>
              <w:rPr>
                <w:rFonts w:asciiTheme="minorHAnsi" w:hAnsiTheme="minorHAnsi"/>
                <w:bCs/>
                <w:sz w:val="20"/>
                <w:szCs w:val="20"/>
              </w:rPr>
            </w:pPr>
          </w:p>
          <w:p w14:paraId="1A1CB1FF" w14:textId="77777777" w:rsidR="00794AFD" w:rsidRPr="001C5950" w:rsidRDefault="00794AFD" w:rsidP="00794AFD">
            <w:pPr>
              <w:ind w:left="-18" w:firstLine="18"/>
              <w:jc w:val="right"/>
              <w:rPr>
                <w:rFonts w:asciiTheme="minorHAnsi" w:hAnsiTheme="minorHAnsi"/>
                <w:bCs/>
                <w:sz w:val="20"/>
                <w:szCs w:val="20"/>
              </w:rPr>
            </w:pPr>
            <w:r w:rsidRPr="001C5950">
              <w:rPr>
                <w:rFonts w:asciiTheme="minorHAnsi" w:hAnsiTheme="minorHAnsi"/>
                <w:bCs/>
                <w:sz w:val="20"/>
                <w:szCs w:val="20"/>
              </w:rPr>
              <w:t>31 December</w:t>
            </w:r>
          </w:p>
          <w:p w14:paraId="59E53EC1" w14:textId="77777777" w:rsidR="00794AFD" w:rsidRPr="001C5950" w:rsidRDefault="00794AFD" w:rsidP="00794AFD">
            <w:pPr>
              <w:ind w:left="-18" w:firstLine="18"/>
              <w:jc w:val="right"/>
              <w:rPr>
                <w:rFonts w:asciiTheme="minorHAnsi" w:hAnsiTheme="minorHAnsi"/>
                <w:bCs/>
                <w:sz w:val="20"/>
                <w:szCs w:val="20"/>
              </w:rPr>
            </w:pPr>
            <w:r>
              <w:rPr>
                <w:rFonts w:asciiTheme="minorHAnsi" w:hAnsiTheme="minorHAnsi"/>
                <w:bCs/>
                <w:sz w:val="20"/>
                <w:szCs w:val="20"/>
              </w:rPr>
              <w:t>2018</w:t>
            </w:r>
          </w:p>
        </w:tc>
      </w:tr>
      <w:tr w:rsidR="00794AFD" w:rsidRPr="001C5950" w14:paraId="167DEF50" w14:textId="77777777" w:rsidTr="00794AFD">
        <w:tc>
          <w:tcPr>
            <w:tcW w:w="4145" w:type="dxa"/>
            <w:tcBorders>
              <w:bottom w:val="single" w:sz="4" w:space="0" w:color="auto"/>
            </w:tcBorders>
            <w:shd w:val="clear" w:color="auto" w:fill="auto"/>
          </w:tcPr>
          <w:p w14:paraId="442E6C7E" w14:textId="77777777" w:rsidR="00794AFD" w:rsidRPr="001C5950" w:rsidRDefault="00794AFD" w:rsidP="00794AFD">
            <w:pPr>
              <w:ind w:left="-108"/>
              <w:rPr>
                <w:rFonts w:asciiTheme="minorHAnsi" w:hAnsiTheme="minorHAnsi"/>
                <w:sz w:val="20"/>
                <w:szCs w:val="20"/>
              </w:rPr>
            </w:pPr>
          </w:p>
        </w:tc>
        <w:tc>
          <w:tcPr>
            <w:tcW w:w="2268" w:type="dxa"/>
            <w:tcBorders>
              <w:bottom w:val="single" w:sz="4" w:space="0" w:color="auto"/>
            </w:tcBorders>
            <w:shd w:val="clear" w:color="auto" w:fill="auto"/>
          </w:tcPr>
          <w:p w14:paraId="4404EBD9" w14:textId="77777777" w:rsidR="00794AFD" w:rsidRPr="001C5950" w:rsidRDefault="00794AFD" w:rsidP="00794AFD">
            <w:pPr>
              <w:ind w:left="360"/>
              <w:jc w:val="right"/>
              <w:rPr>
                <w:rFonts w:asciiTheme="minorHAnsi" w:hAnsiTheme="minorHAnsi"/>
                <w:b/>
                <w:sz w:val="20"/>
                <w:szCs w:val="20"/>
              </w:rPr>
            </w:pPr>
            <w:r w:rsidRPr="001C5950">
              <w:rPr>
                <w:rFonts w:asciiTheme="minorHAnsi" w:hAnsiTheme="minorHAnsi"/>
                <w:b/>
                <w:sz w:val="20"/>
                <w:szCs w:val="20"/>
              </w:rPr>
              <w:t>£m</w:t>
            </w:r>
          </w:p>
        </w:tc>
        <w:tc>
          <w:tcPr>
            <w:tcW w:w="1701" w:type="dxa"/>
            <w:tcBorders>
              <w:bottom w:val="single" w:sz="4" w:space="0" w:color="auto"/>
            </w:tcBorders>
            <w:shd w:val="clear" w:color="auto" w:fill="auto"/>
          </w:tcPr>
          <w:p w14:paraId="0BD8C804" w14:textId="77777777" w:rsidR="00794AFD" w:rsidRPr="001C5950" w:rsidRDefault="00794AFD" w:rsidP="00794AFD">
            <w:pPr>
              <w:ind w:left="360"/>
              <w:jc w:val="right"/>
              <w:rPr>
                <w:rFonts w:asciiTheme="minorHAnsi" w:hAnsiTheme="minorHAnsi"/>
                <w:sz w:val="20"/>
                <w:szCs w:val="20"/>
              </w:rPr>
            </w:pPr>
            <w:r w:rsidRPr="001C5950">
              <w:rPr>
                <w:rFonts w:asciiTheme="minorHAnsi" w:hAnsiTheme="minorHAnsi"/>
                <w:sz w:val="20"/>
                <w:szCs w:val="20"/>
              </w:rPr>
              <w:t>£m</w:t>
            </w:r>
          </w:p>
        </w:tc>
      </w:tr>
      <w:tr w:rsidR="00794AFD" w:rsidRPr="001C5950" w14:paraId="1E5BAE12" w14:textId="77777777" w:rsidTr="00794AFD">
        <w:tc>
          <w:tcPr>
            <w:tcW w:w="4145" w:type="dxa"/>
            <w:tcBorders>
              <w:top w:val="single" w:sz="4" w:space="0" w:color="auto"/>
            </w:tcBorders>
            <w:shd w:val="clear" w:color="auto" w:fill="auto"/>
          </w:tcPr>
          <w:p w14:paraId="785289D4" w14:textId="77777777" w:rsidR="00794AFD" w:rsidRPr="001C5950" w:rsidRDefault="00794AFD" w:rsidP="00794AFD">
            <w:pPr>
              <w:ind w:left="-108"/>
              <w:rPr>
                <w:rFonts w:asciiTheme="minorHAnsi" w:hAnsiTheme="minorHAnsi"/>
                <w:sz w:val="20"/>
                <w:szCs w:val="20"/>
              </w:rPr>
            </w:pPr>
            <w:r w:rsidRPr="001C5950">
              <w:rPr>
                <w:rFonts w:asciiTheme="minorHAnsi" w:hAnsiTheme="minorHAnsi"/>
                <w:sz w:val="20"/>
                <w:szCs w:val="20"/>
              </w:rPr>
              <w:t>GBP</w:t>
            </w:r>
          </w:p>
        </w:tc>
        <w:tc>
          <w:tcPr>
            <w:tcW w:w="2268" w:type="dxa"/>
            <w:tcBorders>
              <w:top w:val="single" w:sz="4" w:space="0" w:color="auto"/>
            </w:tcBorders>
            <w:shd w:val="clear" w:color="auto" w:fill="auto"/>
            <w:vAlign w:val="bottom"/>
          </w:tcPr>
          <w:p w14:paraId="117E8BF2" w14:textId="77777777" w:rsidR="00794AFD" w:rsidRPr="00784F67" w:rsidRDefault="00794AFD" w:rsidP="00794AFD">
            <w:pPr>
              <w:ind w:left="360"/>
              <w:jc w:val="right"/>
              <w:rPr>
                <w:rFonts w:asciiTheme="minorHAnsi" w:hAnsiTheme="minorHAnsi"/>
                <w:b/>
                <w:bCs/>
                <w:sz w:val="20"/>
                <w:szCs w:val="20"/>
              </w:rPr>
            </w:pPr>
            <w:r w:rsidRPr="00784F67">
              <w:rPr>
                <w:rFonts w:asciiTheme="minorHAnsi" w:hAnsiTheme="minorHAnsi"/>
                <w:b/>
                <w:bCs/>
                <w:sz w:val="20"/>
                <w:szCs w:val="20"/>
              </w:rPr>
              <w:t>12.9</w:t>
            </w:r>
          </w:p>
        </w:tc>
        <w:tc>
          <w:tcPr>
            <w:tcW w:w="1701" w:type="dxa"/>
            <w:tcBorders>
              <w:top w:val="single" w:sz="4" w:space="0" w:color="auto"/>
            </w:tcBorders>
            <w:shd w:val="clear" w:color="auto" w:fill="auto"/>
            <w:vAlign w:val="bottom"/>
          </w:tcPr>
          <w:p w14:paraId="3ECB7531" w14:textId="77777777" w:rsidR="00794AFD" w:rsidRPr="00F155C3" w:rsidRDefault="00794AFD" w:rsidP="00794AFD">
            <w:pPr>
              <w:ind w:left="360"/>
              <w:jc w:val="right"/>
              <w:rPr>
                <w:rFonts w:asciiTheme="minorHAnsi" w:hAnsiTheme="minorHAnsi"/>
                <w:bCs/>
                <w:sz w:val="20"/>
                <w:szCs w:val="20"/>
              </w:rPr>
            </w:pPr>
            <w:r w:rsidRPr="00F155C3">
              <w:rPr>
                <w:rFonts w:asciiTheme="minorHAnsi" w:hAnsiTheme="minorHAnsi"/>
                <w:bCs/>
                <w:sz w:val="20"/>
                <w:szCs w:val="20"/>
              </w:rPr>
              <w:t>21.8</w:t>
            </w:r>
          </w:p>
        </w:tc>
      </w:tr>
      <w:tr w:rsidR="00794AFD" w:rsidRPr="001C5950" w14:paraId="403DD114" w14:textId="77777777" w:rsidTr="00794AFD">
        <w:tc>
          <w:tcPr>
            <w:tcW w:w="4145" w:type="dxa"/>
            <w:shd w:val="clear" w:color="auto" w:fill="auto"/>
          </w:tcPr>
          <w:p w14:paraId="3E31B724" w14:textId="77777777" w:rsidR="00794AFD" w:rsidRPr="001C5950" w:rsidRDefault="00794AFD" w:rsidP="00794AFD">
            <w:pPr>
              <w:ind w:left="-108"/>
              <w:rPr>
                <w:rFonts w:asciiTheme="minorHAnsi" w:hAnsiTheme="minorHAnsi"/>
                <w:sz w:val="20"/>
                <w:szCs w:val="20"/>
              </w:rPr>
            </w:pPr>
            <w:r w:rsidRPr="001C5950">
              <w:rPr>
                <w:rFonts w:asciiTheme="minorHAnsi" w:hAnsiTheme="minorHAnsi"/>
                <w:sz w:val="20"/>
                <w:szCs w:val="20"/>
              </w:rPr>
              <w:t>EUR</w:t>
            </w:r>
          </w:p>
        </w:tc>
        <w:tc>
          <w:tcPr>
            <w:tcW w:w="2268" w:type="dxa"/>
            <w:shd w:val="clear" w:color="auto" w:fill="auto"/>
            <w:vAlign w:val="bottom"/>
          </w:tcPr>
          <w:p w14:paraId="144BA850" w14:textId="77777777" w:rsidR="00794AFD" w:rsidRPr="00784F67" w:rsidRDefault="00794AFD" w:rsidP="00794AFD">
            <w:pPr>
              <w:ind w:left="360"/>
              <w:jc w:val="right"/>
              <w:rPr>
                <w:rFonts w:asciiTheme="minorHAnsi" w:hAnsiTheme="minorHAnsi"/>
                <w:b/>
                <w:bCs/>
                <w:sz w:val="20"/>
                <w:szCs w:val="20"/>
              </w:rPr>
            </w:pPr>
            <w:r w:rsidRPr="00784F67">
              <w:rPr>
                <w:rFonts w:asciiTheme="minorHAnsi" w:hAnsiTheme="minorHAnsi"/>
                <w:b/>
                <w:bCs/>
                <w:sz w:val="20"/>
                <w:szCs w:val="20"/>
              </w:rPr>
              <w:t>38.2</w:t>
            </w:r>
          </w:p>
        </w:tc>
        <w:tc>
          <w:tcPr>
            <w:tcW w:w="1701" w:type="dxa"/>
            <w:shd w:val="clear" w:color="auto" w:fill="auto"/>
            <w:vAlign w:val="bottom"/>
          </w:tcPr>
          <w:p w14:paraId="3584BC6F" w14:textId="77777777" w:rsidR="00794AFD" w:rsidRPr="00F155C3" w:rsidRDefault="00794AFD" w:rsidP="00794AFD">
            <w:pPr>
              <w:ind w:left="360"/>
              <w:jc w:val="right"/>
              <w:rPr>
                <w:rFonts w:asciiTheme="minorHAnsi" w:hAnsiTheme="minorHAnsi"/>
                <w:bCs/>
                <w:sz w:val="20"/>
                <w:szCs w:val="20"/>
              </w:rPr>
            </w:pPr>
            <w:r w:rsidRPr="00F155C3">
              <w:rPr>
                <w:rFonts w:asciiTheme="minorHAnsi" w:hAnsiTheme="minorHAnsi"/>
                <w:bCs/>
                <w:sz w:val="20"/>
                <w:szCs w:val="20"/>
              </w:rPr>
              <w:t>61.0</w:t>
            </w:r>
          </w:p>
        </w:tc>
      </w:tr>
      <w:tr w:rsidR="00794AFD" w:rsidRPr="001C5950" w14:paraId="0D51BBE7" w14:textId="77777777" w:rsidTr="00794AFD">
        <w:tc>
          <w:tcPr>
            <w:tcW w:w="4145" w:type="dxa"/>
            <w:shd w:val="clear" w:color="auto" w:fill="auto"/>
          </w:tcPr>
          <w:p w14:paraId="1E8AD58B" w14:textId="77777777" w:rsidR="00794AFD" w:rsidRPr="001C5950" w:rsidRDefault="00794AFD" w:rsidP="00794AFD">
            <w:pPr>
              <w:ind w:left="-108"/>
              <w:rPr>
                <w:rFonts w:asciiTheme="minorHAnsi" w:hAnsiTheme="minorHAnsi"/>
                <w:sz w:val="20"/>
                <w:szCs w:val="20"/>
              </w:rPr>
            </w:pPr>
            <w:r w:rsidRPr="001C5950">
              <w:rPr>
                <w:rFonts w:asciiTheme="minorHAnsi" w:hAnsiTheme="minorHAnsi"/>
                <w:sz w:val="20"/>
                <w:szCs w:val="20"/>
              </w:rPr>
              <w:t>AUD</w:t>
            </w:r>
          </w:p>
        </w:tc>
        <w:tc>
          <w:tcPr>
            <w:tcW w:w="2268" w:type="dxa"/>
            <w:shd w:val="clear" w:color="auto" w:fill="auto"/>
            <w:vAlign w:val="bottom"/>
          </w:tcPr>
          <w:p w14:paraId="4F2EF0D7" w14:textId="77777777" w:rsidR="00794AFD" w:rsidRPr="00784F67" w:rsidRDefault="00794AFD" w:rsidP="00794AFD">
            <w:pPr>
              <w:ind w:left="360"/>
              <w:jc w:val="right"/>
              <w:rPr>
                <w:rFonts w:asciiTheme="minorHAnsi" w:hAnsiTheme="minorHAnsi"/>
                <w:b/>
                <w:bCs/>
                <w:sz w:val="20"/>
                <w:szCs w:val="20"/>
              </w:rPr>
            </w:pPr>
            <w:r w:rsidRPr="00784F67">
              <w:rPr>
                <w:rFonts w:asciiTheme="minorHAnsi" w:hAnsiTheme="minorHAnsi"/>
                <w:b/>
                <w:bCs/>
                <w:sz w:val="20"/>
                <w:szCs w:val="20"/>
              </w:rPr>
              <w:t>65.1</w:t>
            </w:r>
          </w:p>
        </w:tc>
        <w:tc>
          <w:tcPr>
            <w:tcW w:w="1701" w:type="dxa"/>
            <w:shd w:val="clear" w:color="auto" w:fill="auto"/>
            <w:vAlign w:val="bottom"/>
          </w:tcPr>
          <w:p w14:paraId="56DA3C8C" w14:textId="77777777" w:rsidR="00794AFD" w:rsidRPr="00F155C3" w:rsidRDefault="00794AFD" w:rsidP="00794AFD">
            <w:pPr>
              <w:ind w:left="360"/>
              <w:jc w:val="right"/>
              <w:rPr>
                <w:rFonts w:asciiTheme="minorHAnsi" w:hAnsiTheme="minorHAnsi"/>
                <w:bCs/>
                <w:sz w:val="20"/>
                <w:szCs w:val="20"/>
              </w:rPr>
            </w:pPr>
            <w:r w:rsidRPr="00F155C3">
              <w:rPr>
                <w:rFonts w:asciiTheme="minorHAnsi" w:hAnsiTheme="minorHAnsi"/>
                <w:bCs/>
                <w:sz w:val="20"/>
                <w:szCs w:val="20"/>
              </w:rPr>
              <w:t>67.0</w:t>
            </w:r>
          </w:p>
        </w:tc>
      </w:tr>
      <w:tr w:rsidR="00794AFD" w:rsidRPr="001C5950" w14:paraId="7591E8C7" w14:textId="77777777" w:rsidTr="00794AFD">
        <w:tc>
          <w:tcPr>
            <w:tcW w:w="4145" w:type="dxa"/>
            <w:shd w:val="clear" w:color="auto" w:fill="auto"/>
          </w:tcPr>
          <w:p w14:paraId="13A235C2" w14:textId="77777777" w:rsidR="00794AFD" w:rsidRPr="001C5950" w:rsidRDefault="00794AFD" w:rsidP="00794AFD">
            <w:pPr>
              <w:ind w:left="-108"/>
              <w:rPr>
                <w:rFonts w:asciiTheme="minorHAnsi" w:hAnsiTheme="minorHAnsi"/>
                <w:sz w:val="20"/>
                <w:szCs w:val="20"/>
              </w:rPr>
            </w:pPr>
            <w:r w:rsidRPr="001C5950">
              <w:rPr>
                <w:rFonts w:asciiTheme="minorHAnsi" w:hAnsiTheme="minorHAnsi"/>
                <w:sz w:val="20"/>
                <w:szCs w:val="20"/>
              </w:rPr>
              <w:t>USD</w:t>
            </w:r>
          </w:p>
        </w:tc>
        <w:tc>
          <w:tcPr>
            <w:tcW w:w="2268" w:type="dxa"/>
            <w:shd w:val="clear" w:color="auto" w:fill="auto"/>
            <w:vAlign w:val="bottom"/>
          </w:tcPr>
          <w:p w14:paraId="50F506BA" w14:textId="77777777" w:rsidR="00794AFD" w:rsidRPr="00784F67" w:rsidRDefault="00794AFD" w:rsidP="00794AFD">
            <w:pPr>
              <w:ind w:left="360"/>
              <w:jc w:val="right"/>
              <w:rPr>
                <w:rFonts w:asciiTheme="minorHAnsi" w:hAnsiTheme="minorHAnsi"/>
                <w:b/>
                <w:bCs/>
                <w:sz w:val="20"/>
                <w:szCs w:val="20"/>
              </w:rPr>
            </w:pPr>
            <w:r w:rsidRPr="00784F67">
              <w:rPr>
                <w:rFonts w:asciiTheme="minorHAnsi" w:hAnsiTheme="minorHAnsi"/>
                <w:b/>
                <w:bCs/>
                <w:sz w:val="20"/>
                <w:szCs w:val="20"/>
              </w:rPr>
              <w:t>154.0</w:t>
            </w:r>
          </w:p>
        </w:tc>
        <w:tc>
          <w:tcPr>
            <w:tcW w:w="1701" w:type="dxa"/>
            <w:shd w:val="clear" w:color="auto" w:fill="auto"/>
            <w:vAlign w:val="bottom"/>
          </w:tcPr>
          <w:p w14:paraId="630FF0B3" w14:textId="77777777" w:rsidR="00794AFD" w:rsidRPr="00F155C3" w:rsidRDefault="00794AFD" w:rsidP="00794AFD">
            <w:pPr>
              <w:ind w:left="360"/>
              <w:jc w:val="right"/>
              <w:rPr>
                <w:rFonts w:asciiTheme="minorHAnsi" w:hAnsiTheme="minorHAnsi"/>
                <w:bCs/>
                <w:sz w:val="20"/>
                <w:szCs w:val="20"/>
              </w:rPr>
            </w:pPr>
            <w:r w:rsidRPr="00F155C3">
              <w:rPr>
                <w:rFonts w:asciiTheme="minorHAnsi" w:hAnsiTheme="minorHAnsi"/>
                <w:bCs/>
                <w:sz w:val="20"/>
                <w:szCs w:val="20"/>
              </w:rPr>
              <w:t>134.3</w:t>
            </w:r>
          </w:p>
        </w:tc>
      </w:tr>
      <w:tr w:rsidR="00794AFD" w:rsidRPr="001C5950" w14:paraId="3335FF73" w14:textId="77777777" w:rsidTr="00794AFD">
        <w:tc>
          <w:tcPr>
            <w:tcW w:w="4145" w:type="dxa"/>
            <w:shd w:val="clear" w:color="auto" w:fill="auto"/>
          </w:tcPr>
          <w:p w14:paraId="799C0DC1" w14:textId="77777777" w:rsidR="00794AFD" w:rsidRPr="001C5950" w:rsidRDefault="00794AFD" w:rsidP="00794AFD">
            <w:pPr>
              <w:ind w:left="-108"/>
              <w:rPr>
                <w:rFonts w:asciiTheme="minorHAnsi" w:hAnsiTheme="minorHAnsi"/>
                <w:sz w:val="20"/>
                <w:szCs w:val="20"/>
              </w:rPr>
            </w:pPr>
            <w:r w:rsidRPr="001C5950">
              <w:rPr>
                <w:rFonts w:asciiTheme="minorHAnsi" w:hAnsiTheme="minorHAnsi"/>
                <w:sz w:val="20"/>
                <w:szCs w:val="20"/>
              </w:rPr>
              <w:t>Other</w:t>
            </w:r>
          </w:p>
        </w:tc>
        <w:tc>
          <w:tcPr>
            <w:tcW w:w="2268" w:type="dxa"/>
            <w:shd w:val="clear" w:color="auto" w:fill="auto"/>
            <w:vAlign w:val="bottom"/>
          </w:tcPr>
          <w:p w14:paraId="72C8A1DE" w14:textId="77777777" w:rsidR="00794AFD" w:rsidRPr="00784F67" w:rsidRDefault="00794AFD" w:rsidP="00794AFD">
            <w:pPr>
              <w:ind w:left="360"/>
              <w:jc w:val="right"/>
              <w:rPr>
                <w:rFonts w:asciiTheme="minorHAnsi" w:hAnsiTheme="minorHAnsi"/>
                <w:b/>
                <w:bCs/>
                <w:sz w:val="20"/>
                <w:szCs w:val="20"/>
              </w:rPr>
            </w:pPr>
            <w:r w:rsidRPr="00784F67">
              <w:rPr>
                <w:rFonts w:asciiTheme="minorHAnsi" w:hAnsiTheme="minorHAnsi"/>
                <w:b/>
                <w:bCs/>
                <w:sz w:val="20"/>
                <w:szCs w:val="20"/>
              </w:rPr>
              <w:t>27.0</w:t>
            </w:r>
          </w:p>
        </w:tc>
        <w:tc>
          <w:tcPr>
            <w:tcW w:w="1701" w:type="dxa"/>
            <w:shd w:val="clear" w:color="auto" w:fill="auto"/>
            <w:vAlign w:val="bottom"/>
          </w:tcPr>
          <w:p w14:paraId="15F6AC20" w14:textId="77777777" w:rsidR="00794AFD" w:rsidRPr="00F155C3" w:rsidRDefault="00794AFD" w:rsidP="00794AFD">
            <w:pPr>
              <w:ind w:left="360"/>
              <w:jc w:val="right"/>
              <w:rPr>
                <w:rFonts w:asciiTheme="minorHAnsi" w:hAnsiTheme="minorHAnsi"/>
                <w:bCs/>
                <w:sz w:val="20"/>
                <w:szCs w:val="20"/>
              </w:rPr>
            </w:pPr>
            <w:r w:rsidRPr="00F155C3">
              <w:rPr>
                <w:rFonts w:asciiTheme="minorHAnsi" w:hAnsiTheme="minorHAnsi"/>
                <w:bCs/>
                <w:sz w:val="20"/>
                <w:szCs w:val="20"/>
              </w:rPr>
              <w:t>6.8</w:t>
            </w:r>
          </w:p>
        </w:tc>
      </w:tr>
      <w:tr w:rsidR="00794AFD" w:rsidRPr="001C5950" w14:paraId="081E9054" w14:textId="77777777" w:rsidTr="00794AFD">
        <w:tc>
          <w:tcPr>
            <w:tcW w:w="4145" w:type="dxa"/>
            <w:tcBorders>
              <w:top w:val="single" w:sz="4" w:space="0" w:color="auto"/>
              <w:bottom w:val="single" w:sz="4" w:space="0" w:color="auto"/>
            </w:tcBorders>
            <w:shd w:val="clear" w:color="auto" w:fill="auto"/>
          </w:tcPr>
          <w:p w14:paraId="39959E9E" w14:textId="77777777" w:rsidR="00794AFD" w:rsidRPr="001C5950" w:rsidRDefault="00794AFD" w:rsidP="00794AFD">
            <w:pPr>
              <w:ind w:left="-108"/>
              <w:rPr>
                <w:rFonts w:asciiTheme="minorHAnsi" w:hAnsiTheme="minorHAnsi"/>
                <w:sz w:val="20"/>
                <w:szCs w:val="20"/>
              </w:rPr>
            </w:pPr>
            <w:r w:rsidRPr="001C5950">
              <w:rPr>
                <w:rFonts w:asciiTheme="minorHAnsi" w:hAnsiTheme="minorHAnsi"/>
                <w:sz w:val="20"/>
                <w:szCs w:val="20"/>
              </w:rPr>
              <w:t>Total</w:t>
            </w:r>
          </w:p>
        </w:tc>
        <w:tc>
          <w:tcPr>
            <w:tcW w:w="2268" w:type="dxa"/>
            <w:tcBorders>
              <w:top w:val="single" w:sz="4" w:space="0" w:color="auto"/>
              <w:bottom w:val="single" w:sz="4" w:space="0" w:color="auto"/>
            </w:tcBorders>
            <w:shd w:val="clear" w:color="auto" w:fill="auto"/>
          </w:tcPr>
          <w:p w14:paraId="3BF2E3F2" w14:textId="77777777" w:rsidR="00794AFD" w:rsidRPr="00784F67" w:rsidRDefault="00794AFD" w:rsidP="00794AFD">
            <w:pPr>
              <w:ind w:left="360"/>
              <w:jc w:val="right"/>
              <w:rPr>
                <w:rFonts w:asciiTheme="minorHAnsi" w:hAnsiTheme="minorHAnsi"/>
                <w:b/>
                <w:sz w:val="20"/>
                <w:szCs w:val="20"/>
              </w:rPr>
            </w:pPr>
            <w:r w:rsidRPr="00784F67">
              <w:rPr>
                <w:rFonts w:asciiTheme="minorHAnsi" w:hAnsiTheme="minorHAnsi"/>
                <w:b/>
                <w:sz w:val="20"/>
                <w:szCs w:val="20"/>
              </w:rPr>
              <w:t>297.2</w:t>
            </w:r>
          </w:p>
        </w:tc>
        <w:tc>
          <w:tcPr>
            <w:tcW w:w="1701" w:type="dxa"/>
            <w:tcBorders>
              <w:top w:val="single" w:sz="4" w:space="0" w:color="auto"/>
              <w:bottom w:val="single" w:sz="4" w:space="0" w:color="auto"/>
            </w:tcBorders>
            <w:shd w:val="clear" w:color="auto" w:fill="auto"/>
          </w:tcPr>
          <w:p w14:paraId="701F9EDE" w14:textId="77777777" w:rsidR="00794AFD" w:rsidRPr="00F155C3" w:rsidRDefault="00794AFD" w:rsidP="00794AFD">
            <w:pPr>
              <w:ind w:left="360"/>
              <w:jc w:val="right"/>
              <w:rPr>
                <w:rFonts w:asciiTheme="minorHAnsi" w:hAnsiTheme="minorHAnsi"/>
                <w:sz w:val="20"/>
                <w:szCs w:val="20"/>
              </w:rPr>
            </w:pPr>
            <w:r w:rsidRPr="00F155C3">
              <w:rPr>
                <w:rFonts w:asciiTheme="minorHAnsi" w:hAnsiTheme="minorHAnsi"/>
                <w:sz w:val="20"/>
                <w:szCs w:val="20"/>
              </w:rPr>
              <w:t>290.9</w:t>
            </w:r>
          </w:p>
        </w:tc>
      </w:tr>
      <w:bookmarkEnd w:id="40"/>
    </w:tbl>
    <w:p w14:paraId="1793ACBA" w14:textId="77777777" w:rsidR="00794AFD" w:rsidRPr="00FC3D06" w:rsidRDefault="00794AFD" w:rsidP="00794AFD">
      <w:pPr>
        <w:rPr>
          <w:rFonts w:asciiTheme="minorHAnsi" w:hAnsiTheme="minorHAnsi"/>
          <w:sz w:val="20"/>
          <w:szCs w:val="20"/>
          <w:lang w:val="en-IE"/>
        </w:rPr>
      </w:pPr>
    </w:p>
    <w:p w14:paraId="1756169E" w14:textId="77777777" w:rsidR="00794AFD" w:rsidRPr="001C5950" w:rsidRDefault="00794AFD" w:rsidP="00794AFD">
      <w:pPr>
        <w:rPr>
          <w:rFonts w:asciiTheme="minorHAnsi" w:hAnsiTheme="minorHAnsi"/>
          <w:sz w:val="20"/>
        </w:rPr>
      </w:pPr>
      <w:r w:rsidRPr="001C5950">
        <w:rPr>
          <w:rFonts w:asciiTheme="minorHAnsi" w:hAnsiTheme="minorHAnsi"/>
          <w:sz w:val="20"/>
          <w:lang w:val="en-IE"/>
        </w:rPr>
        <w:t xml:space="preserve">As at 31 December </w:t>
      </w:r>
      <w:r>
        <w:rPr>
          <w:rFonts w:asciiTheme="minorHAnsi" w:hAnsiTheme="minorHAnsi"/>
          <w:sz w:val="20"/>
          <w:lang w:val="en-IE"/>
        </w:rPr>
        <w:t>2019</w:t>
      </w:r>
      <w:r w:rsidRPr="008C67BB">
        <w:rPr>
          <w:rFonts w:asciiTheme="minorHAnsi" w:hAnsiTheme="minorHAnsi"/>
          <w:sz w:val="20"/>
          <w:lang w:val="en-IE"/>
        </w:rPr>
        <w:t xml:space="preserve">, </w:t>
      </w:r>
      <w:r w:rsidRPr="00070ED0">
        <w:rPr>
          <w:rFonts w:asciiTheme="minorHAnsi" w:hAnsiTheme="minorHAnsi"/>
          <w:sz w:val="20"/>
          <w:lang w:val="en-IE"/>
        </w:rPr>
        <w:t>£318.2m</w:t>
      </w:r>
      <w:r w:rsidRPr="008C67BB">
        <w:rPr>
          <w:rFonts w:asciiTheme="minorHAnsi" w:hAnsiTheme="minorHAnsi"/>
          <w:sz w:val="20"/>
          <w:lang w:val="en-IE"/>
        </w:rPr>
        <w:t xml:space="preserve"> (31 December 2018: £368.4m) was held in trust in The Sporting Exchange (Clients) Limited on behalf of the Group’s cust</w:t>
      </w:r>
      <w:r w:rsidRPr="001C5950">
        <w:rPr>
          <w:rFonts w:asciiTheme="minorHAnsi" w:hAnsiTheme="minorHAnsi"/>
          <w:sz w:val="20"/>
          <w:lang w:val="en-IE"/>
        </w:rPr>
        <w:t>omers and is equal to the amounts deposited into customer accounts.</w:t>
      </w:r>
      <w:r w:rsidRPr="001C5950">
        <w:rPr>
          <w:rFonts w:asciiTheme="minorHAnsi" w:hAnsiTheme="minorHAnsi" w:cs="Times New Roman"/>
          <w:b/>
          <w:bCs/>
          <w:sz w:val="20"/>
          <w:szCs w:val="20"/>
        </w:rPr>
        <w:t xml:space="preserve"> </w:t>
      </w:r>
      <w:bookmarkStart w:id="41" w:name="OLE_LINK27"/>
      <w:bookmarkStart w:id="42" w:name="OLE_LINK28"/>
      <w:r w:rsidRPr="001C5950">
        <w:rPr>
          <w:rFonts w:asciiTheme="minorHAnsi" w:hAnsiTheme="minorHAnsi"/>
          <w:sz w:val="20"/>
        </w:rPr>
        <w:t>Neither cash and cash equivalents or restricted cash include these balances on the basis that they are held on trust for customers and do not belong to and are not at the disposal of the Group.</w:t>
      </w:r>
    </w:p>
    <w:p w14:paraId="5CAE63F8" w14:textId="77777777" w:rsidR="00794AFD" w:rsidRPr="001C5950" w:rsidRDefault="00794AFD" w:rsidP="00794AFD">
      <w:pPr>
        <w:widowControl/>
        <w:autoSpaceDE/>
        <w:autoSpaceDN/>
        <w:adjustRightInd/>
        <w:rPr>
          <w:rFonts w:asciiTheme="minorHAnsi" w:hAnsiTheme="minorHAnsi" w:cs="Times New Roman"/>
          <w:b/>
          <w:bCs/>
          <w:sz w:val="20"/>
          <w:szCs w:val="20"/>
        </w:rPr>
      </w:pPr>
      <w:r w:rsidRPr="001C5950">
        <w:rPr>
          <w:rFonts w:asciiTheme="minorHAnsi" w:hAnsiTheme="minorHAnsi" w:cs="Times New Roman"/>
          <w:b/>
          <w:bCs/>
          <w:sz w:val="20"/>
          <w:szCs w:val="20"/>
        </w:rPr>
        <w:br w:type="page"/>
      </w:r>
    </w:p>
    <w:p w14:paraId="293E0041" w14:textId="77777777" w:rsidR="00794AFD" w:rsidRPr="001C5950" w:rsidRDefault="00794AFD" w:rsidP="00794AFD">
      <w:pPr>
        <w:jc w:val="both"/>
        <w:rPr>
          <w:rFonts w:asciiTheme="minorHAnsi" w:hAnsiTheme="minorHAnsi" w:cs="Times New Roman"/>
          <w:sz w:val="20"/>
          <w:szCs w:val="20"/>
        </w:rPr>
      </w:pPr>
      <w:r w:rsidRPr="001C5950">
        <w:rPr>
          <w:rFonts w:asciiTheme="minorHAnsi" w:hAnsiTheme="minorHAnsi" w:cs="Times New Roman"/>
          <w:b/>
          <w:bCs/>
          <w:sz w:val="20"/>
          <w:szCs w:val="20"/>
        </w:rPr>
        <w:lastRenderedPageBreak/>
        <w:t>1</w:t>
      </w:r>
      <w:r>
        <w:rPr>
          <w:rFonts w:asciiTheme="minorHAnsi" w:hAnsiTheme="minorHAnsi" w:cs="Times New Roman"/>
          <w:b/>
          <w:bCs/>
          <w:sz w:val="20"/>
          <w:szCs w:val="20"/>
        </w:rPr>
        <w:t>1</w:t>
      </w:r>
      <w:r w:rsidRPr="001C5950">
        <w:rPr>
          <w:rFonts w:asciiTheme="minorHAnsi" w:hAnsiTheme="minorHAnsi" w:cs="Times New Roman"/>
          <w:b/>
          <w:bCs/>
          <w:sz w:val="20"/>
          <w:szCs w:val="20"/>
        </w:rPr>
        <w:t>.  Share capital and reserves</w:t>
      </w:r>
    </w:p>
    <w:p w14:paraId="4A9C8B50" w14:textId="77777777" w:rsidR="00794AFD" w:rsidRPr="00FC3D06" w:rsidRDefault="00794AFD" w:rsidP="00794AFD">
      <w:pPr>
        <w:rPr>
          <w:rFonts w:asciiTheme="minorHAnsi" w:hAnsiTheme="minorHAnsi" w:cs="Times New Roman"/>
          <w:sz w:val="20"/>
          <w:szCs w:val="20"/>
        </w:rPr>
      </w:pPr>
    </w:p>
    <w:p w14:paraId="729963C3"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cs="Times New Roman"/>
          <w:sz w:val="20"/>
          <w:szCs w:val="20"/>
        </w:rPr>
        <w:t>The total authorised share capital of the Company comprises 150,000,000 ordinary shares of €0.09 each (</w:t>
      </w:r>
      <w:r>
        <w:rPr>
          <w:rFonts w:asciiTheme="minorHAnsi" w:hAnsiTheme="minorHAnsi" w:cs="Times New Roman"/>
          <w:sz w:val="20"/>
          <w:szCs w:val="20"/>
        </w:rPr>
        <w:t>2018</w:t>
      </w:r>
      <w:r w:rsidRPr="001C5950">
        <w:rPr>
          <w:rFonts w:asciiTheme="minorHAnsi" w:hAnsiTheme="minorHAnsi" w:cs="Times New Roman"/>
          <w:sz w:val="20"/>
          <w:szCs w:val="20"/>
        </w:rPr>
        <w:t>: 150,000,000 ordinary shares of €0.09 each).  All issued share capital is fully paid.  The holders of ordinary shares are entitled to vote at general meetings of the Company on a one vote per share held basis.  Ordinary shareholders are also entitled to receive dividends as may be declared by the Company from time to time.</w:t>
      </w:r>
    </w:p>
    <w:p w14:paraId="019518AB" w14:textId="77777777" w:rsidR="00794AFD" w:rsidRPr="001C5950" w:rsidRDefault="00794AFD" w:rsidP="00794AFD">
      <w:pPr>
        <w:rPr>
          <w:rFonts w:asciiTheme="minorHAnsi" w:hAnsiTheme="minorHAnsi" w:cs="Times New Roman"/>
          <w:sz w:val="20"/>
          <w:szCs w:val="20"/>
        </w:rPr>
      </w:pPr>
    </w:p>
    <w:p w14:paraId="4FE01018" w14:textId="77777777" w:rsidR="00794AFD" w:rsidRPr="00FC3D06" w:rsidRDefault="00794AFD" w:rsidP="00794AFD">
      <w:pPr>
        <w:rPr>
          <w:rFonts w:asciiTheme="minorHAnsi" w:hAnsiTheme="minorHAnsi"/>
          <w:sz w:val="20"/>
          <w:szCs w:val="20"/>
          <w:lang w:val="en-IE"/>
        </w:rPr>
      </w:pPr>
      <w:r w:rsidRPr="001C5950">
        <w:rPr>
          <w:rFonts w:asciiTheme="minorHAnsi" w:hAnsiTheme="minorHAnsi"/>
          <w:sz w:val="20"/>
          <w:szCs w:val="20"/>
          <w:lang w:val="en-IE"/>
        </w:rPr>
        <w:t>The movement in the number of issued ordinary shares during the year was as follows:</w:t>
      </w:r>
    </w:p>
    <w:p w14:paraId="61D6367E" w14:textId="77777777" w:rsidR="00794AFD" w:rsidRPr="00FC3D06" w:rsidRDefault="00794AFD" w:rsidP="00794AFD">
      <w:pPr>
        <w:rPr>
          <w:rFonts w:asciiTheme="minorHAnsi" w:hAnsiTheme="minorHAnsi" w:cs="Times New Roman"/>
          <w:sz w:val="20"/>
          <w:szCs w:val="20"/>
        </w:rPr>
      </w:pPr>
    </w:p>
    <w:p w14:paraId="71F579E7" w14:textId="77777777" w:rsidR="00794AFD" w:rsidRPr="00FC3D06" w:rsidRDefault="00794AFD" w:rsidP="00794AFD">
      <w:pPr>
        <w:rPr>
          <w:rFonts w:asciiTheme="minorHAnsi" w:hAnsiTheme="minorHAnsi"/>
          <w:sz w:val="20"/>
        </w:rPr>
      </w:pPr>
      <w:bookmarkStart w:id="43" w:name="_Hlk1583855"/>
      <w:bookmarkStart w:id="44" w:name="_Hlk1583892"/>
      <w:bookmarkStart w:id="45" w:name="_Hlk2099043"/>
      <w:r w:rsidRPr="001C5950">
        <w:rPr>
          <w:rFonts w:asciiTheme="minorHAnsi" w:hAnsiTheme="minorHAnsi"/>
          <w:sz w:val="20"/>
          <w:lang w:val="en-IE"/>
        </w:rPr>
        <w:t xml:space="preserve">During the year ended 31 </w:t>
      </w:r>
      <w:r w:rsidRPr="00D913EE">
        <w:rPr>
          <w:rFonts w:asciiTheme="minorHAnsi" w:hAnsiTheme="minorHAnsi"/>
          <w:sz w:val="20"/>
          <w:lang w:val="en-IE"/>
        </w:rPr>
        <w:t>December 2019</w:t>
      </w:r>
      <w:r w:rsidRPr="00070ED0">
        <w:rPr>
          <w:rFonts w:asciiTheme="minorHAnsi" w:hAnsiTheme="minorHAnsi"/>
          <w:sz w:val="20"/>
          <w:lang w:val="en-IE"/>
        </w:rPr>
        <w:t>,</w:t>
      </w:r>
      <w:r w:rsidRPr="00070ED0">
        <w:rPr>
          <w:rFonts w:asciiTheme="minorHAnsi" w:hAnsiTheme="minorHAnsi"/>
          <w:sz w:val="20"/>
        </w:rPr>
        <w:t xml:space="preserve"> 279,096</w:t>
      </w:r>
      <w:r w:rsidRPr="00D913EE">
        <w:rPr>
          <w:rFonts w:asciiTheme="minorHAnsi" w:hAnsiTheme="minorHAnsi"/>
          <w:sz w:val="20"/>
        </w:rPr>
        <w:t xml:space="preserve"> ordinary shares (2018: 474,236) were issued as a result of the exercise of share options under employee share schemes, giving rise to a share premium of </w:t>
      </w:r>
      <w:r w:rsidRPr="00070ED0">
        <w:rPr>
          <w:rFonts w:asciiTheme="minorHAnsi" w:hAnsiTheme="minorHAnsi"/>
          <w:sz w:val="20"/>
        </w:rPr>
        <w:t>£3.6m</w:t>
      </w:r>
      <w:r w:rsidRPr="00D913EE">
        <w:rPr>
          <w:rFonts w:asciiTheme="minorHAnsi" w:hAnsiTheme="minorHAnsi"/>
          <w:sz w:val="20"/>
        </w:rPr>
        <w:t xml:space="preserve"> (2018:</w:t>
      </w:r>
      <w:r w:rsidRPr="001C5950">
        <w:rPr>
          <w:rFonts w:asciiTheme="minorHAnsi" w:hAnsiTheme="minorHAnsi"/>
          <w:sz w:val="20"/>
        </w:rPr>
        <w:t xml:space="preserve"> £</w:t>
      </w:r>
      <w:r>
        <w:rPr>
          <w:rFonts w:asciiTheme="minorHAnsi" w:hAnsiTheme="minorHAnsi"/>
          <w:sz w:val="20"/>
        </w:rPr>
        <w:t>2</w:t>
      </w:r>
      <w:r w:rsidRPr="001C5950">
        <w:rPr>
          <w:rFonts w:asciiTheme="minorHAnsi" w:hAnsiTheme="minorHAnsi"/>
          <w:sz w:val="20"/>
        </w:rPr>
        <w:t>.</w:t>
      </w:r>
      <w:r>
        <w:rPr>
          <w:rFonts w:asciiTheme="minorHAnsi" w:hAnsiTheme="minorHAnsi"/>
          <w:sz w:val="20"/>
        </w:rPr>
        <w:t>3</w:t>
      </w:r>
      <w:r w:rsidRPr="001C5950">
        <w:rPr>
          <w:rFonts w:asciiTheme="minorHAnsi" w:hAnsiTheme="minorHAnsi"/>
          <w:sz w:val="20"/>
        </w:rPr>
        <w:t xml:space="preserve">m).  </w:t>
      </w:r>
    </w:p>
    <w:bookmarkEnd w:id="43"/>
    <w:p w14:paraId="715295F7" w14:textId="77777777" w:rsidR="00794AFD" w:rsidRPr="00FC3D06" w:rsidRDefault="00794AFD" w:rsidP="00794AFD">
      <w:pPr>
        <w:rPr>
          <w:rFonts w:asciiTheme="minorHAnsi" w:hAnsiTheme="minorHAnsi"/>
          <w:sz w:val="20"/>
          <w:szCs w:val="20"/>
          <w:lang w:val="en-IE"/>
        </w:rPr>
      </w:pPr>
    </w:p>
    <w:bookmarkEnd w:id="44"/>
    <w:p w14:paraId="08501919" w14:textId="77777777" w:rsidR="00794AFD" w:rsidRPr="00014231" w:rsidRDefault="00794AFD" w:rsidP="00794AFD">
      <w:pPr>
        <w:pStyle w:val="io"/>
        <w:rPr>
          <w:rFonts w:asciiTheme="minorHAnsi" w:hAnsiTheme="minorHAnsi" w:cstheme="minorHAnsi"/>
          <w:sz w:val="20"/>
          <w:szCs w:val="20"/>
        </w:rPr>
      </w:pPr>
      <w:r>
        <w:rPr>
          <w:rStyle w:val="ix"/>
          <w:rFonts w:asciiTheme="minorHAnsi" w:hAnsiTheme="minorHAnsi" w:cstheme="minorHAnsi"/>
          <w:sz w:val="20"/>
          <w:szCs w:val="20"/>
        </w:rPr>
        <w:t>The</w:t>
      </w:r>
      <w:r w:rsidRPr="008C1D37">
        <w:rPr>
          <w:rStyle w:val="ix"/>
          <w:rFonts w:asciiTheme="minorHAnsi" w:hAnsiTheme="minorHAnsi" w:cstheme="minorHAnsi"/>
          <w:sz w:val="20"/>
          <w:szCs w:val="20"/>
        </w:rPr>
        <w:t xml:space="preserve"> £500m share buyback programme, which commenced on 29 May 2018 completed in February 2019. Under this programme, the Company repurchased for cancellation 6,993,308 ordinary shares for a total consideration of approximately £500m. </w:t>
      </w:r>
      <w:r w:rsidRPr="008C1D37">
        <w:rPr>
          <w:rFonts w:asciiTheme="minorHAnsi" w:hAnsiTheme="minorHAnsi"/>
          <w:sz w:val="20"/>
        </w:rPr>
        <w:t xml:space="preserve">This consisted of a £200m share buyback programme announced on 29 May 2018 which was completed in August 2018 and in August 2018, the Group commenced a second buyback programme of £300m which was ongoing at 31 December 2018. Overall in 2018 cash payments of £413.7m had been made in respect of the repurchases and a further £1.3m for other transaction related costs were made. </w:t>
      </w:r>
      <w:r w:rsidRPr="008C1D37">
        <w:rPr>
          <w:rFonts w:asciiTheme="minorHAnsi" w:hAnsiTheme="minorHAnsi" w:cstheme="minorHAnsi"/>
          <w:sz w:val="20"/>
          <w:szCs w:val="20"/>
        </w:rPr>
        <w:t xml:space="preserve">Between 31 December 2018 and 6 February 2019 further payments of £86.4m in respect of share purchases and £0.4m </w:t>
      </w:r>
      <w:r w:rsidRPr="008C1D37">
        <w:rPr>
          <w:rFonts w:asciiTheme="minorHAnsi" w:hAnsiTheme="minorHAnsi"/>
          <w:sz w:val="20"/>
        </w:rPr>
        <w:t>for other transaction related costs were made</w:t>
      </w:r>
      <w:r w:rsidRPr="008C1D37">
        <w:rPr>
          <w:rFonts w:asciiTheme="minorHAnsi" w:hAnsiTheme="minorHAnsi" w:cstheme="minorHAnsi"/>
          <w:sz w:val="20"/>
          <w:szCs w:val="20"/>
        </w:rPr>
        <w:t>.</w:t>
      </w:r>
      <w:r>
        <w:rPr>
          <w:rFonts w:asciiTheme="minorHAnsi" w:hAnsiTheme="minorHAnsi" w:cstheme="minorHAnsi"/>
          <w:sz w:val="20"/>
          <w:szCs w:val="20"/>
        </w:rPr>
        <w:t xml:space="preserve"> </w:t>
      </w:r>
      <w:r w:rsidRPr="00BC72A7">
        <w:rPr>
          <w:rFonts w:asciiTheme="minorHAnsi" w:hAnsiTheme="minorHAnsi"/>
          <w:sz w:val="20"/>
        </w:rPr>
        <w:t>The nominal val</w:t>
      </w:r>
      <w:r>
        <w:rPr>
          <w:rFonts w:asciiTheme="minorHAnsi" w:hAnsiTheme="minorHAnsi"/>
          <w:sz w:val="20"/>
        </w:rPr>
        <w:t>ue of the shares cancelled during the year ending</w:t>
      </w:r>
      <w:r w:rsidRPr="00BC72A7">
        <w:rPr>
          <w:rFonts w:asciiTheme="minorHAnsi" w:hAnsiTheme="minorHAnsi"/>
          <w:sz w:val="20"/>
        </w:rPr>
        <w:t xml:space="preserve"> 3</w:t>
      </w:r>
      <w:r>
        <w:rPr>
          <w:rFonts w:asciiTheme="minorHAnsi" w:hAnsiTheme="minorHAnsi"/>
          <w:sz w:val="20"/>
        </w:rPr>
        <w:t>1</w:t>
      </w:r>
      <w:r w:rsidRPr="00BC72A7">
        <w:rPr>
          <w:rFonts w:asciiTheme="minorHAnsi" w:hAnsiTheme="minorHAnsi"/>
          <w:sz w:val="20"/>
        </w:rPr>
        <w:t xml:space="preserve"> </w:t>
      </w:r>
      <w:r>
        <w:rPr>
          <w:rFonts w:asciiTheme="minorHAnsi" w:hAnsiTheme="minorHAnsi"/>
          <w:sz w:val="20"/>
        </w:rPr>
        <w:t>December</w:t>
      </w:r>
      <w:r w:rsidRPr="00BC72A7">
        <w:rPr>
          <w:rFonts w:asciiTheme="minorHAnsi" w:hAnsiTheme="minorHAnsi"/>
          <w:sz w:val="20"/>
        </w:rPr>
        <w:t xml:space="preserve"> 2019 was £0.1m.</w:t>
      </w:r>
    </w:p>
    <w:p w14:paraId="03DF8B02" w14:textId="77777777" w:rsidR="00794AFD" w:rsidRPr="00FC3D06" w:rsidRDefault="00794AFD" w:rsidP="00794AFD">
      <w:pPr>
        <w:rPr>
          <w:rFonts w:asciiTheme="minorHAnsi" w:hAnsiTheme="minorHAnsi"/>
          <w:sz w:val="20"/>
          <w:szCs w:val="20"/>
          <w:lang w:val="en-IE"/>
        </w:rPr>
      </w:pPr>
    </w:p>
    <w:p w14:paraId="31E484AC"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sz w:val="20"/>
          <w:szCs w:val="20"/>
          <w:lang w:val="en-IE"/>
        </w:rPr>
        <w:t xml:space="preserve">A total of 1,965,600 ordinary shares were held in treasury as of 31 December </w:t>
      </w:r>
      <w:r>
        <w:rPr>
          <w:rFonts w:asciiTheme="minorHAnsi" w:hAnsiTheme="minorHAnsi"/>
          <w:sz w:val="20"/>
          <w:szCs w:val="20"/>
          <w:lang w:val="en-IE"/>
        </w:rPr>
        <w:t>2019</w:t>
      </w:r>
      <w:r w:rsidRPr="001C5950">
        <w:rPr>
          <w:rFonts w:asciiTheme="minorHAnsi" w:hAnsiTheme="minorHAnsi"/>
          <w:sz w:val="20"/>
          <w:szCs w:val="20"/>
          <w:lang w:val="en-IE"/>
        </w:rPr>
        <w:t xml:space="preserve"> (</w:t>
      </w:r>
      <w:r>
        <w:rPr>
          <w:rFonts w:asciiTheme="minorHAnsi" w:hAnsiTheme="minorHAnsi"/>
          <w:sz w:val="20"/>
          <w:szCs w:val="20"/>
          <w:lang w:val="en-IE"/>
        </w:rPr>
        <w:t>2018</w:t>
      </w:r>
      <w:r w:rsidRPr="001C5950">
        <w:rPr>
          <w:rFonts w:asciiTheme="minorHAnsi" w:hAnsiTheme="minorHAnsi"/>
          <w:sz w:val="20"/>
          <w:szCs w:val="20"/>
          <w:lang w:val="en-IE"/>
        </w:rPr>
        <w:t xml:space="preserve">: 1,965,600).  All rights (including voting rights and the right to receive dividends) in the shares held in treasury are suspended until such time as the shares are </w:t>
      </w:r>
      <w:r w:rsidRPr="00BC1BAF">
        <w:rPr>
          <w:rFonts w:asciiTheme="minorHAnsi" w:hAnsiTheme="minorHAnsi"/>
          <w:sz w:val="20"/>
          <w:szCs w:val="20"/>
          <w:lang w:val="en-IE"/>
        </w:rPr>
        <w:t xml:space="preserve">reissued.  The Group’s distributable reserves are restricted by the value of the treasury shares, which amounted to </w:t>
      </w:r>
      <w:r w:rsidRPr="00070ED0">
        <w:rPr>
          <w:rFonts w:asciiTheme="minorHAnsi" w:hAnsiTheme="minorHAnsi"/>
          <w:sz w:val="20"/>
          <w:szCs w:val="20"/>
          <w:lang w:val="en-IE"/>
        </w:rPr>
        <w:t>£40.7m</w:t>
      </w:r>
      <w:r w:rsidRPr="00BC1BAF">
        <w:rPr>
          <w:rFonts w:asciiTheme="minorHAnsi" w:hAnsiTheme="minorHAnsi"/>
          <w:sz w:val="20"/>
          <w:szCs w:val="20"/>
          <w:lang w:val="en-IE"/>
        </w:rPr>
        <w:t xml:space="preserve"> as of 31 December 2019 (2018: £40.7m).</w:t>
      </w:r>
      <w:r w:rsidRPr="00BC1BAF">
        <w:rPr>
          <w:rFonts w:asciiTheme="minorHAnsi" w:hAnsiTheme="minorHAnsi" w:cs="Times New Roman"/>
          <w:sz w:val="20"/>
          <w:szCs w:val="20"/>
        </w:rPr>
        <w:t xml:space="preserve">  The cost of treasury shares held by the Company at 31 December 2019 was £4.2m (2018: £4.2m), with a further £36.5m of shares being held by the Company’s subsidiaries (2018: £36.5m).</w:t>
      </w:r>
    </w:p>
    <w:p w14:paraId="26C29620" w14:textId="77777777" w:rsidR="00794AFD" w:rsidRPr="00FC3D06" w:rsidRDefault="00794AFD" w:rsidP="00794AFD">
      <w:pPr>
        <w:rPr>
          <w:rFonts w:asciiTheme="minorHAnsi" w:hAnsiTheme="minorHAnsi" w:cs="Times New Roman"/>
          <w:sz w:val="20"/>
          <w:szCs w:val="20"/>
        </w:rPr>
      </w:pPr>
    </w:p>
    <w:p w14:paraId="120602B9" w14:textId="77777777" w:rsidR="00794AFD" w:rsidRPr="00FC3D06" w:rsidRDefault="00794AFD" w:rsidP="00794AFD">
      <w:pPr>
        <w:rPr>
          <w:rFonts w:asciiTheme="minorHAnsi" w:hAnsiTheme="minorHAnsi" w:cs="Times New Roman"/>
          <w:sz w:val="20"/>
          <w:szCs w:val="20"/>
        </w:rPr>
      </w:pPr>
      <w:r w:rsidRPr="00A34DEC">
        <w:rPr>
          <w:rFonts w:asciiTheme="minorHAnsi" w:hAnsiTheme="minorHAnsi" w:cs="Times New Roman"/>
          <w:sz w:val="20"/>
          <w:szCs w:val="20"/>
        </w:rPr>
        <w:t xml:space="preserve">At 31 December 2019, the </w:t>
      </w:r>
      <w:r w:rsidRPr="00070ED0">
        <w:rPr>
          <w:rFonts w:asciiTheme="minorHAnsi" w:hAnsiTheme="minorHAnsi" w:cs="Times New Roman"/>
          <w:sz w:val="20"/>
          <w:szCs w:val="20"/>
        </w:rPr>
        <w:t>Paddy Power Betfair plc Employee Benefit Trust</w:t>
      </w:r>
      <w:r w:rsidRPr="00A34DEC">
        <w:rPr>
          <w:rFonts w:asciiTheme="minorHAnsi" w:hAnsiTheme="minorHAnsi" w:cs="Times New Roman"/>
          <w:sz w:val="20"/>
          <w:szCs w:val="20"/>
        </w:rPr>
        <w:t xml:space="preserve"> (“EBT”) held </w:t>
      </w:r>
      <w:r w:rsidRPr="00070ED0">
        <w:rPr>
          <w:rFonts w:asciiTheme="minorHAnsi" w:hAnsiTheme="minorHAnsi" w:cs="Times New Roman"/>
          <w:sz w:val="20"/>
          <w:szCs w:val="20"/>
        </w:rPr>
        <w:t>70,397</w:t>
      </w:r>
      <w:r w:rsidRPr="00A34DEC">
        <w:rPr>
          <w:rFonts w:asciiTheme="minorHAnsi" w:hAnsiTheme="minorHAnsi" w:cs="Times New Roman"/>
          <w:sz w:val="20"/>
          <w:szCs w:val="20"/>
        </w:rPr>
        <w:t xml:space="preserve"> (2018: 99,741) of the Company’s own shares, which were acquired at a total cost of £</w:t>
      </w:r>
      <w:r w:rsidRPr="00070ED0">
        <w:rPr>
          <w:rFonts w:asciiTheme="minorHAnsi" w:hAnsiTheme="minorHAnsi" w:cs="Times New Roman"/>
          <w:sz w:val="20"/>
          <w:szCs w:val="20"/>
        </w:rPr>
        <w:t>6.1m</w:t>
      </w:r>
      <w:r w:rsidRPr="00A34DEC">
        <w:rPr>
          <w:rFonts w:asciiTheme="minorHAnsi" w:hAnsiTheme="minorHAnsi" w:cs="Times New Roman"/>
          <w:sz w:val="20"/>
          <w:szCs w:val="20"/>
        </w:rPr>
        <w:t xml:space="preserve"> (2018: £8.6m), in respect of potential future awards relating to the Group’s employee share plans.  The Company’s distributable reserves at 31 December 2019 are restricted by this cost amount.  In 2019, </w:t>
      </w:r>
      <w:r w:rsidRPr="00070ED0">
        <w:rPr>
          <w:rFonts w:asciiTheme="minorHAnsi" w:hAnsiTheme="minorHAnsi" w:cs="Times New Roman"/>
          <w:sz w:val="20"/>
          <w:szCs w:val="20"/>
        </w:rPr>
        <w:t>2</w:t>
      </w:r>
      <w:r>
        <w:rPr>
          <w:rFonts w:asciiTheme="minorHAnsi" w:hAnsiTheme="minorHAnsi" w:cs="Times New Roman"/>
          <w:sz w:val="20"/>
          <w:szCs w:val="20"/>
        </w:rPr>
        <w:t>9</w:t>
      </w:r>
      <w:r w:rsidRPr="00070ED0">
        <w:rPr>
          <w:rFonts w:asciiTheme="minorHAnsi" w:hAnsiTheme="minorHAnsi" w:cs="Times New Roman"/>
          <w:sz w:val="20"/>
          <w:szCs w:val="20"/>
        </w:rPr>
        <w:t>,</w:t>
      </w:r>
      <w:r>
        <w:rPr>
          <w:rFonts w:asciiTheme="minorHAnsi" w:hAnsiTheme="minorHAnsi" w:cs="Times New Roman"/>
          <w:sz w:val="20"/>
          <w:szCs w:val="20"/>
        </w:rPr>
        <w:t>3</w:t>
      </w:r>
      <w:r w:rsidRPr="00070ED0">
        <w:rPr>
          <w:rFonts w:asciiTheme="minorHAnsi" w:hAnsiTheme="minorHAnsi" w:cs="Times New Roman"/>
          <w:sz w:val="20"/>
          <w:szCs w:val="20"/>
        </w:rPr>
        <w:t>44</w:t>
      </w:r>
      <w:r w:rsidRPr="00A34DEC">
        <w:rPr>
          <w:rFonts w:asciiTheme="minorHAnsi" w:hAnsiTheme="minorHAnsi" w:cs="Times New Roman"/>
          <w:sz w:val="20"/>
          <w:szCs w:val="20"/>
        </w:rPr>
        <w:t xml:space="preserve"> shares with an original cost of </w:t>
      </w:r>
      <w:r w:rsidRPr="00070ED0">
        <w:rPr>
          <w:rFonts w:asciiTheme="minorHAnsi" w:hAnsiTheme="minorHAnsi" w:cs="Times New Roman"/>
          <w:sz w:val="20"/>
          <w:szCs w:val="20"/>
        </w:rPr>
        <w:t>£2.5m</w:t>
      </w:r>
      <w:r w:rsidRPr="00A34DEC">
        <w:rPr>
          <w:rFonts w:asciiTheme="minorHAnsi" w:hAnsiTheme="minorHAnsi" w:cs="Times New Roman"/>
          <w:sz w:val="20"/>
          <w:szCs w:val="20"/>
        </w:rPr>
        <w:t xml:space="preserve"> (2018: 101,232 shares with an original cost of £7.0m) were transferred from the EBT to the beneficiaries of the EBT.</w:t>
      </w:r>
    </w:p>
    <w:p w14:paraId="0BA3366C" w14:textId="77777777" w:rsidR="00794AFD" w:rsidRPr="00FC3D06" w:rsidRDefault="00794AFD" w:rsidP="00794AFD">
      <w:pPr>
        <w:rPr>
          <w:rFonts w:asciiTheme="minorHAnsi" w:hAnsiTheme="minorHAnsi" w:cs="Times New Roman"/>
          <w:sz w:val="20"/>
          <w:szCs w:val="20"/>
        </w:rPr>
      </w:pPr>
    </w:p>
    <w:p w14:paraId="0F6B7E17" w14:textId="77777777" w:rsidR="00794AFD" w:rsidRPr="00FC3D06" w:rsidRDefault="00794AFD" w:rsidP="00794AFD">
      <w:pPr>
        <w:rPr>
          <w:rFonts w:asciiTheme="minorHAnsi" w:hAnsiTheme="minorHAnsi" w:cs="Times New Roman"/>
          <w:sz w:val="20"/>
          <w:szCs w:val="20"/>
        </w:rPr>
      </w:pPr>
      <w:r w:rsidRPr="00E37505">
        <w:rPr>
          <w:rFonts w:asciiTheme="minorHAnsi" w:hAnsiTheme="minorHAnsi" w:cs="Times New Roman"/>
          <w:sz w:val="20"/>
          <w:szCs w:val="20"/>
        </w:rPr>
        <w:t>The foreign exchange translation reserve at 31 December 2019 had a debit balance of £</w:t>
      </w:r>
      <w:r w:rsidRPr="000944E4">
        <w:rPr>
          <w:rFonts w:asciiTheme="minorHAnsi" w:hAnsiTheme="minorHAnsi" w:cs="Times New Roman"/>
          <w:sz w:val="20"/>
          <w:szCs w:val="20"/>
        </w:rPr>
        <w:t>21.5m</w:t>
      </w:r>
      <w:r w:rsidRPr="00E37505">
        <w:rPr>
          <w:rFonts w:asciiTheme="minorHAnsi" w:hAnsiTheme="minorHAnsi" w:cs="Times New Roman"/>
          <w:sz w:val="20"/>
          <w:szCs w:val="20"/>
        </w:rPr>
        <w:t xml:space="preserve"> (2018: credit balance of £4.1m) and arose from the retranslation of the Group’s net investment in Euro, AUD, USD and GEL functional currency entities. The movement in the foreign exchange translation reserve for the year ending 31 December 2019 reflects mainly the weakening of USD and GEL against GBP in the year.</w:t>
      </w:r>
    </w:p>
    <w:p w14:paraId="29D0FC51" w14:textId="77777777" w:rsidR="00794AFD" w:rsidRDefault="00794AFD" w:rsidP="00794AFD">
      <w:pPr>
        <w:rPr>
          <w:rFonts w:asciiTheme="minorHAnsi" w:hAnsiTheme="minorHAnsi" w:cs="Times New Roman"/>
          <w:sz w:val="20"/>
          <w:szCs w:val="20"/>
        </w:rPr>
      </w:pPr>
    </w:p>
    <w:p w14:paraId="516C7F99" w14:textId="77777777" w:rsidR="00794AFD" w:rsidRPr="00070ED0" w:rsidRDefault="00794AFD" w:rsidP="00794AFD">
      <w:pPr>
        <w:rPr>
          <w:rFonts w:asciiTheme="minorHAnsi" w:hAnsiTheme="minorHAnsi" w:cstheme="minorHAnsi"/>
          <w:sz w:val="20"/>
          <w:szCs w:val="20"/>
        </w:rPr>
      </w:pPr>
      <w:r>
        <w:rPr>
          <w:rFonts w:asciiTheme="minorHAnsi" w:hAnsiTheme="minorHAnsi" w:cstheme="minorHAnsi"/>
          <w:sz w:val="20"/>
          <w:szCs w:val="20"/>
        </w:rPr>
        <w:t xml:space="preserve">The cash flow hedge reserve represents the effective portion of the cumulative net change in the fair value of cash flow hedging instruments related to hedged transactions that had not yet occurred at that date. </w:t>
      </w:r>
      <w:r w:rsidRPr="00070ED0">
        <w:rPr>
          <w:rFonts w:asciiTheme="minorHAnsi" w:hAnsiTheme="minorHAnsi" w:cstheme="minorHAnsi"/>
          <w:sz w:val="20"/>
          <w:szCs w:val="20"/>
        </w:rPr>
        <w:t xml:space="preserve">Following the introduction of IFRS 16, the Group has designated the Euro lease liability in its GBP functional currency companies as a hedging instrument in a hedge of its highly probable future Euro revenues. </w:t>
      </w:r>
      <w:r>
        <w:rPr>
          <w:rFonts w:asciiTheme="minorHAnsi" w:hAnsiTheme="minorHAnsi" w:cstheme="minorHAnsi"/>
          <w:sz w:val="20"/>
          <w:szCs w:val="20"/>
        </w:rPr>
        <w:t xml:space="preserve">The fair value gain of £2.3m at 31 December 2019 (31 December 2018: nil) arises as the applicable EUR - GBP forward exchange </w:t>
      </w:r>
      <w:r w:rsidRPr="00A217BF">
        <w:rPr>
          <w:rFonts w:asciiTheme="minorHAnsi" w:hAnsiTheme="minorHAnsi" w:cstheme="minorHAnsi"/>
          <w:sz w:val="20"/>
          <w:szCs w:val="20"/>
        </w:rPr>
        <w:t xml:space="preserve">rates </w:t>
      </w:r>
      <w:r w:rsidRPr="000944E4">
        <w:rPr>
          <w:rFonts w:asciiTheme="minorHAnsi" w:hAnsiTheme="minorHAnsi" w:cstheme="minorHAnsi"/>
          <w:sz w:val="20"/>
          <w:szCs w:val="20"/>
        </w:rPr>
        <w:t>were favourable relative to the position at the start of the year.</w:t>
      </w:r>
      <w:r>
        <w:rPr>
          <w:rFonts w:asciiTheme="minorHAnsi" w:hAnsiTheme="minorHAnsi" w:cstheme="minorHAnsi"/>
          <w:sz w:val="20"/>
          <w:szCs w:val="20"/>
        </w:rPr>
        <w:t xml:space="preserve"> </w:t>
      </w:r>
    </w:p>
    <w:p w14:paraId="4A67F80F" w14:textId="77777777" w:rsidR="00794AFD" w:rsidRPr="00FC3D06" w:rsidRDefault="00794AFD" w:rsidP="00794AFD">
      <w:pPr>
        <w:rPr>
          <w:rFonts w:asciiTheme="minorHAnsi" w:hAnsiTheme="minorHAnsi" w:cs="Times New Roman"/>
          <w:sz w:val="20"/>
          <w:szCs w:val="20"/>
        </w:rPr>
      </w:pPr>
    </w:p>
    <w:p w14:paraId="11A42B5F" w14:textId="77777777" w:rsidR="00794AFD" w:rsidRPr="001C5950" w:rsidRDefault="00794AFD" w:rsidP="00794AFD">
      <w:pPr>
        <w:rPr>
          <w:rFonts w:asciiTheme="minorHAnsi" w:hAnsiTheme="minorHAnsi" w:cs="Times New Roman"/>
          <w:sz w:val="20"/>
          <w:szCs w:val="20"/>
        </w:rPr>
      </w:pPr>
      <w:r w:rsidRPr="00E37505">
        <w:rPr>
          <w:rFonts w:asciiTheme="minorHAnsi" w:hAnsiTheme="minorHAnsi"/>
          <w:sz w:val="20"/>
          <w:lang w:val="en-IE"/>
        </w:rPr>
        <w:t xml:space="preserve">Other reserves comprise </w:t>
      </w:r>
      <w:proofErr w:type="spellStart"/>
      <w:r w:rsidRPr="00E37505">
        <w:rPr>
          <w:rFonts w:asciiTheme="minorHAnsi" w:hAnsiTheme="minorHAnsi"/>
          <w:sz w:val="20"/>
          <w:lang w:val="en-IE"/>
        </w:rPr>
        <w:t>undenominated</w:t>
      </w:r>
      <w:proofErr w:type="spellEnd"/>
      <w:r w:rsidRPr="00E37505">
        <w:rPr>
          <w:rFonts w:asciiTheme="minorHAnsi" w:hAnsiTheme="minorHAnsi"/>
          <w:sz w:val="20"/>
          <w:lang w:val="en-IE"/>
        </w:rPr>
        <w:t xml:space="preserve"> capital. </w:t>
      </w:r>
      <w:proofErr w:type="spellStart"/>
      <w:r w:rsidRPr="00E37505">
        <w:rPr>
          <w:rFonts w:asciiTheme="minorHAnsi" w:hAnsiTheme="minorHAnsi" w:cs="Times New Roman"/>
          <w:sz w:val="20"/>
          <w:szCs w:val="20"/>
        </w:rPr>
        <w:t>Undenominated</w:t>
      </w:r>
      <w:proofErr w:type="spellEnd"/>
      <w:r w:rsidRPr="00E37505">
        <w:rPr>
          <w:rFonts w:asciiTheme="minorHAnsi" w:hAnsiTheme="minorHAnsi" w:cs="Times New Roman"/>
          <w:sz w:val="20"/>
          <w:szCs w:val="20"/>
        </w:rPr>
        <w:t xml:space="preserve"> capital at 31 December 2019 of </w:t>
      </w:r>
      <w:r w:rsidRPr="000944E4">
        <w:rPr>
          <w:rFonts w:asciiTheme="minorHAnsi" w:hAnsiTheme="minorHAnsi" w:cs="Times New Roman"/>
          <w:sz w:val="20"/>
          <w:szCs w:val="20"/>
        </w:rPr>
        <w:t>£2.3m</w:t>
      </w:r>
      <w:r w:rsidRPr="00E37505">
        <w:rPr>
          <w:rFonts w:asciiTheme="minorHAnsi" w:hAnsiTheme="minorHAnsi" w:cs="Times New Roman"/>
          <w:sz w:val="20"/>
          <w:szCs w:val="20"/>
        </w:rPr>
        <w:t xml:space="preserve"> (2018: £2.2m) relates to the nominal value of shares in the Company acquired by the Company of </w:t>
      </w:r>
      <w:r w:rsidRPr="000944E4">
        <w:rPr>
          <w:rFonts w:asciiTheme="minorHAnsi" w:hAnsiTheme="minorHAnsi" w:cs="Times New Roman"/>
          <w:sz w:val="20"/>
          <w:szCs w:val="20"/>
        </w:rPr>
        <w:t>£2.1m</w:t>
      </w:r>
      <w:r w:rsidRPr="00E37505">
        <w:rPr>
          <w:rFonts w:asciiTheme="minorHAnsi" w:hAnsiTheme="minorHAnsi" w:cs="Times New Roman"/>
          <w:sz w:val="20"/>
          <w:szCs w:val="20"/>
        </w:rPr>
        <w:t xml:space="preserve"> (2018: £2.0m) and subsequently cancelled and an amount of £0.2m (2018: £0.2m) which arose on the redenomination of the ordinary share capital of the Company at the time of conversion from Irish pounds to Euro.</w:t>
      </w:r>
      <w:r w:rsidRPr="001C5950">
        <w:rPr>
          <w:rFonts w:asciiTheme="minorHAnsi" w:hAnsiTheme="minorHAnsi" w:cs="Times New Roman"/>
          <w:sz w:val="20"/>
          <w:szCs w:val="20"/>
        </w:rPr>
        <w:t xml:space="preserve"> </w:t>
      </w:r>
    </w:p>
    <w:p w14:paraId="62209FC5" w14:textId="77777777" w:rsidR="00794AFD" w:rsidRPr="00FC3D06" w:rsidRDefault="00794AFD" w:rsidP="00794AFD">
      <w:pPr>
        <w:rPr>
          <w:rFonts w:asciiTheme="minorHAnsi" w:hAnsiTheme="minorHAnsi" w:cs="Times New Roman"/>
          <w:bCs/>
          <w:sz w:val="20"/>
          <w:szCs w:val="20"/>
        </w:rPr>
      </w:pPr>
    </w:p>
    <w:p w14:paraId="189E349E" w14:textId="77777777" w:rsidR="00794AFD" w:rsidRPr="00FC3D06" w:rsidRDefault="00794AFD" w:rsidP="00794AFD">
      <w:pPr>
        <w:rPr>
          <w:rFonts w:asciiTheme="minorHAnsi" w:hAnsiTheme="minorHAnsi" w:cs="Times New Roman"/>
          <w:bCs/>
          <w:sz w:val="20"/>
          <w:szCs w:val="20"/>
        </w:rPr>
      </w:pPr>
      <w:r w:rsidRPr="00E37505">
        <w:rPr>
          <w:rFonts w:asciiTheme="minorHAnsi" w:hAnsiTheme="minorHAnsi" w:cs="Times New Roman"/>
          <w:bCs/>
          <w:sz w:val="20"/>
          <w:szCs w:val="20"/>
        </w:rPr>
        <w:t xml:space="preserve">In 2019, an amount of </w:t>
      </w:r>
      <w:r w:rsidRPr="000944E4">
        <w:rPr>
          <w:rFonts w:asciiTheme="minorHAnsi" w:hAnsiTheme="minorHAnsi" w:cs="Times New Roman"/>
          <w:bCs/>
          <w:sz w:val="20"/>
          <w:szCs w:val="20"/>
        </w:rPr>
        <w:t>£20.3</w:t>
      </w:r>
      <w:r w:rsidRPr="00E37505">
        <w:rPr>
          <w:rFonts w:asciiTheme="minorHAnsi" w:hAnsiTheme="minorHAnsi" w:cs="Times New Roman"/>
          <w:bCs/>
          <w:sz w:val="20"/>
          <w:szCs w:val="20"/>
        </w:rPr>
        <w:t>m (2018: £40.5m) in respect of share options exercised during the year was transferred from the share-based payment reserve to retained earnings.  An amount of £</w:t>
      </w:r>
      <w:r w:rsidRPr="000944E4">
        <w:rPr>
          <w:rFonts w:asciiTheme="minorHAnsi" w:hAnsiTheme="minorHAnsi" w:cs="Times New Roman"/>
          <w:bCs/>
          <w:sz w:val="20"/>
          <w:szCs w:val="20"/>
        </w:rPr>
        <w:t>1.1m</w:t>
      </w:r>
      <w:r w:rsidRPr="00E37505">
        <w:rPr>
          <w:rFonts w:asciiTheme="minorHAnsi" w:hAnsiTheme="minorHAnsi" w:cs="Times New Roman"/>
          <w:bCs/>
          <w:sz w:val="20"/>
          <w:szCs w:val="20"/>
        </w:rPr>
        <w:t xml:space="preserve"> of deferred tax relating</w:t>
      </w:r>
      <w:r>
        <w:rPr>
          <w:rFonts w:asciiTheme="minorHAnsi" w:hAnsiTheme="minorHAnsi" w:cs="Times New Roman"/>
          <w:bCs/>
          <w:sz w:val="20"/>
          <w:szCs w:val="20"/>
        </w:rPr>
        <w:t xml:space="preserve"> primarily</w:t>
      </w:r>
      <w:r w:rsidRPr="00E37505">
        <w:rPr>
          <w:rFonts w:asciiTheme="minorHAnsi" w:hAnsiTheme="minorHAnsi" w:cs="Times New Roman"/>
          <w:bCs/>
          <w:sz w:val="20"/>
          <w:szCs w:val="20"/>
        </w:rPr>
        <w:t xml:space="preserve"> to the Group’s share-based payments was </w:t>
      </w:r>
      <w:r w:rsidRPr="000944E4">
        <w:rPr>
          <w:rFonts w:asciiTheme="minorHAnsi" w:hAnsiTheme="minorHAnsi" w:cs="Times New Roman"/>
          <w:bCs/>
          <w:sz w:val="20"/>
          <w:szCs w:val="20"/>
        </w:rPr>
        <w:t>credited</w:t>
      </w:r>
      <w:r w:rsidRPr="00E37505">
        <w:rPr>
          <w:rFonts w:asciiTheme="minorHAnsi" w:hAnsiTheme="minorHAnsi" w:cs="Times New Roman"/>
          <w:bCs/>
          <w:sz w:val="20"/>
          <w:szCs w:val="20"/>
        </w:rPr>
        <w:t xml:space="preserve"> to retained earnings in 2019 (2018: charge of £3.6m).  An amount of £</w:t>
      </w:r>
      <w:r w:rsidRPr="000944E4">
        <w:rPr>
          <w:rFonts w:asciiTheme="minorHAnsi" w:hAnsiTheme="minorHAnsi" w:cs="Times New Roman"/>
          <w:bCs/>
          <w:sz w:val="20"/>
          <w:szCs w:val="20"/>
        </w:rPr>
        <w:t>0.4m of current tax relating to the Group’s share-based payments was credited to</w:t>
      </w:r>
      <w:r w:rsidRPr="00E37505">
        <w:rPr>
          <w:rFonts w:asciiTheme="minorHAnsi" w:hAnsiTheme="minorHAnsi" w:cs="Times New Roman"/>
          <w:bCs/>
          <w:sz w:val="20"/>
          <w:szCs w:val="20"/>
        </w:rPr>
        <w:t xml:space="preserve"> retained earnings in 2019 (2018: £2.9m).</w:t>
      </w:r>
    </w:p>
    <w:bookmarkEnd w:id="45"/>
    <w:p w14:paraId="08554208" w14:textId="77777777" w:rsidR="00794AFD" w:rsidRPr="00FC3D06" w:rsidRDefault="00794AFD" w:rsidP="00794AFD">
      <w:pPr>
        <w:rPr>
          <w:rFonts w:asciiTheme="minorHAnsi" w:hAnsiTheme="minorHAnsi" w:cs="Times New Roman"/>
          <w:bCs/>
          <w:sz w:val="20"/>
          <w:szCs w:val="20"/>
        </w:rPr>
      </w:pPr>
    </w:p>
    <w:p w14:paraId="49D2DBF6" w14:textId="77777777" w:rsidR="00794AFD" w:rsidRPr="00FC3D06" w:rsidRDefault="00794AFD" w:rsidP="00794AFD">
      <w:pPr>
        <w:rPr>
          <w:rFonts w:asciiTheme="minorHAnsi" w:hAnsiTheme="minorHAnsi" w:cs="Times New Roman"/>
          <w:bCs/>
          <w:sz w:val="20"/>
          <w:szCs w:val="20"/>
        </w:rPr>
      </w:pPr>
    </w:p>
    <w:p w14:paraId="394D48E8" w14:textId="77777777" w:rsidR="00794AFD" w:rsidRPr="00FC3D06" w:rsidRDefault="00794AFD" w:rsidP="00794AFD">
      <w:pPr>
        <w:widowControl/>
        <w:autoSpaceDE/>
        <w:autoSpaceDN/>
        <w:adjustRightInd/>
        <w:rPr>
          <w:rFonts w:asciiTheme="minorHAnsi" w:hAnsiTheme="minorHAnsi" w:cs="Times New Roman"/>
          <w:bCs/>
          <w:sz w:val="20"/>
          <w:szCs w:val="20"/>
        </w:rPr>
      </w:pPr>
      <w:r w:rsidRPr="00FC3D06">
        <w:rPr>
          <w:rFonts w:asciiTheme="minorHAnsi" w:hAnsiTheme="minorHAnsi" w:cs="Times New Roman"/>
          <w:bCs/>
          <w:sz w:val="20"/>
          <w:szCs w:val="20"/>
        </w:rPr>
        <w:br w:type="page"/>
      </w:r>
    </w:p>
    <w:bookmarkEnd w:id="41"/>
    <w:bookmarkEnd w:id="42"/>
    <w:p w14:paraId="64F2AC45" w14:textId="77777777" w:rsidR="00794AFD" w:rsidRPr="001C5950" w:rsidRDefault="00794AFD" w:rsidP="00794AFD">
      <w:pPr>
        <w:rPr>
          <w:rFonts w:asciiTheme="minorHAnsi" w:hAnsiTheme="minorHAnsi" w:cs="Times New Roman"/>
          <w:b/>
          <w:bCs/>
          <w:sz w:val="20"/>
          <w:szCs w:val="20"/>
        </w:rPr>
      </w:pPr>
      <w:r w:rsidRPr="001C5950">
        <w:rPr>
          <w:rFonts w:asciiTheme="minorHAnsi" w:hAnsiTheme="minorHAnsi" w:cs="Times New Roman"/>
          <w:b/>
          <w:bCs/>
          <w:sz w:val="20"/>
          <w:szCs w:val="20"/>
        </w:rPr>
        <w:lastRenderedPageBreak/>
        <w:t>1</w:t>
      </w:r>
      <w:r>
        <w:rPr>
          <w:rFonts w:asciiTheme="minorHAnsi" w:hAnsiTheme="minorHAnsi" w:cs="Times New Roman"/>
          <w:b/>
          <w:bCs/>
          <w:sz w:val="20"/>
          <w:szCs w:val="20"/>
        </w:rPr>
        <w:t>2</w:t>
      </w:r>
      <w:r w:rsidRPr="001C5950">
        <w:rPr>
          <w:rFonts w:asciiTheme="minorHAnsi" w:hAnsiTheme="minorHAnsi" w:cs="Times New Roman"/>
          <w:b/>
          <w:bCs/>
          <w:sz w:val="20"/>
          <w:szCs w:val="20"/>
        </w:rPr>
        <w:t>.  Dividends paid on ordinary shares</w:t>
      </w:r>
    </w:p>
    <w:p w14:paraId="4CC7B18D" w14:textId="77777777" w:rsidR="00794AFD" w:rsidRPr="00FC3D06" w:rsidRDefault="00794AFD" w:rsidP="00794AFD">
      <w:pPr>
        <w:rPr>
          <w:rFonts w:asciiTheme="minorHAnsi" w:hAnsiTheme="minorHAnsi" w:cs="Times New Roman"/>
          <w:b/>
          <w:bCs/>
          <w:sz w:val="20"/>
          <w:szCs w:val="20"/>
        </w:rPr>
      </w:pPr>
    </w:p>
    <w:tbl>
      <w:tblPr>
        <w:tblpPr w:leftFromText="180" w:rightFromText="180" w:vertAnchor="text" w:horzAnchor="margin" w:tblpX="108" w:tblpY="99"/>
        <w:tblW w:w="9039" w:type="dxa"/>
        <w:tblLayout w:type="fixed"/>
        <w:tblLook w:val="0000" w:firstRow="0" w:lastRow="0" w:firstColumn="0" w:lastColumn="0" w:noHBand="0" w:noVBand="0"/>
      </w:tblPr>
      <w:tblGrid>
        <w:gridCol w:w="6521"/>
        <w:gridCol w:w="1276"/>
        <w:gridCol w:w="1242"/>
      </w:tblGrid>
      <w:tr w:rsidR="00794AFD" w:rsidRPr="001C5950" w14:paraId="4CA9E9F2" w14:textId="77777777" w:rsidTr="00794AFD">
        <w:tc>
          <w:tcPr>
            <w:tcW w:w="6521" w:type="dxa"/>
            <w:tcBorders>
              <w:top w:val="single" w:sz="4" w:space="0" w:color="auto"/>
              <w:left w:val="nil"/>
              <w:bottom w:val="single" w:sz="4" w:space="0" w:color="auto"/>
              <w:right w:val="nil"/>
            </w:tcBorders>
          </w:tcPr>
          <w:p w14:paraId="23F349F0" w14:textId="77777777" w:rsidR="00794AFD" w:rsidRPr="00FC3D06" w:rsidRDefault="00794AFD" w:rsidP="00794AFD">
            <w:pPr>
              <w:jc w:val="both"/>
              <w:rPr>
                <w:rFonts w:asciiTheme="minorHAnsi" w:hAnsiTheme="minorHAnsi" w:cs="Times New Roman"/>
                <w:sz w:val="20"/>
                <w:szCs w:val="20"/>
              </w:rPr>
            </w:pPr>
          </w:p>
        </w:tc>
        <w:tc>
          <w:tcPr>
            <w:tcW w:w="1276" w:type="dxa"/>
            <w:tcBorders>
              <w:top w:val="single" w:sz="4" w:space="0" w:color="auto"/>
              <w:left w:val="nil"/>
              <w:bottom w:val="single" w:sz="4" w:space="0" w:color="auto"/>
              <w:right w:val="nil"/>
            </w:tcBorders>
          </w:tcPr>
          <w:p w14:paraId="47683C40" w14:textId="77777777" w:rsidR="00794AFD" w:rsidRPr="001C5950" w:rsidRDefault="00794AFD" w:rsidP="00794AFD">
            <w:pPr>
              <w:jc w:val="right"/>
              <w:rPr>
                <w:rFonts w:asciiTheme="minorHAnsi" w:hAnsiTheme="minorHAnsi" w:cs="Times New Roman"/>
                <w:b/>
                <w:bCs/>
                <w:sz w:val="20"/>
                <w:szCs w:val="20"/>
              </w:rPr>
            </w:pPr>
          </w:p>
          <w:p w14:paraId="04DC48B5" w14:textId="77777777" w:rsidR="00794AFD" w:rsidRPr="001C595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2019</w:t>
            </w:r>
          </w:p>
          <w:p w14:paraId="11DDF8FC"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£m</w:t>
            </w:r>
          </w:p>
        </w:tc>
        <w:tc>
          <w:tcPr>
            <w:tcW w:w="1242" w:type="dxa"/>
            <w:tcBorders>
              <w:top w:val="single" w:sz="4" w:space="0" w:color="auto"/>
              <w:left w:val="nil"/>
              <w:bottom w:val="single" w:sz="4" w:space="0" w:color="auto"/>
              <w:right w:val="nil"/>
            </w:tcBorders>
          </w:tcPr>
          <w:p w14:paraId="0BA59BFD" w14:textId="77777777" w:rsidR="00794AFD" w:rsidRPr="001C5950" w:rsidRDefault="00794AFD" w:rsidP="00794AFD">
            <w:pPr>
              <w:jc w:val="right"/>
              <w:rPr>
                <w:rFonts w:asciiTheme="minorHAnsi" w:hAnsiTheme="minorHAnsi" w:cs="Times New Roman"/>
                <w:bCs/>
                <w:sz w:val="20"/>
                <w:szCs w:val="20"/>
              </w:rPr>
            </w:pPr>
          </w:p>
          <w:p w14:paraId="6B5DF47A" w14:textId="77777777" w:rsidR="00794AFD" w:rsidRPr="001C5950" w:rsidRDefault="00794AFD" w:rsidP="00794AFD">
            <w:pPr>
              <w:jc w:val="right"/>
              <w:rPr>
                <w:rFonts w:asciiTheme="minorHAnsi" w:hAnsiTheme="minorHAnsi" w:cs="Times New Roman"/>
                <w:bCs/>
                <w:sz w:val="20"/>
                <w:szCs w:val="20"/>
              </w:rPr>
            </w:pPr>
            <w:r>
              <w:rPr>
                <w:rFonts w:asciiTheme="minorHAnsi" w:hAnsiTheme="minorHAnsi" w:cs="Times New Roman"/>
                <w:bCs/>
                <w:sz w:val="20"/>
                <w:szCs w:val="20"/>
              </w:rPr>
              <w:t>2018</w:t>
            </w:r>
          </w:p>
          <w:p w14:paraId="0E78D5AC"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£m</w:t>
            </w:r>
          </w:p>
        </w:tc>
      </w:tr>
      <w:tr w:rsidR="00794AFD" w:rsidRPr="001C5950" w14:paraId="25814D56" w14:textId="77777777" w:rsidTr="00794AFD">
        <w:trPr>
          <w:trHeight w:val="144"/>
        </w:trPr>
        <w:tc>
          <w:tcPr>
            <w:tcW w:w="6521" w:type="dxa"/>
            <w:tcBorders>
              <w:top w:val="single" w:sz="4" w:space="0" w:color="auto"/>
              <w:left w:val="nil"/>
              <w:bottom w:val="nil"/>
              <w:right w:val="nil"/>
            </w:tcBorders>
          </w:tcPr>
          <w:p w14:paraId="2D80C72D" w14:textId="77777777" w:rsidR="00794AFD" w:rsidRPr="00FC3D06" w:rsidRDefault="00794AFD" w:rsidP="00794AFD">
            <w:pPr>
              <w:ind w:left="-90"/>
              <w:rPr>
                <w:rFonts w:asciiTheme="minorHAnsi" w:hAnsiTheme="minorHAnsi" w:cs="Times New Roman"/>
                <w:b/>
                <w:sz w:val="20"/>
                <w:szCs w:val="20"/>
              </w:rPr>
            </w:pPr>
            <w:r w:rsidRPr="001C5950">
              <w:rPr>
                <w:rFonts w:asciiTheme="minorHAnsi" w:hAnsiTheme="minorHAnsi" w:cs="Times New Roman"/>
                <w:b/>
                <w:sz w:val="20"/>
                <w:szCs w:val="20"/>
              </w:rPr>
              <w:t>Ordinary shares:</w:t>
            </w:r>
          </w:p>
        </w:tc>
        <w:tc>
          <w:tcPr>
            <w:tcW w:w="1276" w:type="dxa"/>
            <w:tcBorders>
              <w:top w:val="single" w:sz="4" w:space="0" w:color="auto"/>
              <w:left w:val="nil"/>
              <w:bottom w:val="nil"/>
              <w:right w:val="nil"/>
            </w:tcBorders>
          </w:tcPr>
          <w:p w14:paraId="4065D028" w14:textId="77777777" w:rsidR="00794AFD" w:rsidRPr="00FC3D06" w:rsidRDefault="00794AFD" w:rsidP="00794AFD">
            <w:pPr>
              <w:jc w:val="right"/>
              <w:rPr>
                <w:rFonts w:asciiTheme="minorHAnsi" w:hAnsiTheme="minorHAnsi" w:cs="Times New Roman"/>
                <w:b/>
                <w:bCs/>
                <w:sz w:val="20"/>
                <w:szCs w:val="20"/>
              </w:rPr>
            </w:pPr>
          </w:p>
        </w:tc>
        <w:tc>
          <w:tcPr>
            <w:tcW w:w="1242" w:type="dxa"/>
            <w:tcBorders>
              <w:top w:val="single" w:sz="4" w:space="0" w:color="auto"/>
              <w:left w:val="nil"/>
              <w:bottom w:val="nil"/>
              <w:right w:val="nil"/>
            </w:tcBorders>
          </w:tcPr>
          <w:p w14:paraId="1CEF5AF6" w14:textId="77777777" w:rsidR="00794AFD" w:rsidRPr="00FC3D06" w:rsidRDefault="00794AFD" w:rsidP="00794AFD">
            <w:pPr>
              <w:jc w:val="right"/>
              <w:rPr>
                <w:rFonts w:asciiTheme="minorHAnsi" w:hAnsiTheme="minorHAnsi" w:cs="Times New Roman"/>
                <w:bCs/>
                <w:sz w:val="20"/>
                <w:szCs w:val="20"/>
              </w:rPr>
            </w:pPr>
          </w:p>
        </w:tc>
      </w:tr>
      <w:tr w:rsidR="00794AFD" w:rsidRPr="001C5950" w14:paraId="685EB9BA" w14:textId="77777777" w:rsidTr="00794AFD">
        <w:tc>
          <w:tcPr>
            <w:tcW w:w="6521" w:type="dxa"/>
            <w:tcBorders>
              <w:top w:val="nil"/>
              <w:left w:val="nil"/>
              <w:right w:val="nil"/>
            </w:tcBorders>
            <w:shd w:val="clear" w:color="auto" w:fill="auto"/>
          </w:tcPr>
          <w:p w14:paraId="6C809808" w14:textId="77777777" w:rsidR="00794AFD" w:rsidRPr="001C5950" w:rsidRDefault="00794AFD" w:rsidP="00794AFD">
            <w:pPr>
              <w:rPr>
                <w:rFonts w:asciiTheme="minorHAnsi" w:hAnsiTheme="minorHAnsi"/>
                <w:sz w:val="20"/>
              </w:rPr>
            </w:pPr>
            <w:r w:rsidRPr="001C5950">
              <w:rPr>
                <w:rFonts w:asciiTheme="minorHAnsi" w:hAnsiTheme="minorHAnsi" w:cs="Times New Roman"/>
                <w:sz w:val="20"/>
                <w:szCs w:val="20"/>
              </w:rPr>
              <w:t xml:space="preserve">- </w:t>
            </w:r>
            <w:r w:rsidRPr="001C5950">
              <w:rPr>
                <w:rFonts w:asciiTheme="minorHAnsi" w:hAnsiTheme="minorHAnsi"/>
                <w:sz w:val="20"/>
              </w:rPr>
              <w:t>final dividend of £1.3</w:t>
            </w:r>
            <w:r>
              <w:rPr>
                <w:rFonts w:asciiTheme="minorHAnsi" w:hAnsiTheme="minorHAnsi"/>
                <w:sz w:val="20"/>
              </w:rPr>
              <w:t>3</w:t>
            </w:r>
            <w:r w:rsidRPr="001C5950">
              <w:rPr>
                <w:rFonts w:asciiTheme="minorHAnsi" w:hAnsiTheme="minorHAnsi"/>
                <w:sz w:val="20"/>
              </w:rPr>
              <w:t xml:space="preserve"> per share for the year ended 31 December </w:t>
            </w:r>
            <w:r>
              <w:rPr>
                <w:rFonts w:asciiTheme="minorHAnsi" w:hAnsiTheme="minorHAnsi"/>
                <w:sz w:val="20"/>
              </w:rPr>
              <w:t>2018</w:t>
            </w:r>
          </w:p>
          <w:p w14:paraId="1C55692A"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sz w:val="20"/>
              </w:rPr>
              <w:t>(31 December 201</w:t>
            </w:r>
            <w:r>
              <w:rPr>
                <w:rFonts w:asciiTheme="minorHAnsi" w:hAnsiTheme="minorHAnsi"/>
                <w:sz w:val="20"/>
              </w:rPr>
              <w:t>7</w:t>
            </w:r>
            <w:r w:rsidRPr="001C5950">
              <w:rPr>
                <w:rFonts w:asciiTheme="minorHAnsi" w:hAnsiTheme="minorHAnsi"/>
                <w:sz w:val="20"/>
              </w:rPr>
              <w:t>: £1.</w:t>
            </w:r>
            <w:r>
              <w:rPr>
                <w:rFonts w:asciiTheme="minorHAnsi" w:hAnsiTheme="minorHAnsi"/>
                <w:sz w:val="20"/>
              </w:rPr>
              <w:t>35</w:t>
            </w:r>
            <w:r w:rsidRPr="001C5950">
              <w:rPr>
                <w:rFonts w:asciiTheme="minorHAnsi" w:hAnsiTheme="minorHAnsi"/>
                <w:sz w:val="20"/>
              </w:rPr>
              <w:t>)</w:t>
            </w:r>
          </w:p>
        </w:tc>
        <w:tc>
          <w:tcPr>
            <w:tcW w:w="1276" w:type="dxa"/>
            <w:tcBorders>
              <w:top w:val="nil"/>
              <w:left w:val="nil"/>
              <w:right w:val="nil"/>
            </w:tcBorders>
            <w:shd w:val="clear" w:color="auto" w:fill="auto"/>
          </w:tcPr>
          <w:p w14:paraId="13B02649" w14:textId="77777777" w:rsidR="00794AFD" w:rsidRPr="001C5950" w:rsidRDefault="00794AFD" w:rsidP="00794AFD">
            <w:pPr>
              <w:jc w:val="right"/>
              <w:rPr>
                <w:rFonts w:asciiTheme="minorHAnsi" w:hAnsiTheme="minorHAnsi" w:cs="Times New Roman"/>
                <w:b/>
                <w:bCs/>
                <w:sz w:val="20"/>
                <w:szCs w:val="20"/>
              </w:rPr>
            </w:pPr>
          </w:p>
          <w:p w14:paraId="67B97092"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1</w:t>
            </w:r>
            <w:r>
              <w:rPr>
                <w:rFonts w:asciiTheme="minorHAnsi" w:hAnsiTheme="minorHAnsi" w:cs="Times New Roman"/>
                <w:b/>
                <w:bCs/>
                <w:sz w:val="20"/>
                <w:szCs w:val="20"/>
              </w:rPr>
              <w:t>0</w:t>
            </w:r>
            <w:r w:rsidRPr="001C5950">
              <w:rPr>
                <w:rFonts w:asciiTheme="minorHAnsi" w:hAnsiTheme="minorHAnsi" w:cs="Times New Roman"/>
                <w:b/>
                <w:bCs/>
                <w:sz w:val="20"/>
                <w:szCs w:val="20"/>
              </w:rPr>
              <w:t>4.0</w:t>
            </w:r>
          </w:p>
        </w:tc>
        <w:tc>
          <w:tcPr>
            <w:tcW w:w="1242" w:type="dxa"/>
            <w:tcBorders>
              <w:top w:val="nil"/>
              <w:left w:val="nil"/>
              <w:right w:val="nil"/>
            </w:tcBorders>
          </w:tcPr>
          <w:p w14:paraId="502077C4" w14:textId="77777777" w:rsidR="00794AFD" w:rsidRPr="001C5950" w:rsidRDefault="00794AFD" w:rsidP="00794AFD">
            <w:pPr>
              <w:jc w:val="right"/>
              <w:rPr>
                <w:rFonts w:asciiTheme="minorHAnsi" w:hAnsiTheme="minorHAnsi" w:cs="Times New Roman"/>
                <w:b/>
                <w:bCs/>
                <w:sz w:val="20"/>
                <w:szCs w:val="20"/>
              </w:rPr>
            </w:pPr>
          </w:p>
          <w:p w14:paraId="089F752B"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
                <w:bCs/>
                <w:sz w:val="20"/>
                <w:szCs w:val="20"/>
              </w:rPr>
              <w:t>114.0</w:t>
            </w:r>
          </w:p>
        </w:tc>
      </w:tr>
      <w:tr w:rsidR="00794AFD" w:rsidRPr="001C5950" w14:paraId="4ECC0CEF" w14:textId="77777777" w:rsidTr="00794AFD">
        <w:tc>
          <w:tcPr>
            <w:tcW w:w="6521" w:type="dxa"/>
            <w:tcBorders>
              <w:left w:val="nil"/>
              <w:bottom w:val="single" w:sz="4" w:space="0" w:color="auto"/>
              <w:right w:val="nil"/>
            </w:tcBorders>
            <w:shd w:val="clear" w:color="auto" w:fill="auto"/>
          </w:tcPr>
          <w:p w14:paraId="1507FCE0" w14:textId="77777777" w:rsidR="00794AFD" w:rsidRPr="001C5950" w:rsidRDefault="00794AFD" w:rsidP="00794AFD">
            <w:pPr>
              <w:rPr>
                <w:rFonts w:asciiTheme="minorHAnsi" w:hAnsiTheme="minorHAnsi"/>
                <w:sz w:val="20"/>
              </w:rPr>
            </w:pPr>
            <w:r w:rsidRPr="001C5950">
              <w:rPr>
                <w:rFonts w:asciiTheme="minorHAnsi" w:hAnsiTheme="minorHAnsi"/>
                <w:sz w:val="20"/>
              </w:rPr>
              <w:t xml:space="preserve">- </w:t>
            </w:r>
            <w:r>
              <w:rPr>
                <w:rFonts w:asciiTheme="minorHAnsi" w:hAnsiTheme="minorHAnsi"/>
                <w:sz w:val="20"/>
              </w:rPr>
              <w:t>i</w:t>
            </w:r>
            <w:r w:rsidRPr="001C5950">
              <w:rPr>
                <w:rFonts w:asciiTheme="minorHAnsi" w:hAnsiTheme="minorHAnsi"/>
                <w:sz w:val="20"/>
              </w:rPr>
              <w:t xml:space="preserve">nterim dividend of £0.67 per share for the year ended 31 December </w:t>
            </w:r>
            <w:r>
              <w:rPr>
                <w:rFonts w:asciiTheme="minorHAnsi" w:hAnsiTheme="minorHAnsi"/>
                <w:sz w:val="20"/>
              </w:rPr>
              <w:t>2019</w:t>
            </w:r>
            <w:r w:rsidRPr="001C5950">
              <w:rPr>
                <w:rFonts w:asciiTheme="minorHAnsi" w:hAnsiTheme="minorHAnsi"/>
                <w:sz w:val="20"/>
              </w:rPr>
              <w:t xml:space="preserve"> (31 December </w:t>
            </w:r>
            <w:r>
              <w:rPr>
                <w:rFonts w:asciiTheme="minorHAnsi" w:hAnsiTheme="minorHAnsi"/>
                <w:sz w:val="20"/>
              </w:rPr>
              <w:t>2018</w:t>
            </w:r>
            <w:r w:rsidRPr="001C5950">
              <w:rPr>
                <w:rFonts w:asciiTheme="minorHAnsi" w:hAnsiTheme="minorHAnsi"/>
                <w:sz w:val="20"/>
              </w:rPr>
              <w:t>: £0.6</w:t>
            </w:r>
            <w:r>
              <w:rPr>
                <w:rFonts w:asciiTheme="minorHAnsi" w:hAnsiTheme="minorHAnsi"/>
                <w:sz w:val="20"/>
              </w:rPr>
              <w:t>7</w:t>
            </w:r>
            <w:r w:rsidRPr="001C5950">
              <w:rPr>
                <w:rFonts w:asciiTheme="minorHAnsi" w:hAnsiTheme="minorHAnsi"/>
                <w:sz w:val="20"/>
              </w:rPr>
              <w:t>)</w:t>
            </w:r>
          </w:p>
        </w:tc>
        <w:tc>
          <w:tcPr>
            <w:tcW w:w="1276" w:type="dxa"/>
            <w:tcBorders>
              <w:left w:val="nil"/>
              <w:bottom w:val="single" w:sz="4" w:space="0" w:color="auto"/>
              <w:right w:val="nil"/>
            </w:tcBorders>
            <w:shd w:val="clear" w:color="auto" w:fill="auto"/>
          </w:tcPr>
          <w:p w14:paraId="6E7CCADB" w14:textId="77777777" w:rsidR="00794AFD" w:rsidRPr="001C5950" w:rsidRDefault="00794AFD" w:rsidP="00794AFD">
            <w:pPr>
              <w:jc w:val="right"/>
              <w:rPr>
                <w:rFonts w:asciiTheme="minorHAnsi" w:hAnsiTheme="minorHAnsi" w:cs="Times New Roman"/>
                <w:b/>
                <w:bCs/>
                <w:sz w:val="20"/>
                <w:szCs w:val="20"/>
              </w:rPr>
            </w:pPr>
          </w:p>
          <w:p w14:paraId="447F1737" w14:textId="77777777" w:rsidR="00794AFD" w:rsidRPr="001C595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52.2</w:t>
            </w:r>
          </w:p>
        </w:tc>
        <w:tc>
          <w:tcPr>
            <w:tcW w:w="1242" w:type="dxa"/>
            <w:tcBorders>
              <w:left w:val="nil"/>
              <w:bottom w:val="single" w:sz="4" w:space="0" w:color="auto"/>
              <w:right w:val="nil"/>
            </w:tcBorders>
          </w:tcPr>
          <w:p w14:paraId="5AAA62EF" w14:textId="77777777" w:rsidR="00794AFD" w:rsidRPr="001C5950" w:rsidRDefault="00794AFD" w:rsidP="00794AFD">
            <w:pPr>
              <w:jc w:val="right"/>
              <w:rPr>
                <w:rFonts w:asciiTheme="minorHAnsi" w:hAnsiTheme="minorHAnsi" w:cs="Times New Roman"/>
                <w:b/>
                <w:bCs/>
                <w:sz w:val="20"/>
                <w:szCs w:val="20"/>
              </w:rPr>
            </w:pPr>
          </w:p>
          <w:p w14:paraId="55A24F61"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
                <w:bCs/>
                <w:sz w:val="20"/>
                <w:szCs w:val="20"/>
              </w:rPr>
              <w:t>55.0</w:t>
            </w:r>
          </w:p>
        </w:tc>
      </w:tr>
      <w:tr w:rsidR="00794AFD" w:rsidRPr="001C5950" w14:paraId="15ADBE03" w14:textId="77777777" w:rsidTr="00794AFD">
        <w:tc>
          <w:tcPr>
            <w:tcW w:w="6521" w:type="dxa"/>
            <w:tcBorders>
              <w:top w:val="single" w:sz="4" w:space="0" w:color="auto"/>
              <w:left w:val="nil"/>
              <w:bottom w:val="single" w:sz="4" w:space="0" w:color="auto"/>
              <w:right w:val="nil"/>
            </w:tcBorders>
          </w:tcPr>
          <w:p w14:paraId="05191EB8" w14:textId="77777777" w:rsidR="00794AFD" w:rsidRPr="00FC3D06" w:rsidRDefault="00794AFD" w:rsidP="00794AFD">
            <w:pPr>
              <w:ind w:left="-90"/>
              <w:rPr>
                <w:rFonts w:asciiTheme="minorHAnsi" w:hAnsiTheme="minorHAnsi" w:cs="Times New Roman"/>
                <w:sz w:val="20"/>
                <w:szCs w:val="20"/>
              </w:rPr>
            </w:pPr>
            <w:r w:rsidRPr="001C5950">
              <w:rPr>
                <w:rFonts w:asciiTheme="minorHAnsi" w:hAnsiTheme="minorHAnsi" w:cs="Times New Roman"/>
                <w:sz w:val="20"/>
                <w:szCs w:val="20"/>
              </w:rPr>
              <w:t>Amounts recognised as distributions to equity holders in the year</w:t>
            </w:r>
          </w:p>
        </w:tc>
        <w:tc>
          <w:tcPr>
            <w:tcW w:w="1276" w:type="dxa"/>
            <w:tcBorders>
              <w:top w:val="single" w:sz="4" w:space="0" w:color="auto"/>
              <w:left w:val="nil"/>
              <w:bottom w:val="single" w:sz="4" w:space="0" w:color="auto"/>
              <w:right w:val="nil"/>
            </w:tcBorders>
            <w:shd w:val="clear" w:color="auto" w:fill="auto"/>
          </w:tcPr>
          <w:p w14:paraId="2FBC2FEB"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1</w:t>
            </w:r>
            <w:r>
              <w:rPr>
                <w:rFonts w:asciiTheme="minorHAnsi" w:hAnsiTheme="minorHAnsi" w:cs="Times New Roman"/>
                <w:b/>
                <w:bCs/>
                <w:sz w:val="20"/>
                <w:szCs w:val="20"/>
              </w:rPr>
              <w:t>56</w:t>
            </w:r>
            <w:r w:rsidRPr="001C5950">
              <w:rPr>
                <w:rFonts w:asciiTheme="minorHAnsi" w:hAnsiTheme="minorHAnsi" w:cs="Times New Roman"/>
                <w:b/>
                <w:bCs/>
                <w:sz w:val="20"/>
                <w:szCs w:val="20"/>
              </w:rPr>
              <w:t>.</w:t>
            </w:r>
            <w:r>
              <w:rPr>
                <w:rFonts w:asciiTheme="minorHAnsi" w:hAnsiTheme="minorHAnsi" w:cs="Times New Roman"/>
                <w:b/>
                <w:bCs/>
                <w:sz w:val="20"/>
                <w:szCs w:val="20"/>
              </w:rPr>
              <w:t>2</w:t>
            </w:r>
          </w:p>
        </w:tc>
        <w:tc>
          <w:tcPr>
            <w:tcW w:w="1242" w:type="dxa"/>
            <w:tcBorders>
              <w:top w:val="single" w:sz="4" w:space="0" w:color="auto"/>
              <w:left w:val="nil"/>
              <w:bottom w:val="single" w:sz="4" w:space="0" w:color="auto"/>
              <w:right w:val="nil"/>
            </w:tcBorders>
          </w:tcPr>
          <w:p w14:paraId="61871140"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
                <w:bCs/>
                <w:sz w:val="20"/>
                <w:szCs w:val="20"/>
              </w:rPr>
              <w:t>169.0</w:t>
            </w:r>
          </w:p>
        </w:tc>
      </w:tr>
    </w:tbl>
    <w:p w14:paraId="455F32EF" w14:textId="77777777" w:rsidR="00794AFD" w:rsidRPr="00FC3D06" w:rsidRDefault="00794AFD" w:rsidP="00794AFD">
      <w:pPr>
        <w:rPr>
          <w:rFonts w:asciiTheme="minorHAnsi" w:hAnsiTheme="minorHAnsi" w:cs="Times New Roman"/>
          <w:sz w:val="20"/>
          <w:szCs w:val="20"/>
        </w:rPr>
      </w:pPr>
    </w:p>
    <w:p w14:paraId="7031DD5A" w14:textId="77777777" w:rsidR="00794AFD" w:rsidRPr="001C5950" w:rsidRDefault="00794AFD" w:rsidP="00794AFD">
      <w:pPr>
        <w:pStyle w:val="body"/>
        <w:spacing w:line="240" w:lineRule="auto"/>
        <w:rPr>
          <w:rFonts w:asciiTheme="minorHAnsi" w:hAnsiTheme="minorHAnsi"/>
          <w:sz w:val="20"/>
          <w:lang w:val="en-IE"/>
        </w:rPr>
      </w:pPr>
      <w:r w:rsidRPr="001C5950">
        <w:rPr>
          <w:rFonts w:asciiTheme="minorHAnsi" w:hAnsiTheme="minorHAnsi"/>
          <w:sz w:val="20"/>
          <w:lang w:val="en-IE"/>
        </w:rPr>
        <w:t xml:space="preserve"> </w:t>
      </w:r>
      <w:r w:rsidRPr="0086168A">
        <w:rPr>
          <w:rFonts w:asciiTheme="minorHAnsi" w:hAnsiTheme="minorHAnsi"/>
          <w:sz w:val="20"/>
          <w:lang w:val="en-IE"/>
        </w:rPr>
        <w:t xml:space="preserve">The Directors have proposed a final dividend of </w:t>
      </w:r>
      <w:r w:rsidRPr="00E31241">
        <w:rPr>
          <w:rFonts w:asciiTheme="minorHAnsi" w:hAnsiTheme="minorHAnsi"/>
          <w:sz w:val="20"/>
          <w:lang w:val="en-IE"/>
        </w:rPr>
        <w:t>133</w:t>
      </w:r>
      <w:r w:rsidRPr="0086168A">
        <w:rPr>
          <w:rFonts w:asciiTheme="minorHAnsi" w:hAnsiTheme="minorHAnsi"/>
          <w:sz w:val="20"/>
          <w:lang w:val="en-IE"/>
        </w:rPr>
        <w:t xml:space="preserve"> pence per share which will be paid on 22 May 2020 to shareholders on the Company’s register of members at the close of business on the record date of 14 April 2020. This dividend, which amounts to approximately £</w:t>
      </w:r>
      <w:r w:rsidRPr="00E31241">
        <w:rPr>
          <w:rFonts w:asciiTheme="minorHAnsi" w:hAnsiTheme="minorHAnsi"/>
          <w:sz w:val="20"/>
          <w:lang w:val="en-IE"/>
        </w:rPr>
        <w:t>104m, has not been included as a liability at</w:t>
      </w:r>
      <w:r w:rsidRPr="0086168A">
        <w:rPr>
          <w:rFonts w:asciiTheme="minorHAnsi" w:hAnsiTheme="minorHAnsi"/>
          <w:sz w:val="20"/>
          <w:lang w:val="en-IE"/>
        </w:rPr>
        <w:t xml:space="preserve"> 31 December 2019.</w:t>
      </w:r>
      <w:r w:rsidRPr="001C5950">
        <w:rPr>
          <w:rFonts w:asciiTheme="minorHAnsi" w:hAnsiTheme="minorHAnsi"/>
          <w:sz w:val="20"/>
          <w:lang w:val="en-IE"/>
        </w:rPr>
        <w:t xml:space="preserve"> </w:t>
      </w:r>
    </w:p>
    <w:p w14:paraId="4405C06E" w14:textId="77777777" w:rsidR="00794AFD" w:rsidRDefault="00794AFD" w:rsidP="00794AFD">
      <w:pPr>
        <w:rPr>
          <w:rFonts w:asciiTheme="minorHAnsi" w:hAnsiTheme="minorHAnsi" w:cs="Times New Roman"/>
          <w:b/>
          <w:bCs/>
          <w:sz w:val="20"/>
          <w:szCs w:val="20"/>
        </w:rPr>
      </w:pPr>
    </w:p>
    <w:p w14:paraId="2BB403D2" w14:textId="77777777" w:rsidR="00794AFD" w:rsidRPr="001C5950" w:rsidRDefault="00794AFD" w:rsidP="00794AFD">
      <w:pPr>
        <w:widowControl/>
        <w:autoSpaceDE/>
        <w:autoSpaceDN/>
        <w:adjustRightInd/>
        <w:rPr>
          <w:rFonts w:asciiTheme="minorHAnsi" w:hAnsiTheme="minorHAnsi" w:cs="Times New Roman"/>
          <w:b/>
          <w:bCs/>
          <w:sz w:val="20"/>
          <w:szCs w:val="20"/>
        </w:rPr>
      </w:pPr>
      <w:r>
        <w:rPr>
          <w:rFonts w:asciiTheme="minorHAnsi" w:hAnsiTheme="minorHAnsi" w:cs="Times New Roman"/>
          <w:b/>
          <w:bCs/>
          <w:sz w:val="20"/>
          <w:szCs w:val="20"/>
        </w:rPr>
        <w:t>13</w:t>
      </w:r>
      <w:r w:rsidRPr="001C5950">
        <w:rPr>
          <w:rFonts w:asciiTheme="minorHAnsi" w:hAnsiTheme="minorHAnsi" w:cs="Times New Roman"/>
          <w:b/>
          <w:bCs/>
          <w:sz w:val="20"/>
          <w:szCs w:val="20"/>
        </w:rPr>
        <w:t>.  Trade and other payables and derivative financial liabilities</w:t>
      </w:r>
    </w:p>
    <w:p w14:paraId="34034A2F" w14:textId="77777777" w:rsidR="00794AFD" w:rsidRPr="001C5950" w:rsidRDefault="00794AFD" w:rsidP="00794AFD">
      <w:pPr>
        <w:rPr>
          <w:rFonts w:asciiTheme="minorHAnsi" w:hAnsiTheme="minorHAnsi" w:cs="Times New Roman"/>
          <w:b/>
          <w:bCs/>
          <w:sz w:val="20"/>
          <w:szCs w:val="20"/>
        </w:rPr>
      </w:pPr>
    </w:p>
    <w:p w14:paraId="7D41BE11"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cs="Times New Roman"/>
          <w:b/>
          <w:bCs/>
          <w:sz w:val="20"/>
          <w:szCs w:val="20"/>
        </w:rPr>
        <w:t>Current liabilities</w:t>
      </w:r>
    </w:p>
    <w:tbl>
      <w:tblPr>
        <w:tblW w:w="9373" w:type="dxa"/>
        <w:tblInd w:w="108" w:type="dxa"/>
        <w:tblLook w:val="0000" w:firstRow="0" w:lastRow="0" w:firstColumn="0" w:lastColumn="0" w:noHBand="0" w:noVBand="0"/>
      </w:tblPr>
      <w:tblGrid>
        <w:gridCol w:w="5846"/>
        <w:gridCol w:w="1701"/>
        <w:gridCol w:w="1826"/>
      </w:tblGrid>
      <w:tr w:rsidR="00794AFD" w:rsidRPr="001C5950" w14:paraId="76C66197" w14:textId="77777777" w:rsidTr="00794AFD">
        <w:tc>
          <w:tcPr>
            <w:tcW w:w="5846" w:type="dxa"/>
            <w:tcBorders>
              <w:top w:val="single" w:sz="4" w:space="0" w:color="auto"/>
              <w:left w:val="nil"/>
              <w:bottom w:val="single" w:sz="4" w:space="0" w:color="auto"/>
              <w:right w:val="nil"/>
            </w:tcBorders>
          </w:tcPr>
          <w:p w14:paraId="5E259FF0" w14:textId="77777777" w:rsidR="00794AFD" w:rsidRPr="001C5950" w:rsidRDefault="00794AFD" w:rsidP="00794AFD">
            <w:pPr>
              <w:jc w:val="both"/>
              <w:rPr>
                <w:rFonts w:asciiTheme="minorHAnsi" w:hAnsiTheme="minorHAnsi" w:cs="Times New Roman"/>
                <w:sz w:val="20"/>
                <w:szCs w:val="20"/>
              </w:rPr>
            </w:pPr>
          </w:p>
        </w:tc>
        <w:tc>
          <w:tcPr>
            <w:tcW w:w="1701" w:type="dxa"/>
            <w:tcBorders>
              <w:top w:val="single" w:sz="4" w:space="0" w:color="auto"/>
              <w:left w:val="nil"/>
              <w:bottom w:val="single" w:sz="4" w:space="0" w:color="auto"/>
              <w:right w:val="nil"/>
            </w:tcBorders>
          </w:tcPr>
          <w:p w14:paraId="6475AD80" w14:textId="77777777" w:rsidR="00794AFD" w:rsidRPr="001C5950" w:rsidRDefault="00794AFD" w:rsidP="00794AFD">
            <w:pPr>
              <w:jc w:val="right"/>
              <w:rPr>
                <w:rFonts w:asciiTheme="minorHAnsi" w:hAnsiTheme="minorHAnsi" w:cs="Times New Roman"/>
                <w:b/>
                <w:bCs/>
                <w:sz w:val="20"/>
                <w:szCs w:val="20"/>
              </w:rPr>
            </w:pPr>
          </w:p>
          <w:p w14:paraId="118DF63F"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 xml:space="preserve">31 December </w:t>
            </w:r>
            <w:r>
              <w:rPr>
                <w:rFonts w:asciiTheme="minorHAnsi" w:hAnsiTheme="minorHAnsi" w:cs="Times New Roman"/>
                <w:b/>
                <w:bCs/>
                <w:sz w:val="20"/>
                <w:szCs w:val="20"/>
              </w:rPr>
              <w:t>2019</w:t>
            </w:r>
          </w:p>
          <w:p w14:paraId="0E2C9433"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£m</w:t>
            </w:r>
          </w:p>
        </w:tc>
        <w:tc>
          <w:tcPr>
            <w:tcW w:w="1826" w:type="dxa"/>
            <w:tcBorders>
              <w:top w:val="single" w:sz="4" w:space="0" w:color="auto"/>
              <w:left w:val="nil"/>
              <w:bottom w:val="single" w:sz="4" w:space="0" w:color="auto"/>
              <w:right w:val="nil"/>
            </w:tcBorders>
          </w:tcPr>
          <w:p w14:paraId="5F3E1CAD" w14:textId="77777777" w:rsidR="00794AFD" w:rsidRPr="001C5950" w:rsidRDefault="00794AFD" w:rsidP="00794AFD">
            <w:pPr>
              <w:jc w:val="right"/>
              <w:rPr>
                <w:rFonts w:asciiTheme="minorHAnsi" w:hAnsiTheme="minorHAnsi" w:cs="Times New Roman"/>
                <w:bCs/>
                <w:sz w:val="20"/>
                <w:szCs w:val="20"/>
              </w:rPr>
            </w:pPr>
          </w:p>
          <w:p w14:paraId="6CDF02DE"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 xml:space="preserve">31 December </w:t>
            </w:r>
            <w:r>
              <w:rPr>
                <w:rFonts w:asciiTheme="minorHAnsi" w:hAnsiTheme="minorHAnsi" w:cs="Times New Roman"/>
                <w:bCs/>
                <w:sz w:val="20"/>
                <w:szCs w:val="20"/>
              </w:rPr>
              <w:t>2018</w:t>
            </w:r>
          </w:p>
          <w:p w14:paraId="427DFFAD"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£m</w:t>
            </w:r>
          </w:p>
        </w:tc>
      </w:tr>
      <w:tr w:rsidR="00794AFD" w:rsidRPr="001C5950" w14:paraId="0B885F52" w14:textId="77777777" w:rsidTr="00794AFD">
        <w:trPr>
          <w:trHeight w:val="70"/>
        </w:trPr>
        <w:tc>
          <w:tcPr>
            <w:tcW w:w="5846" w:type="dxa"/>
            <w:tcBorders>
              <w:top w:val="single" w:sz="4" w:space="0" w:color="auto"/>
              <w:left w:val="nil"/>
              <w:bottom w:val="nil"/>
              <w:right w:val="nil"/>
            </w:tcBorders>
          </w:tcPr>
          <w:p w14:paraId="339AE494" w14:textId="77777777" w:rsidR="00794AFD" w:rsidRPr="00FC3D06" w:rsidRDefault="00794AFD" w:rsidP="00794AFD">
            <w:pPr>
              <w:ind w:left="-108"/>
              <w:rPr>
                <w:rFonts w:asciiTheme="minorHAnsi" w:hAnsiTheme="minorHAnsi" w:cs="Times New Roman"/>
                <w:b/>
                <w:sz w:val="20"/>
                <w:szCs w:val="20"/>
              </w:rPr>
            </w:pPr>
            <w:r w:rsidRPr="001C5950">
              <w:rPr>
                <w:rFonts w:asciiTheme="minorHAnsi" w:hAnsiTheme="minorHAnsi" w:cs="Times New Roman"/>
                <w:b/>
                <w:sz w:val="20"/>
                <w:szCs w:val="20"/>
              </w:rPr>
              <w:t>Trade and other payables</w:t>
            </w:r>
          </w:p>
        </w:tc>
        <w:tc>
          <w:tcPr>
            <w:tcW w:w="1701" w:type="dxa"/>
            <w:tcBorders>
              <w:top w:val="single" w:sz="4" w:space="0" w:color="auto"/>
              <w:left w:val="nil"/>
              <w:bottom w:val="nil"/>
              <w:right w:val="nil"/>
            </w:tcBorders>
          </w:tcPr>
          <w:p w14:paraId="583FCC05" w14:textId="77777777" w:rsidR="00794AFD" w:rsidRPr="00FC3D06" w:rsidRDefault="00794AFD" w:rsidP="00794AFD">
            <w:pPr>
              <w:jc w:val="right"/>
              <w:rPr>
                <w:rFonts w:asciiTheme="minorHAnsi" w:hAnsiTheme="minorHAnsi" w:cs="Times New Roman"/>
                <w:b/>
                <w:bCs/>
                <w:sz w:val="20"/>
                <w:szCs w:val="20"/>
              </w:rPr>
            </w:pPr>
          </w:p>
        </w:tc>
        <w:tc>
          <w:tcPr>
            <w:tcW w:w="1826" w:type="dxa"/>
            <w:tcBorders>
              <w:top w:val="single" w:sz="4" w:space="0" w:color="auto"/>
              <w:left w:val="nil"/>
              <w:bottom w:val="nil"/>
              <w:right w:val="nil"/>
            </w:tcBorders>
          </w:tcPr>
          <w:p w14:paraId="2282B5E2" w14:textId="77777777" w:rsidR="00794AFD" w:rsidRPr="00FC3D06" w:rsidRDefault="00794AFD" w:rsidP="00794AFD">
            <w:pPr>
              <w:jc w:val="right"/>
              <w:rPr>
                <w:rFonts w:asciiTheme="minorHAnsi" w:hAnsiTheme="minorHAnsi" w:cs="Times New Roman"/>
                <w:bCs/>
                <w:sz w:val="20"/>
                <w:szCs w:val="20"/>
              </w:rPr>
            </w:pPr>
          </w:p>
        </w:tc>
      </w:tr>
      <w:tr w:rsidR="00794AFD" w:rsidRPr="001C5950" w14:paraId="47284A41" w14:textId="77777777" w:rsidTr="00794AFD">
        <w:tc>
          <w:tcPr>
            <w:tcW w:w="5846" w:type="dxa"/>
            <w:tcBorders>
              <w:top w:val="nil"/>
              <w:left w:val="nil"/>
              <w:bottom w:val="nil"/>
              <w:right w:val="nil"/>
            </w:tcBorders>
          </w:tcPr>
          <w:p w14:paraId="09BD7375"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Trade payables</w:t>
            </w:r>
          </w:p>
        </w:tc>
        <w:tc>
          <w:tcPr>
            <w:tcW w:w="1701" w:type="dxa"/>
            <w:tcBorders>
              <w:top w:val="nil"/>
              <w:left w:val="nil"/>
              <w:bottom w:val="nil"/>
              <w:right w:val="nil"/>
            </w:tcBorders>
            <w:shd w:val="clear" w:color="auto" w:fill="auto"/>
          </w:tcPr>
          <w:p w14:paraId="4402F87D"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25.3</w:t>
            </w:r>
          </w:p>
        </w:tc>
        <w:tc>
          <w:tcPr>
            <w:tcW w:w="1826" w:type="dxa"/>
            <w:tcBorders>
              <w:top w:val="nil"/>
              <w:left w:val="nil"/>
              <w:bottom w:val="nil"/>
              <w:right w:val="nil"/>
            </w:tcBorders>
          </w:tcPr>
          <w:p w14:paraId="4103BAF6"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21.3</w:t>
            </w:r>
          </w:p>
        </w:tc>
      </w:tr>
      <w:tr w:rsidR="00794AFD" w:rsidRPr="001C5950" w14:paraId="039B0D02" w14:textId="77777777" w:rsidTr="00794AFD">
        <w:tc>
          <w:tcPr>
            <w:tcW w:w="5846" w:type="dxa"/>
            <w:tcBorders>
              <w:top w:val="nil"/>
              <w:left w:val="nil"/>
              <w:bottom w:val="nil"/>
              <w:right w:val="nil"/>
            </w:tcBorders>
          </w:tcPr>
          <w:p w14:paraId="6FB5861D"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Customer balances</w:t>
            </w:r>
          </w:p>
        </w:tc>
        <w:tc>
          <w:tcPr>
            <w:tcW w:w="1701" w:type="dxa"/>
            <w:tcBorders>
              <w:top w:val="nil"/>
              <w:left w:val="nil"/>
              <w:bottom w:val="nil"/>
              <w:right w:val="nil"/>
            </w:tcBorders>
            <w:shd w:val="clear" w:color="auto" w:fill="auto"/>
          </w:tcPr>
          <w:p w14:paraId="21E6F2F5"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179.2</w:t>
            </w:r>
          </w:p>
        </w:tc>
        <w:tc>
          <w:tcPr>
            <w:tcW w:w="1826" w:type="dxa"/>
            <w:tcBorders>
              <w:top w:val="nil"/>
              <w:left w:val="nil"/>
              <w:bottom w:val="nil"/>
              <w:right w:val="nil"/>
            </w:tcBorders>
          </w:tcPr>
          <w:p w14:paraId="3403748D"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155.3</w:t>
            </w:r>
          </w:p>
        </w:tc>
      </w:tr>
      <w:tr w:rsidR="00794AFD" w:rsidRPr="001C5950" w14:paraId="280D5AD6" w14:textId="77777777" w:rsidTr="00794AFD">
        <w:tc>
          <w:tcPr>
            <w:tcW w:w="5846" w:type="dxa"/>
            <w:tcBorders>
              <w:top w:val="nil"/>
              <w:left w:val="nil"/>
              <w:bottom w:val="nil"/>
              <w:right w:val="nil"/>
            </w:tcBorders>
          </w:tcPr>
          <w:p w14:paraId="6E4EB9A6"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PAYE and social security</w:t>
            </w:r>
          </w:p>
        </w:tc>
        <w:tc>
          <w:tcPr>
            <w:tcW w:w="1701" w:type="dxa"/>
            <w:tcBorders>
              <w:top w:val="nil"/>
              <w:left w:val="nil"/>
              <w:bottom w:val="nil"/>
              <w:right w:val="nil"/>
            </w:tcBorders>
            <w:shd w:val="clear" w:color="auto" w:fill="auto"/>
          </w:tcPr>
          <w:p w14:paraId="5D3510C9"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9.7</w:t>
            </w:r>
          </w:p>
        </w:tc>
        <w:tc>
          <w:tcPr>
            <w:tcW w:w="1826" w:type="dxa"/>
            <w:tcBorders>
              <w:top w:val="nil"/>
              <w:left w:val="nil"/>
              <w:bottom w:val="nil"/>
              <w:right w:val="nil"/>
            </w:tcBorders>
          </w:tcPr>
          <w:p w14:paraId="57D1D60B"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5.2</w:t>
            </w:r>
          </w:p>
        </w:tc>
      </w:tr>
      <w:tr w:rsidR="00794AFD" w:rsidRPr="001C5950" w14:paraId="61EA7835" w14:textId="77777777" w:rsidTr="00794AFD">
        <w:tc>
          <w:tcPr>
            <w:tcW w:w="5846" w:type="dxa"/>
            <w:tcBorders>
              <w:top w:val="nil"/>
              <w:left w:val="nil"/>
              <w:bottom w:val="nil"/>
              <w:right w:val="nil"/>
            </w:tcBorders>
          </w:tcPr>
          <w:p w14:paraId="23627A5E"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Value-added tax and goods and services tax</w:t>
            </w:r>
          </w:p>
        </w:tc>
        <w:tc>
          <w:tcPr>
            <w:tcW w:w="1701" w:type="dxa"/>
            <w:tcBorders>
              <w:top w:val="nil"/>
              <w:left w:val="nil"/>
              <w:bottom w:val="nil"/>
              <w:right w:val="nil"/>
            </w:tcBorders>
            <w:shd w:val="clear" w:color="auto" w:fill="auto"/>
          </w:tcPr>
          <w:p w14:paraId="13FD2B96"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3.0</w:t>
            </w:r>
          </w:p>
        </w:tc>
        <w:tc>
          <w:tcPr>
            <w:tcW w:w="1826" w:type="dxa"/>
            <w:tcBorders>
              <w:top w:val="nil"/>
              <w:left w:val="nil"/>
              <w:bottom w:val="nil"/>
              <w:right w:val="nil"/>
            </w:tcBorders>
          </w:tcPr>
          <w:p w14:paraId="727DDF3F"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0.9</w:t>
            </w:r>
          </w:p>
        </w:tc>
      </w:tr>
      <w:tr w:rsidR="00794AFD" w:rsidRPr="001C5950" w14:paraId="0EFEFBEC" w14:textId="77777777" w:rsidTr="00794AFD">
        <w:tc>
          <w:tcPr>
            <w:tcW w:w="5846" w:type="dxa"/>
            <w:tcBorders>
              <w:top w:val="nil"/>
              <w:left w:val="nil"/>
              <w:right w:val="nil"/>
            </w:tcBorders>
          </w:tcPr>
          <w:p w14:paraId="7B128110"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 xml:space="preserve">Betting duty, data rights, and product and </w:t>
            </w:r>
            <w:proofErr w:type="spellStart"/>
            <w:r w:rsidRPr="001C5950">
              <w:rPr>
                <w:rFonts w:asciiTheme="minorHAnsi" w:hAnsiTheme="minorHAnsi" w:cs="Times New Roman"/>
                <w:sz w:val="20"/>
                <w:szCs w:val="20"/>
              </w:rPr>
              <w:t>racefield</w:t>
            </w:r>
            <w:proofErr w:type="spellEnd"/>
            <w:r w:rsidRPr="001C5950">
              <w:rPr>
                <w:rFonts w:asciiTheme="minorHAnsi" w:hAnsiTheme="minorHAnsi" w:cs="Times New Roman"/>
                <w:sz w:val="20"/>
                <w:szCs w:val="20"/>
              </w:rPr>
              <w:t xml:space="preserve"> fees</w:t>
            </w:r>
          </w:p>
        </w:tc>
        <w:tc>
          <w:tcPr>
            <w:tcW w:w="1701" w:type="dxa"/>
            <w:tcBorders>
              <w:top w:val="nil"/>
              <w:left w:val="nil"/>
              <w:right w:val="nil"/>
            </w:tcBorders>
            <w:shd w:val="clear" w:color="auto" w:fill="auto"/>
          </w:tcPr>
          <w:p w14:paraId="0FEE2DAA"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60.1</w:t>
            </w:r>
          </w:p>
        </w:tc>
        <w:tc>
          <w:tcPr>
            <w:tcW w:w="1826" w:type="dxa"/>
            <w:tcBorders>
              <w:top w:val="nil"/>
              <w:left w:val="nil"/>
              <w:right w:val="nil"/>
            </w:tcBorders>
          </w:tcPr>
          <w:p w14:paraId="3F5A8722"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39.5</w:t>
            </w:r>
          </w:p>
        </w:tc>
      </w:tr>
      <w:tr w:rsidR="00794AFD" w:rsidRPr="001C5950" w14:paraId="5C516D6D" w14:textId="77777777" w:rsidTr="00794AFD">
        <w:tc>
          <w:tcPr>
            <w:tcW w:w="5846" w:type="dxa"/>
            <w:tcBorders>
              <w:top w:val="nil"/>
              <w:left w:val="nil"/>
              <w:right w:val="nil"/>
            </w:tcBorders>
          </w:tcPr>
          <w:p w14:paraId="671334AB"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Employee benefits</w:t>
            </w:r>
          </w:p>
        </w:tc>
        <w:tc>
          <w:tcPr>
            <w:tcW w:w="1701" w:type="dxa"/>
            <w:tcBorders>
              <w:top w:val="nil"/>
              <w:left w:val="nil"/>
              <w:right w:val="nil"/>
            </w:tcBorders>
            <w:shd w:val="clear" w:color="auto" w:fill="auto"/>
          </w:tcPr>
          <w:p w14:paraId="66D87D34"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52.3</w:t>
            </w:r>
          </w:p>
        </w:tc>
        <w:tc>
          <w:tcPr>
            <w:tcW w:w="1826" w:type="dxa"/>
            <w:tcBorders>
              <w:top w:val="nil"/>
              <w:left w:val="nil"/>
              <w:right w:val="nil"/>
            </w:tcBorders>
          </w:tcPr>
          <w:p w14:paraId="1A48221D"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43.5</w:t>
            </w:r>
          </w:p>
        </w:tc>
      </w:tr>
      <w:tr w:rsidR="00794AFD" w:rsidRPr="001C5950" w14:paraId="58E715AD" w14:textId="77777777" w:rsidTr="00794AFD">
        <w:tc>
          <w:tcPr>
            <w:tcW w:w="5846" w:type="dxa"/>
            <w:tcBorders>
              <w:top w:val="nil"/>
              <w:left w:val="nil"/>
              <w:right w:val="nil"/>
            </w:tcBorders>
          </w:tcPr>
          <w:p w14:paraId="3ADFE5F6"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Liability to purchase own shares</w:t>
            </w:r>
          </w:p>
        </w:tc>
        <w:tc>
          <w:tcPr>
            <w:tcW w:w="1701" w:type="dxa"/>
            <w:tcBorders>
              <w:top w:val="nil"/>
              <w:left w:val="nil"/>
              <w:right w:val="nil"/>
            </w:tcBorders>
            <w:shd w:val="clear" w:color="auto" w:fill="auto"/>
          </w:tcPr>
          <w:p w14:paraId="3A85CF68" w14:textId="77777777" w:rsidR="00794AFD" w:rsidRPr="000944E4" w:rsidRDefault="00794AFD" w:rsidP="00794AFD">
            <w:pPr>
              <w:jc w:val="right"/>
              <w:rPr>
                <w:rFonts w:asciiTheme="minorHAnsi" w:hAnsiTheme="minorHAnsi" w:cs="Times New Roman"/>
                <w:b/>
                <w:bCs/>
                <w:sz w:val="20"/>
                <w:szCs w:val="20"/>
              </w:rPr>
            </w:pPr>
            <w:r w:rsidRPr="00E37505">
              <w:rPr>
                <w:rFonts w:asciiTheme="minorHAnsi" w:hAnsiTheme="minorHAnsi" w:cs="Times New Roman"/>
                <w:b/>
                <w:bCs/>
                <w:sz w:val="20"/>
                <w:szCs w:val="20"/>
              </w:rPr>
              <w:t>-</w:t>
            </w:r>
          </w:p>
        </w:tc>
        <w:tc>
          <w:tcPr>
            <w:tcW w:w="1826" w:type="dxa"/>
            <w:tcBorders>
              <w:top w:val="nil"/>
              <w:left w:val="nil"/>
              <w:right w:val="nil"/>
            </w:tcBorders>
          </w:tcPr>
          <w:p w14:paraId="3A7295BC"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86.8</w:t>
            </w:r>
          </w:p>
        </w:tc>
      </w:tr>
      <w:tr w:rsidR="00794AFD" w:rsidRPr="001C5950" w14:paraId="6B46524B" w14:textId="77777777" w:rsidTr="00794AFD">
        <w:tc>
          <w:tcPr>
            <w:tcW w:w="5846" w:type="dxa"/>
            <w:tcBorders>
              <w:top w:val="nil"/>
              <w:left w:val="nil"/>
              <w:right w:val="nil"/>
            </w:tcBorders>
          </w:tcPr>
          <w:p w14:paraId="34377985"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 xml:space="preserve">Contingent deferred consideration – business combinations </w:t>
            </w:r>
          </w:p>
        </w:tc>
        <w:tc>
          <w:tcPr>
            <w:tcW w:w="1701" w:type="dxa"/>
            <w:tcBorders>
              <w:top w:val="nil"/>
              <w:left w:val="nil"/>
              <w:right w:val="nil"/>
            </w:tcBorders>
            <w:shd w:val="clear" w:color="auto" w:fill="auto"/>
          </w:tcPr>
          <w:p w14:paraId="4F3DBDD4" w14:textId="77777777" w:rsidR="00794AFD" w:rsidRPr="000944E4" w:rsidRDefault="00794AFD" w:rsidP="00794AFD">
            <w:pPr>
              <w:jc w:val="right"/>
              <w:rPr>
                <w:rFonts w:asciiTheme="minorHAnsi" w:hAnsiTheme="minorHAnsi" w:cs="Times New Roman"/>
                <w:b/>
                <w:bCs/>
                <w:sz w:val="20"/>
                <w:szCs w:val="20"/>
              </w:rPr>
            </w:pPr>
            <w:r w:rsidRPr="00E37505">
              <w:rPr>
                <w:rFonts w:asciiTheme="minorHAnsi" w:hAnsiTheme="minorHAnsi" w:cs="Times New Roman"/>
                <w:b/>
                <w:bCs/>
                <w:sz w:val="20"/>
                <w:szCs w:val="20"/>
              </w:rPr>
              <w:t>7.4</w:t>
            </w:r>
          </w:p>
        </w:tc>
        <w:tc>
          <w:tcPr>
            <w:tcW w:w="1826" w:type="dxa"/>
            <w:tcBorders>
              <w:top w:val="nil"/>
              <w:left w:val="nil"/>
              <w:right w:val="nil"/>
            </w:tcBorders>
          </w:tcPr>
          <w:p w14:paraId="0EA8580B"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4.8</w:t>
            </w:r>
          </w:p>
        </w:tc>
      </w:tr>
      <w:tr w:rsidR="00794AFD" w:rsidRPr="001C5950" w14:paraId="7A542C6E" w14:textId="77777777" w:rsidTr="00794AFD">
        <w:tc>
          <w:tcPr>
            <w:tcW w:w="5846" w:type="dxa"/>
            <w:tcBorders>
              <w:left w:val="nil"/>
              <w:bottom w:val="single" w:sz="4" w:space="0" w:color="auto"/>
              <w:right w:val="nil"/>
            </w:tcBorders>
          </w:tcPr>
          <w:p w14:paraId="03CFFF36"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Accruals and other liabilities</w:t>
            </w:r>
          </w:p>
        </w:tc>
        <w:tc>
          <w:tcPr>
            <w:tcW w:w="1701" w:type="dxa"/>
            <w:tcBorders>
              <w:left w:val="nil"/>
              <w:bottom w:val="single" w:sz="4" w:space="0" w:color="auto"/>
              <w:right w:val="nil"/>
            </w:tcBorders>
            <w:shd w:val="clear" w:color="auto" w:fill="auto"/>
          </w:tcPr>
          <w:p w14:paraId="5D7E66C0"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211.8</w:t>
            </w:r>
          </w:p>
        </w:tc>
        <w:tc>
          <w:tcPr>
            <w:tcW w:w="1826" w:type="dxa"/>
            <w:tcBorders>
              <w:left w:val="nil"/>
              <w:bottom w:val="single" w:sz="4" w:space="0" w:color="auto"/>
              <w:right w:val="nil"/>
            </w:tcBorders>
          </w:tcPr>
          <w:p w14:paraId="5538AD10"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175.5</w:t>
            </w:r>
          </w:p>
        </w:tc>
      </w:tr>
      <w:tr w:rsidR="00794AFD" w:rsidRPr="001C5950" w14:paraId="17B28D3D" w14:textId="77777777" w:rsidTr="00794AFD">
        <w:trPr>
          <w:trHeight w:val="102"/>
        </w:trPr>
        <w:tc>
          <w:tcPr>
            <w:tcW w:w="5846" w:type="dxa"/>
            <w:tcBorders>
              <w:top w:val="single" w:sz="4" w:space="0" w:color="auto"/>
              <w:left w:val="nil"/>
              <w:bottom w:val="single" w:sz="4" w:space="0" w:color="auto"/>
              <w:right w:val="nil"/>
            </w:tcBorders>
          </w:tcPr>
          <w:p w14:paraId="0A396E34"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Total</w:t>
            </w:r>
          </w:p>
        </w:tc>
        <w:tc>
          <w:tcPr>
            <w:tcW w:w="1701" w:type="dxa"/>
            <w:tcBorders>
              <w:top w:val="single" w:sz="4" w:space="0" w:color="auto"/>
              <w:left w:val="nil"/>
              <w:bottom w:val="single" w:sz="4" w:space="0" w:color="auto"/>
              <w:right w:val="nil"/>
            </w:tcBorders>
            <w:shd w:val="clear" w:color="auto" w:fill="auto"/>
          </w:tcPr>
          <w:p w14:paraId="58456647"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548.8</w:t>
            </w:r>
          </w:p>
        </w:tc>
        <w:tc>
          <w:tcPr>
            <w:tcW w:w="1826" w:type="dxa"/>
            <w:tcBorders>
              <w:top w:val="single" w:sz="4" w:space="0" w:color="auto"/>
              <w:left w:val="nil"/>
              <w:bottom w:val="single" w:sz="4" w:space="0" w:color="auto"/>
              <w:right w:val="nil"/>
            </w:tcBorders>
          </w:tcPr>
          <w:p w14:paraId="7971A421"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532.8</w:t>
            </w:r>
          </w:p>
        </w:tc>
      </w:tr>
      <w:tr w:rsidR="00794AFD" w:rsidRPr="001C5950" w14:paraId="360CF897" w14:textId="77777777" w:rsidTr="00794AFD">
        <w:trPr>
          <w:trHeight w:val="188"/>
        </w:trPr>
        <w:tc>
          <w:tcPr>
            <w:tcW w:w="5846" w:type="dxa"/>
            <w:tcBorders>
              <w:top w:val="single" w:sz="4" w:space="0" w:color="auto"/>
              <w:left w:val="nil"/>
              <w:right w:val="nil"/>
            </w:tcBorders>
          </w:tcPr>
          <w:p w14:paraId="37E10B64" w14:textId="77777777" w:rsidR="00794AFD" w:rsidRPr="00FC3D06" w:rsidRDefault="00794AFD" w:rsidP="00794AFD">
            <w:pPr>
              <w:ind w:left="-108"/>
              <w:rPr>
                <w:rFonts w:asciiTheme="minorHAnsi" w:hAnsiTheme="minorHAnsi" w:cs="Times New Roman"/>
                <w:b/>
                <w:sz w:val="20"/>
                <w:szCs w:val="20"/>
              </w:rPr>
            </w:pPr>
          </w:p>
        </w:tc>
        <w:tc>
          <w:tcPr>
            <w:tcW w:w="1701" w:type="dxa"/>
            <w:tcBorders>
              <w:top w:val="single" w:sz="4" w:space="0" w:color="auto"/>
              <w:left w:val="nil"/>
              <w:right w:val="nil"/>
            </w:tcBorders>
            <w:shd w:val="clear" w:color="auto" w:fill="auto"/>
          </w:tcPr>
          <w:p w14:paraId="4F7ED7F0" w14:textId="77777777" w:rsidR="00794AFD" w:rsidRPr="000944E4" w:rsidRDefault="00794AFD" w:rsidP="00794AFD">
            <w:pPr>
              <w:rPr>
                <w:rFonts w:asciiTheme="minorHAnsi" w:hAnsiTheme="minorHAnsi" w:cs="Times New Roman"/>
                <w:bCs/>
                <w:sz w:val="20"/>
                <w:szCs w:val="20"/>
              </w:rPr>
            </w:pPr>
          </w:p>
        </w:tc>
        <w:tc>
          <w:tcPr>
            <w:tcW w:w="1826" w:type="dxa"/>
            <w:tcBorders>
              <w:top w:val="single" w:sz="4" w:space="0" w:color="auto"/>
              <w:left w:val="nil"/>
              <w:right w:val="nil"/>
            </w:tcBorders>
          </w:tcPr>
          <w:p w14:paraId="502EFF82" w14:textId="77777777" w:rsidR="00794AFD" w:rsidRPr="00DC37FC" w:rsidRDefault="00794AFD" w:rsidP="00794AFD">
            <w:pPr>
              <w:jc w:val="right"/>
              <w:rPr>
                <w:rFonts w:asciiTheme="minorHAnsi" w:hAnsiTheme="minorHAnsi" w:cs="Times New Roman"/>
                <w:bCs/>
                <w:sz w:val="20"/>
                <w:szCs w:val="20"/>
              </w:rPr>
            </w:pPr>
          </w:p>
        </w:tc>
      </w:tr>
      <w:tr w:rsidR="00794AFD" w:rsidRPr="001C5950" w14:paraId="49BF8F29" w14:textId="77777777" w:rsidTr="00794AFD">
        <w:trPr>
          <w:trHeight w:val="188"/>
        </w:trPr>
        <w:tc>
          <w:tcPr>
            <w:tcW w:w="5846" w:type="dxa"/>
            <w:tcBorders>
              <w:left w:val="nil"/>
              <w:right w:val="nil"/>
            </w:tcBorders>
          </w:tcPr>
          <w:p w14:paraId="2AA994F2" w14:textId="77777777" w:rsidR="00794AFD" w:rsidRPr="001C5950" w:rsidRDefault="00794AFD" w:rsidP="00794AFD">
            <w:pPr>
              <w:ind w:left="-108"/>
              <w:rPr>
                <w:rFonts w:asciiTheme="minorHAnsi" w:hAnsiTheme="minorHAnsi" w:cs="Times New Roman"/>
                <w:b/>
                <w:sz w:val="20"/>
                <w:szCs w:val="20"/>
              </w:rPr>
            </w:pPr>
            <w:r w:rsidRPr="001C5950">
              <w:rPr>
                <w:rFonts w:asciiTheme="minorHAnsi" w:hAnsiTheme="minorHAnsi" w:cs="Times New Roman"/>
                <w:b/>
                <w:sz w:val="20"/>
                <w:szCs w:val="20"/>
              </w:rPr>
              <w:t>Derivative financial liabilities</w:t>
            </w:r>
          </w:p>
        </w:tc>
        <w:tc>
          <w:tcPr>
            <w:tcW w:w="1701" w:type="dxa"/>
            <w:tcBorders>
              <w:left w:val="nil"/>
              <w:right w:val="nil"/>
            </w:tcBorders>
            <w:shd w:val="clear" w:color="auto" w:fill="auto"/>
          </w:tcPr>
          <w:p w14:paraId="46C3C475" w14:textId="77777777" w:rsidR="00794AFD" w:rsidRPr="000944E4" w:rsidRDefault="00794AFD" w:rsidP="00794AFD">
            <w:pPr>
              <w:rPr>
                <w:rFonts w:asciiTheme="minorHAnsi" w:hAnsiTheme="minorHAnsi" w:cs="Times New Roman"/>
                <w:bCs/>
                <w:sz w:val="20"/>
                <w:szCs w:val="20"/>
              </w:rPr>
            </w:pPr>
          </w:p>
        </w:tc>
        <w:tc>
          <w:tcPr>
            <w:tcW w:w="1826" w:type="dxa"/>
            <w:tcBorders>
              <w:left w:val="nil"/>
              <w:right w:val="nil"/>
            </w:tcBorders>
          </w:tcPr>
          <w:p w14:paraId="5F548D5A" w14:textId="77777777" w:rsidR="00794AFD" w:rsidRPr="00DC37FC" w:rsidRDefault="00794AFD" w:rsidP="00794AFD">
            <w:pPr>
              <w:jc w:val="right"/>
              <w:rPr>
                <w:rFonts w:asciiTheme="minorHAnsi" w:hAnsiTheme="minorHAnsi" w:cs="Times New Roman"/>
                <w:bCs/>
                <w:sz w:val="20"/>
                <w:szCs w:val="20"/>
              </w:rPr>
            </w:pPr>
          </w:p>
        </w:tc>
      </w:tr>
      <w:tr w:rsidR="00794AFD" w:rsidRPr="001C5950" w14:paraId="54F467B3" w14:textId="77777777" w:rsidTr="00794AFD">
        <w:trPr>
          <w:trHeight w:val="122"/>
        </w:trPr>
        <w:tc>
          <w:tcPr>
            <w:tcW w:w="5846" w:type="dxa"/>
            <w:tcBorders>
              <w:left w:val="nil"/>
              <w:bottom w:val="single" w:sz="4" w:space="0" w:color="auto"/>
              <w:right w:val="nil"/>
            </w:tcBorders>
          </w:tcPr>
          <w:p w14:paraId="54E3ED16"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 xml:space="preserve">Sports betting open positions </w:t>
            </w:r>
          </w:p>
        </w:tc>
        <w:tc>
          <w:tcPr>
            <w:tcW w:w="1701" w:type="dxa"/>
            <w:tcBorders>
              <w:left w:val="nil"/>
              <w:bottom w:val="single" w:sz="4" w:space="0" w:color="auto"/>
              <w:right w:val="nil"/>
            </w:tcBorders>
            <w:shd w:val="clear" w:color="auto" w:fill="auto"/>
          </w:tcPr>
          <w:p w14:paraId="470B52FD"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20.4</w:t>
            </w:r>
          </w:p>
        </w:tc>
        <w:tc>
          <w:tcPr>
            <w:tcW w:w="1826" w:type="dxa"/>
            <w:tcBorders>
              <w:left w:val="nil"/>
              <w:bottom w:val="single" w:sz="4" w:space="0" w:color="auto"/>
              <w:right w:val="nil"/>
            </w:tcBorders>
          </w:tcPr>
          <w:p w14:paraId="187B8044"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20.1</w:t>
            </w:r>
          </w:p>
        </w:tc>
      </w:tr>
    </w:tbl>
    <w:p w14:paraId="3F3B244E" w14:textId="77777777" w:rsidR="00794AFD" w:rsidRPr="00FC3D06" w:rsidRDefault="00794AFD" w:rsidP="00794AFD">
      <w:pPr>
        <w:rPr>
          <w:rFonts w:asciiTheme="minorHAnsi" w:hAnsiTheme="minorHAnsi" w:cs="Times New Roman"/>
          <w:sz w:val="20"/>
          <w:szCs w:val="20"/>
        </w:rPr>
      </w:pPr>
    </w:p>
    <w:p w14:paraId="5AEC9BDA" w14:textId="77777777" w:rsidR="00794AFD" w:rsidRPr="001C5950" w:rsidRDefault="00794AFD" w:rsidP="00794AFD">
      <w:pPr>
        <w:ind w:left="142"/>
        <w:rPr>
          <w:rFonts w:asciiTheme="minorHAnsi" w:hAnsiTheme="minorHAnsi" w:cs="Times New Roman"/>
          <w:b/>
          <w:sz w:val="20"/>
          <w:szCs w:val="20"/>
        </w:rPr>
      </w:pPr>
      <w:r w:rsidRPr="001C5950">
        <w:rPr>
          <w:rFonts w:asciiTheme="minorHAnsi" w:hAnsiTheme="minorHAnsi" w:cs="Times New Roman"/>
          <w:b/>
          <w:sz w:val="20"/>
          <w:szCs w:val="20"/>
        </w:rPr>
        <w:t>Non-current liabilities</w:t>
      </w:r>
    </w:p>
    <w:tbl>
      <w:tblPr>
        <w:tblW w:w="4741" w:type="pct"/>
        <w:tblInd w:w="143" w:type="dxa"/>
        <w:tblLook w:val="0000" w:firstRow="0" w:lastRow="0" w:firstColumn="0" w:lastColumn="0" w:noHBand="0" w:noVBand="0"/>
      </w:tblPr>
      <w:tblGrid>
        <w:gridCol w:w="5573"/>
        <w:gridCol w:w="1643"/>
        <w:gridCol w:w="1770"/>
      </w:tblGrid>
      <w:tr w:rsidR="00794AFD" w:rsidRPr="001C5950" w14:paraId="5D972FBE" w14:textId="77777777" w:rsidTr="00794AFD">
        <w:tc>
          <w:tcPr>
            <w:tcW w:w="3101" w:type="pct"/>
            <w:tcBorders>
              <w:top w:val="single" w:sz="4" w:space="0" w:color="auto"/>
              <w:left w:val="nil"/>
              <w:bottom w:val="single" w:sz="4" w:space="0" w:color="auto"/>
              <w:right w:val="nil"/>
            </w:tcBorders>
          </w:tcPr>
          <w:p w14:paraId="4223DA07" w14:textId="77777777" w:rsidR="00794AFD" w:rsidRPr="00FC3D06" w:rsidRDefault="00794AFD" w:rsidP="00794AFD">
            <w:pPr>
              <w:jc w:val="both"/>
              <w:rPr>
                <w:rFonts w:asciiTheme="minorHAnsi" w:hAnsiTheme="minorHAnsi" w:cs="Times New Roman"/>
                <w:sz w:val="20"/>
                <w:szCs w:val="20"/>
              </w:rPr>
            </w:pPr>
          </w:p>
        </w:tc>
        <w:tc>
          <w:tcPr>
            <w:tcW w:w="914" w:type="pct"/>
            <w:tcBorders>
              <w:top w:val="single" w:sz="4" w:space="0" w:color="auto"/>
              <w:left w:val="nil"/>
              <w:bottom w:val="single" w:sz="4" w:space="0" w:color="auto"/>
              <w:right w:val="nil"/>
            </w:tcBorders>
          </w:tcPr>
          <w:p w14:paraId="74702498"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 xml:space="preserve">31 December </w:t>
            </w:r>
            <w:r>
              <w:rPr>
                <w:rFonts w:asciiTheme="minorHAnsi" w:hAnsiTheme="minorHAnsi" w:cs="Times New Roman"/>
                <w:b/>
                <w:bCs/>
                <w:sz w:val="20"/>
                <w:szCs w:val="20"/>
              </w:rPr>
              <w:t>2019</w:t>
            </w:r>
          </w:p>
          <w:p w14:paraId="0D38C432"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
                <w:bCs/>
                <w:sz w:val="20"/>
                <w:szCs w:val="20"/>
              </w:rPr>
              <w:t>£m</w:t>
            </w:r>
          </w:p>
        </w:tc>
        <w:tc>
          <w:tcPr>
            <w:tcW w:w="985" w:type="pct"/>
            <w:tcBorders>
              <w:top w:val="single" w:sz="4" w:space="0" w:color="auto"/>
              <w:left w:val="nil"/>
              <w:bottom w:val="single" w:sz="4" w:space="0" w:color="auto"/>
              <w:right w:val="nil"/>
            </w:tcBorders>
          </w:tcPr>
          <w:p w14:paraId="55CB7812"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 xml:space="preserve">31 December </w:t>
            </w:r>
            <w:r>
              <w:rPr>
                <w:rFonts w:asciiTheme="minorHAnsi" w:hAnsiTheme="minorHAnsi" w:cs="Times New Roman"/>
                <w:bCs/>
                <w:sz w:val="20"/>
                <w:szCs w:val="20"/>
              </w:rPr>
              <w:t>2018</w:t>
            </w:r>
          </w:p>
          <w:p w14:paraId="79CA366F"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£m</w:t>
            </w:r>
          </w:p>
        </w:tc>
      </w:tr>
      <w:tr w:rsidR="00794AFD" w:rsidRPr="001C5950" w14:paraId="16B62B77" w14:textId="77777777" w:rsidTr="00794AFD">
        <w:tc>
          <w:tcPr>
            <w:tcW w:w="3101" w:type="pct"/>
            <w:tcBorders>
              <w:top w:val="single" w:sz="4" w:space="0" w:color="auto"/>
              <w:left w:val="nil"/>
              <w:right w:val="nil"/>
            </w:tcBorders>
          </w:tcPr>
          <w:p w14:paraId="0C0F69C3" w14:textId="77777777" w:rsidR="00794AFD" w:rsidRPr="001C5950" w:rsidRDefault="00794AFD" w:rsidP="00794AFD">
            <w:pPr>
              <w:ind w:left="-108"/>
              <w:rPr>
                <w:rFonts w:asciiTheme="minorHAnsi" w:hAnsiTheme="minorHAnsi" w:cs="Times New Roman"/>
                <w:b/>
                <w:sz w:val="20"/>
                <w:szCs w:val="20"/>
              </w:rPr>
            </w:pPr>
            <w:r w:rsidRPr="001C5950">
              <w:rPr>
                <w:rFonts w:asciiTheme="minorHAnsi" w:hAnsiTheme="minorHAnsi" w:cs="Times New Roman"/>
                <w:b/>
                <w:sz w:val="20"/>
                <w:szCs w:val="20"/>
              </w:rPr>
              <w:t>Trade and other payables</w:t>
            </w:r>
          </w:p>
        </w:tc>
        <w:tc>
          <w:tcPr>
            <w:tcW w:w="914" w:type="pct"/>
            <w:tcBorders>
              <w:top w:val="single" w:sz="4" w:space="0" w:color="auto"/>
              <w:left w:val="nil"/>
              <w:right w:val="nil"/>
            </w:tcBorders>
          </w:tcPr>
          <w:p w14:paraId="46591A3B" w14:textId="77777777" w:rsidR="00794AFD" w:rsidRPr="00FC3D06" w:rsidRDefault="00794AFD" w:rsidP="00794AFD">
            <w:pPr>
              <w:jc w:val="right"/>
              <w:rPr>
                <w:rFonts w:asciiTheme="minorHAnsi" w:hAnsiTheme="minorHAnsi" w:cs="Times New Roman"/>
                <w:bCs/>
                <w:sz w:val="20"/>
                <w:szCs w:val="20"/>
              </w:rPr>
            </w:pPr>
          </w:p>
        </w:tc>
        <w:tc>
          <w:tcPr>
            <w:tcW w:w="985" w:type="pct"/>
            <w:tcBorders>
              <w:top w:val="single" w:sz="4" w:space="0" w:color="auto"/>
              <w:left w:val="nil"/>
              <w:right w:val="nil"/>
            </w:tcBorders>
          </w:tcPr>
          <w:p w14:paraId="635032B5" w14:textId="77777777" w:rsidR="00794AFD" w:rsidRPr="00FC3D06" w:rsidRDefault="00794AFD" w:rsidP="00794AFD">
            <w:pPr>
              <w:jc w:val="right"/>
              <w:rPr>
                <w:rFonts w:asciiTheme="minorHAnsi" w:hAnsiTheme="minorHAnsi" w:cs="Times New Roman"/>
                <w:bCs/>
                <w:sz w:val="20"/>
                <w:szCs w:val="20"/>
              </w:rPr>
            </w:pPr>
          </w:p>
        </w:tc>
      </w:tr>
      <w:tr w:rsidR="00794AFD" w:rsidRPr="001C5950" w14:paraId="2A51DB8A" w14:textId="77777777" w:rsidTr="00794AFD">
        <w:tc>
          <w:tcPr>
            <w:tcW w:w="3101" w:type="pct"/>
            <w:tcBorders>
              <w:top w:val="nil"/>
              <w:left w:val="nil"/>
              <w:right w:val="nil"/>
            </w:tcBorders>
          </w:tcPr>
          <w:p w14:paraId="65AE224F"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Employee benefits</w:t>
            </w:r>
          </w:p>
        </w:tc>
        <w:tc>
          <w:tcPr>
            <w:tcW w:w="914" w:type="pct"/>
            <w:tcBorders>
              <w:top w:val="nil"/>
              <w:left w:val="nil"/>
              <w:right w:val="nil"/>
            </w:tcBorders>
          </w:tcPr>
          <w:p w14:paraId="646725BC"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0.5</w:t>
            </w:r>
          </w:p>
        </w:tc>
        <w:tc>
          <w:tcPr>
            <w:tcW w:w="985" w:type="pct"/>
            <w:tcBorders>
              <w:top w:val="nil"/>
              <w:left w:val="nil"/>
              <w:right w:val="nil"/>
            </w:tcBorders>
          </w:tcPr>
          <w:p w14:paraId="641F92DC"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0.6</w:t>
            </w:r>
          </w:p>
        </w:tc>
      </w:tr>
      <w:tr w:rsidR="00794AFD" w:rsidRPr="001C5950" w14:paraId="2A91A7DE" w14:textId="77777777" w:rsidTr="00794AFD">
        <w:trPr>
          <w:trHeight w:val="130"/>
        </w:trPr>
        <w:tc>
          <w:tcPr>
            <w:tcW w:w="3101" w:type="pct"/>
            <w:tcBorders>
              <w:left w:val="nil"/>
              <w:right w:val="nil"/>
            </w:tcBorders>
          </w:tcPr>
          <w:p w14:paraId="215FF9E7"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 xml:space="preserve">Contingent deferred consideration – business combinations </w:t>
            </w:r>
          </w:p>
        </w:tc>
        <w:tc>
          <w:tcPr>
            <w:tcW w:w="914" w:type="pct"/>
            <w:tcBorders>
              <w:left w:val="nil"/>
              <w:right w:val="nil"/>
            </w:tcBorders>
          </w:tcPr>
          <w:p w14:paraId="7A02D24E" w14:textId="77777777" w:rsidR="00794AFD" w:rsidRPr="00E37505" w:rsidRDefault="00794AFD" w:rsidP="00794AFD">
            <w:pPr>
              <w:jc w:val="right"/>
              <w:rPr>
                <w:rFonts w:asciiTheme="minorHAnsi" w:hAnsiTheme="minorHAnsi" w:cs="Times New Roman"/>
                <w:b/>
                <w:bCs/>
                <w:sz w:val="20"/>
                <w:szCs w:val="20"/>
              </w:rPr>
            </w:pPr>
            <w:r w:rsidRPr="00E37505">
              <w:rPr>
                <w:rFonts w:asciiTheme="minorHAnsi" w:hAnsiTheme="minorHAnsi" w:cs="Times New Roman"/>
                <w:b/>
                <w:bCs/>
                <w:sz w:val="20"/>
                <w:szCs w:val="20"/>
              </w:rPr>
              <w:t>11.0</w:t>
            </w:r>
          </w:p>
        </w:tc>
        <w:tc>
          <w:tcPr>
            <w:tcW w:w="985" w:type="pct"/>
            <w:tcBorders>
              <w:left w:val="nil"/>
              <w:right w:val="nil"/>
            </w:tcBorders>
          </w:tcPr>
          <w:p w14:paraId="594AEDCD"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17.0</w:t>
            </w:r>
          </w:p>
        </w:tc>
      </w:tr>
      <w:tr w:rsidR="00794AFD" w:rsidRPr="001C5950" w14:paraId="5E47A809" w14:textId="77777777" w:rsidTr="00794AFD">
        <w:trPr>
          <w:trHeight w:val="130"/>
        </w:trPr>
        <w:tc>
          <w:tcPr>
            <w:tcW w:w="3101" w:type="pct"/>
            <w:tcBorders>
              <w:left w:val="nil"/>
              <w:bottom w:val="single" w:sz="4" w:space="0" w:color="auto"/>
              <w:right w:val="nil"/>
            </w:tcBorders>
          </w:tcPr>
          <w:p w14:paraId="30E1B3AF"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Accruals and other liabilities</w:t>
            </w:r>
          </w:p>
        </w:tc>
        <w:tc>
          <w:tcPr>
            <w:tcW w:w="914" w:type="pct"/>
            <w:tcBorders>
              <w:left w:val="nil"/>
              <w:bottom w:val="single" w:sz="4" w:space="0" w:color="auto"/>
              <w:right w:val="nil"/>
            </w:tcBorders>
          </w:tcPr>
          <w:p w14:paraId="5DB717B7"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w:t>
            </w:r>
          </w:p>
        </w:tc>
        <w:tc>
          <w:tcPr>
            <w:tcW w:w="985" w:type="pct"/>
            <w:tcBorders>
              <w:left w:val="nil"/>
              <w:bottom w:val="single" w:sz="4" w:space="0" w:color="auto"/>
              <w:right w:val="nil"/>
            </w:tcBorders>
          </w:tcPr>
          <w:p w14:paraId="5415AAD6"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8.6</w:t>
            </w:r>
          </w:p>
        </w:tc>
      </w:tr>
      <w:tr w:rsidR="00794AFD" w:rsidRPr="001C5950" w14:paraId="7A5496E7" w14:textId="77777777" w:rsidTr="00794AFD">
        <w:trPr>
          <w:trHeight w:val="165"/>
        </w:trPr>
        <w:tc>
          <w:tcPr>
            <w:tcW w:w="3101" w:type="pct"/>
            <w:tcBorders>
              <w:top w:val="single" w:sz="4" w:space="0" w:color="auto"/>
              <w:left w:val="nil"/>
              <w:bottom w:val="single" w:sz="4" w:space="0" w:color="auto"/>
              <w:right w:val="nil"/>
            </w:tcBorders>
          </w:tcPr>
          <w:p w14:paraId="7E06485E"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Total</w:t>
            </w:r>
          </w:p>
        </w:tc>
        <w:tc>
          <w:tcPr>
            <w:tcW w:w="914" w:type="pct"/>
            <w:tcBorders>
              <w:top w:val="single" w:sz="4" w:space="0" w:color="auto"/>
              <w:left w:val="nil"/>
              <w:bottom w:val="single" w:sz="4" w:space="0" w:color="auto"/>
              <w:right w:val="nil"/>
            </w:tcBorders>
          </w:tcPr>
          <w:p w14:paraId="52133BF4"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11.5</w:t>
            </w:r>
          </w:p>
        </w:tc>
        <w:tc>
          <w:tcPr>
            <w:tcW w:w="985" w:type="pct"/>
            <w:tcBorders>
              <w:top w:val="single" w:sz="4" w:space="0" w:color="auto"/>
              <w:left w:val="nil"/>
              <w:bottom w:val="single" w:sz="4" w:space="0" w:color="auto"/>
              <w:right w:val="nil"/>
            </w:tcBorders>
          </w:tcPr>
          <w:p w14:paraId="46EFD895"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26.2</w:t>
            </w:r>
          </w:p>
        </w:tc>
      </w:tr>
      <w:tr w:rsidR="00794AFD" w:rsidRPr="001C5950" w14:paraId="4333E6E4" w14:textId="77777777" w:rsidTr="00794AFD">
        <w:trPr>
          <w:trHeight w:val="165"/>
        </w:trPr>
        <w:tc>
          <w:tcPr>
            <w:tcW w:w="3101" w:type="pct"/>
            <w:tcBorders>
              <w:top w:val="single" w:sz="4" w:space="0" w:color="auto"/>
              <w:left w:val="nil"/>
              <w:right w:val="nil"/>
            </w:tcBorders>
          </w:tcPr>
          <w:p w14:paraId="1A2E26C3" w14:textId="77777777" w:rsidR="00794AFD" w:rsidRPr="00FC3D06" w:rsidRDefault="00794AFD" w:rsidP="00794AFD">
            <w:pPr>
              <w:ind w:left="-108"/>
              <w:rPr>
                <w:rFonts w:asciiTheme="minorHAnsi" w:hAnsiTheme="minorHAnsi" w:cs="Times New Roman"/>
                <w:sz w:val="20"/>
                <w:szCs w:val="20"/>
              </w:rPr>
            </w:pPr>
          </w:p>
        </w:tc>
        <w:tc>
          <w:tcPr>
            <w:tcW w:w="914" w:type="pct"/>
            <w:tcBorders>
              <w:top w:val="single" w:sz="4" w:space="0" w:color="auto"/>
              <w:left w:val="nil"/>
              <w:right w:val="nil"/>
            </w:tcBorders>
          </w:tcPr>
          <w:p w14:paraId="7791D0A4" w14:textId="77777777" w:rsidR="00794AFD" w:rsidRPr="000944E4" w:rsidRDefault="00794AFD" w:rsidP="00794AFD">
            <w:pPr>
              <w:jc w:val="right"/>
              <w:rPr>
                <w:rFonts w:asciiTheme="minorHAnsi" w:hAnsiTheme="minorHAnsi" w:cs="Times New Roman"/>
                <w:b/>
                <w:bCs/>
                <w:sz w:val="20"/>
                <w:szCs w:val="20"/>
              </w:rPr>
            </w:pPr>
          </w:p>
        </w:tc>
        <w:tc>
          <w:tcPr>
            <w:tcW w:w="985" w:type="pct"/>
            <w:tcBorders>
              <w:top w:val="single" w:sz="4" w:space="0" w:color="auto"/>
              <w:left w:val="nil"/>
              <w:right w:val="nil"/>
            </w:tcBorders>
          </w:tcPr>
          <w:p w14:paraId="2FFE208F" w14:textId="77777777" w:rsidR="00794AFD" w:rsidRPr="00DC37FC" w:rsidRDefault="00794AFD" w:rsidP="00794AFD">
            <w:pPr>
              <w:jc w:val="right"/>
              <w:rPr>
                <w:rFonts w:asciiTheme="minorHAnsi" w:hAnsiTheme="minorHAnsi" w:cs="Times New Roman"/>
                <w:bCs/>
                <w:sz w:val="20"/>
                <w:szCs w:val="20"/>
              </w:rPr>
            </w:pPr>
          </w:p>
        </w:tc>
      </w:tr>
      <w:tr w:rsidR="00794AFD" w:rsidRPr="001C5950" w14:paraId="5EACB82F" w14:textId="77777777" w:rsidTr="00794AFD">
        <w:trPr>
          <w:trHeight w:val="165"/>
        </w:trPr>
        <w:tc>
          <w:tcPr>
            <w:tcW w:w="3101" w:type="pct"/>
            <w:tcBorders>
              <w:left w:val="nil"/>
              <w:right w:val="nil"/>
            </w:tcBorders>
          </w:tcPr>
          <w:p w14:paraId="392D839B" w14:textId="77777777" w:rsidR="00794AFD" w:rsidRPr="001C5950" w:rsidRDefault="00794AFD" w:rsidP="00794AFD">
            <w:pPr>
              <w:ind w:left="-108"/>
              <w:rPr>
                <w:rFonts w:asciiTheme="minorHAnsi" w:hAnsiTheme="minorHAnsi" w:cs="Times New Roman"/>
                <w:b/>
                <w:sz w:val="20"/>
                <w:szCs w:val="20"/>
              </w:rPr>
            </w:pPr>
            <w:r w:rsidRPr="001C5950">
              <w:rPr>
                <w:rFonts w:asciiTheme="minorHAnsi" w:hAnsiTheme="minorHAnsi" w:cs="Times New Roman"/>
                <w:b/>
                <w:sz w:val="20"/>
                <w:szCs w:val="20"/>
              </w:rPr>
              <w:t>Derivative financial liabilities</w:t>
            </w:r>
          </w:p>
        </w:tc>
        <w:tc>
          <w:tcPr>
            <w:tcW w:w="914" w:type="pct"/>
            <w:tcBorders>
              <w:left w:val="nil"/>
              <w:right w:val="nil"/>
            </w:tcBorders>
          </w:tcPr>
          <w:p w14:paraId="221EB5CA" w14:textId="77777777" w:rsidR="00794AFD" w:rsidRPr="000944E4" w:rsidRDefault="00794AFD" w:rsidP="00794AFD">
            <w:pPr>
              <w:jc w:val="right"/>
              <w:rPr>
                <w:rFonts w:asciiTheme="minorHAnsi" w:hAnsiTheme="minorHAnsi" w:cs="Times New Roman"/>
                <w:b/>
                <w:bCs/>
                <w:sz w:val="20"/>
                <w:szCs w:val="20"/>
              </w:rPr>
            </w:pPr>
          </w:p>
        </w:tc>
        <w:tc>
          <w:tcPr>
            <w:tcW w:w="985" w:type="pct"/>
            <w:tcBorders>
              <w:left w:val="nil"/>
              <w:right w:val="nil"/>
            </w:tcBorders>
          </w:tcPr>
          <w:p w14:paraId="0F30D01E" w14:textId="77777777" w:rsidR="00794AFD" w:rsidRPr="00DC37FC" w:rsidRDefault="00794AFD" w:rsidP="00794AFD">
            <w:pPr>
              <w:jc w:val="right"/>
              <w:rPr>
                <w:rFonts w:asciiTheme="minorHAnsi" w:hAnsiTheme="minorHAnsi" w:cs="Times New Roman"/>
                <w:bCs/>
                <w:sz w:val="20"/>
                <w:szCs w:val="20"/>
              </w:rPr>
            </w:pPr>
          </w:p>
        </w:tc>
      </w:tr>
      <w:tr w:rsidR="00794AFD" w:rsidRPr="001C5950" w14:paraId="642134E3" w14:textId="77777777" w:rsidTr="00794AFD">
        <w:trPr>
          <w:trHeight w:val="80"/>
        </w:trPr>
        <w:tc>
          <w:tcPr>
            <w:tcW w:w="3101" w:type="pct"/>
            <w:tcBorders>
              <w:left w:val="nil"/>
              <w:bottom w:val="single" w:sz="4" w:space="0" w:color="auto"/>
              <w:right w:val="nil"/>
            </w:tcBorders>
          </w:tcPr>
          <w:p w14:paraId="2322C023"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Sports betting open positions</w:t>
            </w:r>
          </w:p>
        </w:tc>
        <w:tc>
          <w:tcPr>
            <w:tcW w:w="914" w:type="pct"/>
            <w:tcBorders>
              <w:left w:val="nil"/>
              <w:bottom w:val="single" w:sz="4" w:space="0" w:color="auto"/>
              <w:right w:val="nil"/>
            </w:tcBorders>
          </w:tcPr>
          <w:p w14:paraId="0731C91F"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0.7</w:t>
            </w:r>
          </w:p>
        </w:tc>
        <w:tc>
          <w:tcPr>
            <w:tcW w:w="985" w:type="pct"/>
            <w:tcBorders>
              <w:left w:val="nil"/>
              <w:bottom w:val="single" w:sz="4" w:space="0" w:color="auto"/>
              <w:right w:val="nil"/>
            </w:tcBorders>
          </w:tcPr>
          <w:p w14:paraId="1BFD6BE7" w14:textId="77777777" w:rsidR="00794AFD" w:rsidRPr="00DC37FC" w:rsidRDefault="00794AFD" w:rsidP="00794AFD">
            <w:pPr>
              <w:jc w:val="right"/>
              <w:rPr>
                <w:rFonts w:asciiTheme="minorHAnsi" w:hAnsiTheme="minorHAnsi" w:cs="Times New Roman"/>
                <w:bCs/>
                <w:sz w:val="20"/>
                <w:szCs w:val="20"/>
              </w:rPr>
            </w:pPr>
            <w:r w:rsidRPr="00DC37FC">
              <w:rPr>
                <w:rFonts w:asciiTheme="minorHAnsi" w:hAnsiTheme="minorHAnsi" w:cs="Times New Roman"/>
                <w:bCs/>
                <w:sz w:val="20"/>
                <w:szCs w:val="20"/>
              </w:rPr>
              <w:t>0.9</w:t>
            </w:r>
          </w:p>
        </w:tc>
      </w:tr>
    </w:tbl>
    <w:p w14:paraId="68F6DC9A" w14:textId="77777777" w:rsidR="00794AFD" w:rsidRPr="00FC3D06" w:rsidRDefault="00794AFD" w:rsidP="00794AFD">
      <w:pPr>
        <w:jc w:val="both"/>
        <w:rPr>
          <w:rFonts w:asciiTheme="minorHAnsi" w:hAnsiTheme="minorHAnsi" w:cs="Times New Roman"/>
          <w:b/>
          <w:sz w:val="20"/>
          <w:szCs w:val="20"/>
        </w:rPr>
      </w:pPr>
    </w:p>
    <w:p w14:paraId="6179EE9D" w14:textId="77777777" w:rsidR="00794AFD" w:rsidRPr="00227287" w:rsidRDefault="00794AFD" w:rsidP="00794AFD">
      <w:pPr>
        <w:rPr>
          <w:rFonts w:asciiTheme="minorHAnsi" w:hAnsiTheme="minorHAnsi"/>
          <w:bCs/>
          <w:sz w:val="20"/>
          <w:lang w:val="en-IE"/>
        </w:rPr>
      </w:pPr>
      <w:r w:rsidRPr="00227287">
        <w:rPr>
          <w:rFonts w:asciiTheme="minorHAnsi" w:hAnsiTheme="minorHAnsi"/>
          <w:bCs/>
          <w:sz w:val="20"/>
          <w:lang w:val="en-IE"/>
        </w:rPr>
        <w:t xml:space="preserve">The liability to purchase own shares at 31 December 2018 relates to an obligation arising under a buyback agreement for the purchase of the Company’s own </w:t>
      </w:r>
      <w:r w:rsidRPr="00D9538D">
        <w:rPr>
          <w:rFonts w:asciiTheme="minorHAnsi" w:hAnsiTheme="minorHAnsi"/>
          <w:bCs/>
          <w:sz w:val="20"/>
          <w:lang w:val="en-IE"/>
        </w:rPr>
        <w:t>shares (see Note 1</w:t>
      </w:r>
      <w:r>
        <w:rPr>
          <w:rFonts w:asciiTheme="minorHAnsi" w:hAnsiTheme="minorHAnsi"/>
          <w:bCs/>
          <w:sz w:val="20"/>
          <w:lang w:val="en-IE"/>
        </w:rPr>
        <w:t>1</w:t>
      </w:r>
      <w:r w:rsidRPr="00D9538D">
        <w:rPr>
          <w:rFonts w:asciiTheme="minorHAnsi" w:hAnsiTheme="minorHAnsi"/>
          <w:bCs/>
          <w:sz w:val="20"/>
          <w:lang w:val="en-IE"/>
        </w:rPr>
        <w:t>). Th</w:t>
      </w:r>
      <w:r w:rsidRPr="00227287">
        <w:rPr>
          <w:rFonts w:asciiTheme="minorHAnsi" w:hAnsiTheme="minorHAnsi"/>
          <w:bCs/>
          <w:sz w:val="20"/>
          <w:lang w:val="en-IE"/>
        </w:rPr>
        <w:t>e share buyback was completed in full in 2019.</w:t>
      </w:r>
    </w:p>
    <w:p w14:paraId="1DC3E1BE" w14:textId="77777777" w:rsidR="00794AFD" w:rsidRPr="00FC3D06" w:rsidRDefault="00794AFD" w:rsidP="00794AFD">
      <w:pPr>
        <w:jc w:val="both"/>
        <w:rPr>
          <w:rFonts w:asciiTheme="minorHAnsi" w:hAnsiTheme="minorHAnsi" w:cs="Times New Roman"/>
          <w:b/>
          <w:sz w:val="20"/>
          <w:szCs w:val="20"/>
        </w:rPr>
      </w:pPr>
    </w:p>
    <w:p w14:paraId="7EB7EE4B" w14:textId="77777777" w:rsidR="00794AFD" w:rsidRDefault="00794AFD" w:rsidP="00794AFD">
      <w:pPr>
        <w:widowControl/>
        <w:autoSpaceDE/>
        <w:autoSpaceDN/>
        <w:adjustRightInd/>
        <w:rPr>
          <w:rFonts w:asciiTheme="minorHAnsi" w:hAnsiTheme="minorHAnsi" w:cs="Times New Roman"/>
          <w:b/>
          <w:bCs/>
          <w:sz w:val="20"/>
          <w:szCs w:val="20"/>
        </w:rPr>
      </w:pPr>
      <w:r>
        <w:rPr>
          <w:rFonts w:asciiTheme="minorHAnsi" w:hAnsiTheme="minorHAnsi" w:cs="Times New Roman"/>
          <w:b/>
          <w:bCs/>
          <w:sz w:val="20"/>
          <w:szCs w:val="20"/>
        </w:rPr>
        <w:br w:type="page"/>
      </w:r>
    </w:p>
    <w:p w14:paraId="713D9CE4" w14:textId="77777777" w:rsidR="00794AFD" w:rsidRPr="001C5950" w:rsidRDefault="00794AFD" w:rsidP="00794AFD">
      <w:pPr>
        <w:widowControl/>
        <w:autoSpaceDE/>
        <w:autoSpaceDN/>
        <w:adjustRightInd/>
        <w:rPr>
          <w:rFonts w:asciiTheme="minorHAnsi" w:hAnsiTheme="minorHAnsi" w:cs="Times New Roman"/>
          <w:b/>
          <w:bCs/>
          <w:sz w:val="20"/>
          <w:szCs w:val="20"/>
        </w:rPr>
      </w:pPr>
      <w:r>
        <w:rPr>
          <w:rFonts w:asciiTheme="minorHAnsi" w:hAnsiTheme="minorHAnsi" w:cs="Times New Roman"/>
          <w:b/>
          <w:bCs/>
          <w:sz w:val="20"/>
          <w:szCs w:val="20"/>
        </w:rPr>
        <w:lastRenderedPageBreak/>
        <w:t>13</w:t>
      </w:r>
      <w:r w:rsidRPr="001C5950">
        <w:rPr>
          <w:rFonts w:asciiTheme="minorHAnsi" w:hAnsiTheme="minorHAnsi" w:cs="Times New Roman"/>
          <w:b/>
          <w:bCs/>
          <w:sz w:val="20"/>
          <w:szCs w:val="20"/>
        </w:rPr>
        <w:t>.  Trade and other payables and derivative financial liabilities</w:t>
      </w:r>
      <w:r>
        <w:rPr>
          <w:rFonts w:asciiTheme="minorHAnsi" w:hAnsiTheme="minorHAnsi" w:cs="Times New Roman"/>
          <w:b/>
          <w:bCs/>
          <w:sz w:val="20"/>
          <w:szCs w:val="20"/>
        </w:rPr>
        <w:t xml:space="preserve"> (continued)</w:t>
      </w:r>
    </w:p>
    <w:p w14:paraId="63B8DB86" w14:textId="77777777" w:rsidR="00794AFD" w:rsidRDefault="00794AFD" w:rsidP="00794AFD">
      <w:pPr>
        <w:rPr>
          <w:rFonts w:asciiTheme="minorHAnsi" w:hAnsiTheme="minorHAnsi" w:cs="Times New Roman"/>
          <w:b/>
          <w:sz w:val="20"/>
          <w:szCs w:val="20"/>
        </w:rPr>
      </w:pPr>
    </w:p>
    <w:p w14:paraId="45CA97E5" w14:textId="77777777" w:rsidR="00794AFD" w:rsidRPr="001C5950" w:rsidRDefault="00794AFD" w:rsidP="00794AFD">
      <w:pPr>
        <w:rPr>
          <w:rFonts w:asciiTheme="minorHAnsi" w:hAnsiTheme="minorHAnsi" w:cs="Times New Roman"/>
          <w:b/>
          <w:sz w:val="20"/>
          <w:szCs w:val="20"/>
        </w:rPr>
      </w:pPr>
      <w:r w:rsidRPr="001C5950">
        <w:rPr>
          <w:rFonts w:asciiTheme="minorHAnsi" w:hAnsiTheme="minorHAnsi" w:cs="Times New Roman"/>
          <w:b/>
          <w:sz w:val="20"/>
          <w:szCs w:val="20"/>
        </w:rPr>
        <w:t>Sports betting open positions</w:t>
      </w:r>
    </w:p>
    <w:p w14:paraId="0831FB78"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cs="Times New Roman"/>
          <w:sz w:val="20"/>
          <w:szCs w:val="20"/>
        </w:rPr>
        <w:t>Amounts received from customers on sportsbook events that have not occurred by the year end are derivative financial instruments and have been designated by the Group on initial recognition as financial liabilities at fair value through profit or loss.</w:t>
      </w:r>
    </w:p>
    <w:p w14:paraId="0088E4D1" w14:textId="77777777" w:rsidR="00794AFD" w:rsidRPr="0084401F" w:rsidRDefault="00794AFD" w:rsidP="00794AFD">
      <w:pPr>
        <w:rPr>
          <w:rFonts w:asciiTheme="minorHAnsi" w:hAnsiTheme="minorHAnsi" w:cs="Times New Roman"/>
          <w:sz w:val="12"/>
          <w:szCs w:val="12"/>
        </w:rPr>
      </w:pPr>
    </w:p>
    <w:p w14:paraId="1EBEDE93"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cs="Times New Roman"/>
          <w:sz w:val="20"/>
          <w:szCs w:val="20"/>
        </w:rPr>
        <w:t>The carrying amount of the liabilities is not significantly different from the amount that the Group is expected to pay out at maturity of the financial instruments. Sports bets are non-interest bearing. There is no interest rate or credit risk associated with open sports bets.</w:t>
      </w:r>
    </w:p>
    <w:p w14:paraId="1B6D6D2C" w14:textId="77777777" w:rsidR="00794AFD" w:rsidRPr="0084401F" w:rsidRDefault="00794AFD" w:rsidP="00794AFD">
      <w:pPr>
        <w:widowControl/>
        <w:autoSpaceDE/>
        <w:autoSpaceDN/>
        <w:adjustRightInd/>
        <w:rPr>
          <w:rFonts w:asciiTheme="minorHAnsi" w:hAnsiTheme="minorHAnsi" w:cs="Times New Roman"/>
          <w:sz w:val="12"/>
          <w:szCs w:val="12"/>
        </w:rPr>
      </w:pPr>
    </w:p>
    <w:p w14:paraId="5001DFB4" w14:textId="77777777" w:rsidR="00794AFD" w:rsidRPr="00974F84" w:rsidRDefault="00794AFD" w:rsidP="00794AFD">
      <w:pPr>
        <w:widowControl/>
        <w:autoSpaceDE/>
        <w:autoSpaceDN/>
        <w:adjustRightInd/>
        <w:rPr>
          <w:rFonts w:asciiTheme="minorHAnsi" w:hAnsiTheme="minorHAnsi" w:cs="Times New Roman"/>
          <w:b/>
          <w:sz w:val="20"/>
          <w:szCs w:val="20"/>
        </w:rPr>
      </w:pPr>
      <w:r w:rsidRPr="00974F84">
        <w:rPr>
          <w:rFonts w:asciiTheme="minorHAnsi" w:hAnsiTheme="minorHAnsi" w:cs="Times New Roman"/>
          <w:b/>
          <w:sz w:val="20"/>
          <w:szCs w:val="20"/>
        </w:rPr>
        <w:t>Contingent deferred consideration – business combinations</w:t>
      </w:r>
    </w:p>
    <w:p w14:paraId="72EFCCC0" w14:textId="77777777" w:rsidR="00794AFD" w:rsidRDefault="00794AFD" w:rsidP="00794AFD">
      <w:pPr>
        <w:widowControl/>
        <w:autoSpaceDE/>
        <w:autoSpaceDN/>
        <w:adjustRightInd/>
        <w:rPr>
          <w:rFonts w:asciiTheme="minorHAnsi" w:hAnsiTheme="minorHAnsi"/>
          <w:bCs/>
          <w:sz w:val="20"/>
          <w:lang w:val="en-IE"/>
        </w:rPr>
      </w:pPr>
      <w:r w:rsidRPr="00974F84">
        <w:rPr>
          <w:rFonts w:asciiTheme="minorHAnsi" w:hAnsiTheme="minorHAnsi"/>
          <w:bCs/>
          <w:sz w:val="20"/>
          <w:lang w:val="en-IE"/>
        </w:rPr>
        <w:t xml:space="preserve">Included within non-current liabilities is contingent and deferred consideration </w:t>
      </w:r>
      <w:r w:rsidRPr="00070ED0">
        <w:rPr>
          <w:rFonts w:asciiTheme="minorHAnsi" w:hAnsiTheme="minorHAnsi"/>
          <w:bCs/>
          <w:sz w:val="20"/>
          <w:lang w:val="en-IE"/>
        </w:rPr>
        <w:t>of £1</w:t>
      </w:r>
      <w:r>
        <w:rPr>
          <w:rFonts w:asciiTheme="minorHAnsi" w:hAnsiTheme="minorHAnsi"/>
          <w:bCs/>
          <w:sz w:val="20"/>
          <w:lang w:val="en-IE"/>
        </w:rPr>
        <w:t>1</w:t>
      </w:r>
      <w:r w:rsidRPr="00070ED0">
        <w:rPr>
          <w:rFonts w:asciiTheme="minorHAnsi" w:hAnsiTheme="minorHAnsi"/>
          <w:bCs/>
          <w:sz w:val="20"/>
          <w:lang w:val="en-IE"/>
        </w:rPr>
        <w:t>.0m due to Betfair’s historical acquisition of HRTV, a horseracing television network based in the United States. The amount payable</w:t>
      </w:r>
      <w:r w:rsidRPr="00974F84">
        <w:rPr>
          <w:rFonts w:asciiTheme="minorHAnsi" w:hAnsiTheme="minorHAnsi"/>
          <w:bCs/>
          <w:sz w:val="20"/>
          <w:lang w:val="en-IE"/>
        </w:rPr>
        <w:t xml:space="preserve"> at 31 December 2019 in respect of th</w:t>
      </w:r>
      <w:r>
        <w:rPr>
          <w:rFonts w:asciiTheme="minorHAnsi" w:hAnsiTheme="minorHAnsi"/>
          <w:bCs/>
          <w:sz w:val="20"/>
          <w:lang w:val="en-IE"/>
        </w:rPr>
        <w:t>e HRTV</w:t>
      </w:r>
      <w:r w:rsidRPr="00974F84">
        <w:rPr>
          <w:rFonts w:asciiTheme="minorHAnsi" w:hAnsiTheme="minorHAnsi"/>
          <w:bCs/>
          <w:sz w:val="20"/>
          <w:lang w:val="en-IE"/>
        </w:rPr>
        <w:t xml:space="preserve"> acquisition amounted to </w:t>
      </w:r>
      <w:r w:rsidRPr="00070ED0">
        <w:rPr>
          <w:rFonts w:asciiTheme="minorHAnsi" w:hAnsiTheme="minorHAnsi"/>
          <w:bCs/>
          <w:sz w:val="20"/>
          <w:lang w:val="en-IE"/>
        </w:rPr>
        <w:t>£18.</w:t>
      </w:r>
      <w:r>
        <w:rPr>
          <w:rFonts w:asciiTheme="minorHAnsi" w:hAnsiTheme="minorHAnsi"/>
          <w:bCs/>
          <w:sz w:val="20"/>
          <w:lang w:val="en-IE"/>
        </w:rPr>
        <w:t>3</w:t>
      </w:r>
      <w:r w:rsidRPr="00070ED0">
        <w:rPr>
          <w:rFonts w:asciiTheme="minorHAnsi" w:hAnsiTheme="minorHAnsi"/>
          <w:bCs/>
          <w:sz w:val="20"/>
          <w:lang w:val="en-IE"/>
        </w:rPr>
        <w:t>m, with £1</w:t>
      </w:r>
      <w:r>
        <w:rPr>
          <w:rFonts w:asciiTheme="minorHAnsi" w:hAnsiTheme="minorHAnsi"/>
          <w:bCs/>
          <w:sz w:val="20"/>
          <w:lang w:val="en-IE"/>
        </w:rPr>
        <w:t>1</w:t>
      </w:r>
      <w:r w:rsidRPr="00070ED0">
        <w:rPr>
          <w:rFonts w:asciiTheme="minorHAnsi" w:hAnsiTheme="minorHAnsi"/>
          <w:bCs/>
          <w:sz w:val="20"/>
          <w:lang w:val="en-IE"/>
        </w:rPr>
        <w:t>.0m</w:t>
      </w:r>
      <w:r w:rsidRPr="00974F84">
        <w:rPr>
          <w:rFonts w:asciiTheme="minorHAnsi" w:hAnsiTheme="minorHAnsi"/>
          <w:bCs/>
          <w:sz w:val="20"/>
          <w:lang w:val="en-IE"/>
        </w:rPr>
        <w:t xml:space="preserve"> due after one year from the reporting date.</w:t>
      </w:r>
      <w:r w:rsidRPr="001C5950">
        <w:rPr>
          <w:rFonts w:asciiTheme="minorHAnsi" w:hAnsiTheme="minorHAnsi"/>
          <w:bCs/>
          <w:sz w:val="20"/>
          <w:lang w:val="en-IE"/>
        </w:rPr>
        <w:t xml:space="preserve"> </w:t>
      </w:r>
    </w:p>
    <w:p w14:paraId="748EC780" w14:textId="77777777" w:rsidR="00794AFD" w:rsidRPr="001C5950" w:rsidRDefault="00794AFD" w:rsidP="00794AFD">
      <w:pPr>
        <w:widowControl/>
        <w:autoSpaceDE/>
        <w:autoSpaceDN/>
        <w:adjustRightInd/>
        <w:rPr>
          <w:rFonts w:asciiTheme="minorHAnsi" w:hAnsiTheme="minorHAnsi" w:cs="Times New Roman"/>
          <w:sz w:val="20"/>
          <w:szCs w:val="20"/>
        </w:rPr>
      </w:pPr>
    </w:p>
    <w:p w14:paraId="24886D1E" w14:textId="77777777" w:rsidR="00794AFD" w:rsidRPr="001C5950" w:rsidRDefault="00794AFD" w:rsidP="00794AFD">
      <w:pPr>
        <w:rPr>
          <w:rFonts w:asciiTheme="minorHAnsi" w:hAnsiTheme="minorHAnsi"/>
          <w:b/>
          <w:sz w:val="20"/>
          <w:szCs w:val="20"/>
          <w:lang w:val="en-IE"/>
        </w:rPr>
      </w:pPr>
      <w:bookmarkStart w:id="46" w:name="_Hlk1026077"/>
      <w:r>
        <w:rPr>
          <w:rFonts w:asciiTheme="minorHAnsi" w:hAnsiTheme="minorHAnsi"/>
          <w:b/>
          <w:sz w:val="20"/>
          <w:szCs w:val="20"/>
          <w:lang w:val="en-IE"/>
        </w:rPr>
        <w:t>14</w:t>
      </w:r>
      <w:r w:rsidRPr="001C5950">
        <w:rPr>
          <w:rFonts w:asciiTheme="minorHAnsi" w:hAnsiTheme="minorHAnsi"/>
          <w:b/>
          <w:sz w:val="20"/>
          <w:szCs w:val="20"/>
          <w:lang w:val="en-IE"/>
        </w:rPr>
        <w:t xml:space="preserve">.  Borrowings </w:t>
      </w:r>
      <w:r>
        <w:rPr>
          <w:rFonts w:asciiTheme="minorHAnsi" w:hAnsiTheme="minorHAnsi"/>
          <w:b/>
          <w:sz w:val="20"/>
          <w:szCs w:val="20"/>
          <w:lang w:val="en-IE"/>
        </w:rPr>
        <w:t>and Lease liabilities</w:t>
      </w:r>
    </w:p>
    <w:p w14:paraId="20CED5DE" w14:textId="77777777" w:rsidR="00794AFD" w:rsidRPr="00DC37FC" w:rsidRDefault="00794AFD" w:rsidP="00794AFD">
      <w:pPr>
        <w:rPr>
          <w:rFonts w:asciiTheme="minorHAnsi" w:hAnsiTheme="minorHAnsi"/>
          <w:b/>
          <w:sz w:val="12"/>
          <w:szCs w:val="12"/>
          <w:lang w:val="en-IE"/>
        </w:rPr>
      </w:pPr>
    </w:p>
    <w:p w14:paraId="39EF6171" w14:textId="77777777" w:rsidR="00794AFD" w:rsidRPr="001C5950" w:rsidRDefault="00794AFD" w:rsidP="00794AFD">
      <w:pPr>
        <w:ind w:left="142"/>
        <w:rPr>
          <w:rFonts w:asciiTheme="minorHAnsi" w:hAnsiTheme="minorHAnsi"/>
          <w:b/>
          <w:sz w:val="20"/>
          <w:szCs w:val="20"/>
          <w:lang w:val="en-IE"/>
        </w:rPr>
      </w:pPr>
      <w:r w:rsidRPr="001C5950">
        <w:rPr>
          <w:rFonts w:asciiTheme="minorHAnsi" w:hAnsiTheme="minorHAnsi"/>
          <w:b/>
          <w:sz w:val="20"/>
          <w:szCs w:val="20"/>
          <w:lang w:val="en-IE"/>
        </w:rPr>
        <w:t>Current liabilities</w:t>
      </w:r>
    </w:p>
    <w:tbl>
      <w:tblPr>
        <w:tblW w:w="0" w:type="auto"/>
        <w:tblInd w:w="108" w:type="dxa"/>
        <w:tblLook w:val="01E0" w:firstRow="1" w:lastRow="1" w:firstColumn="1" w:lastColumn="1" w:noHBand="0" w:noVBand="0"/>
      </w:tblPr>
      <w:tblGrid>
        <w:gridCol w:w="2088"/>
        <w:gridCol w:w="2088"/>
        <w:gridCol w:w="1800"/>
        <w:gridCol w:w="1788"/>
      </w:tblGrid>
      <w:tr w:rsidR="00794AFD" w:rsidRPr="001C5950" w14:paraId="35FBC4FB" w14:textId="77777777" w:rsidTr="00794AFD">
        <w:trPr>
          <w:trHeight w:val="204"/>
        </w:trPr>
        <w:tc>
          <w:tcPr>
            <w:tcW w:w="0" w:type="auto"/>
            <w:tcBorders>
              <w:top w:val="single" w:sz="4" w:space="0" w:color="auto"/>
              <w:bottom w:val="single" w:sz="4" w:space="0" w:color="auto"/>
            </w:tcBorders>
          </w:tcPr>
          <w:p w14:paraId="2F7A03F1" w14:textId="77777777" w:rsidR="00794AFD" w:rsidRPr="001C5950" w:rsidRDefault="00794AFD" w:rsidP="00794AFD">
            <w:pPr>
              <w:pStyle w:val="body"/>
              <w:ind w:left="-108"/>
              <w:rPr>
                <w:rFonts w:asciiTheme="minorHAnsi" w:hAnsiTheme="minorHAnsi"/>
                <w:sz w:val="20"/>
                <w:szCs w:val="20"/>
                <w:lang w:val="en-IE"/>
              </w:rPr>
            </w:pPr>
          </w:p>
        </w:tc>
        <w:tc>
          <w:tcPr>
            <w:tcW w:w="0" w:type="auto"/>
            <w:tcBorders>
              <w:top w:val="single" w:sz="4" w:space="0" w:color="auto"/>
              <w:bottom w:val="single" w:sz="4" w:space="0" w:color="auto"/>
            </w:tcBorders>
            <w:shd w:val="clear" w:color="auto" w:fill="auto"/>
          </w:tcPr>
          <w:p w14:paraId="76F610DC" w14:textId="77777777" w:rsidR="00794AFD" w:rsidRPr="001C5950" w:rsidRDefault="00794AFD" w:rsidP="00794AFD">
            <w:pPr>
              <w:pStyle w:val="body"/>
              <w:ind w:left="-108"/>
              <w:rPr>
                <w:rFonts w:asciiTheme="minorHAnsi" w:hAnsiTheme="minorHAnsi"/>
                <w:b/>
                <w:sz w:val="20"/>
                <w:szCs w:val="20"/>
                <w:lang w:val="en-IE" w:eastAsia="en-IE"/>
              </w:rPr>
            </w:pPr>
            <w:r w:rsidRPr="001C5950">
              <w:rPr>
                <w:rFonts w:asciiTheme="minorHAnsi" w:hAnsiTheme="minorHAnsi"/>
                <w:sz w:val="20"/>
                <w:szCs w:val="20"/>
                <w:lang w:val="en-IE"/>
              </w:rPr>
              <w:br w:type="page"/>
            </w:r>
          </w:p>
        </w:tc>
        <w:tc>
          <w:tcPr>
            <w:tcW w:w="0" w:type="auto"/>
            <w:tcBorders>
              <w:top w:val="single" w:sz="4" w:space="0" w:color="auto"/>
              <w:bottom w:val="single" w:sz="4" w:space="0" w:color="auto"/>
            </w:tcBorders>
            <w:shd w:val="clear" w:color="auto" w:fill="auto"/>
          </w:tcPr>
          <w:p w14:paraId="58F1BFBB" w14:textId="77777777" w:rsidR="00794AFD" w:rsidRPr="001C5950" w:rsidRDefault="00794AFD" w:rsidP="00794AFD">
            <w:pPr>
              <w:pStyle w:val="body"/>
              <w:ind w:left="32"/>
              <w:jc w:val="right"/>
              <w:rPr>
                <w:rFonts w:asciiTheme="minorHAnsi" w:hAnsiTheme="minorHAnsi"/>
                <w:b/>
                <w:sz w:val="20"/>
                <w:szCs w:val="20"/>
                <w:lang w:val="en-IE" w:eastAsia="en-IE"/>
              </w:rPr>
            </w:pPr>
          </w:p>
          <w:p w14:paraId="4D5553DB" w14:textId="77777777" w:rsidR="00794AFD" w:rsidRPr="001C5950" w:rsidRDefault="00794AFD" w:rsidP="00794AFD">
            <w:pPr>
              <w:pStyle w:val="body"/>
              <w:ind w:left="32"/>
              <w:jc w:val="right"/>
              <w:rPr>
                <w:rFonts w:asciiTheme="minorHAnsi" w:hAnsiTheme="minorHAnsi"/>
                <w:b/>
                <w:sz w:val="20"/>
                <w:szCs w:val="20"/>
                <w:lang w:val="en-IE" w:eastAsia="en-IE"/>
              </w:rPr>
            </w:pPr>
            <w:r w:rsidRPr="001C5950">
              <w:rPr>
                <w:rFonts w:asciiTheme="minorHAnsi" w:hAnsiTheme="minorHAnsi"/>
                <w:b/>
                <w:sz w:val="20"/>
                <w:szCs w:val="20"/>
                <w:lang w:val="en-IE" w:eastAsia="en-IE"/>
              </w:rPr>
              <w:t xml:space="preserve">31 December </w:t>
            </w:r>
            <w:r>
              <w:rPr>
                <w:rFonts w:asciiTheme="minorHAnsi" w:hAnsiTheme="minorHAnsi"/>
                <w:b/>
                <w:sz w:val="20"/>
                <w:szCs w:val="20"/>
                <w:lang w:val="en-IE" w:eastAsia="en-IE"/>
              </w:rPr>
              <w:t>2019</w:t>
            </w:r>
          </w:p>
          <w:p w14:paraId="5D7EDA1D" w14:textId="77777777" w:rsidR="00794AFD" w:rsidRPr="001C5950" w:rsidRDefault="00794AFD" w:rsidP="00794AFD">
            <w:pPr>
              <w:pStyle w:val="body"/>
              <w:ind w:left="32"/>
              <w:jc w:val="right"/>
              <w:rPr>
                <w:rFonts w:asciiTheme="minorHAnsi" w:hAnsiTheme="minorHAnsi"/>
                <w:b/>
                <w:sz w:val="20"/>
                <w:szCs w:val="20"/>
                <w:lang w:val="en-IE" w:eastAsia="en-IE"/>
              </w:rPr>
            </w:pPr>
            <w:r w:rsidRPr="001C5950">
              <w:rPr>
                <w:rFonts w:asciiTheme="minorHAnsi" w:hAnsiTheme="minorHAnsi"/>
                <w:b/>
                <w:sz w:val="20"/>
                <w:szCs w:val="20"/>
                <w:lang w:val="en-IE" w:eastAsia="en-IE"/>
              </w:rPr>
              <w:t>£m</w:t>
            </w:r>
          </w:p>
        </w:tc>
        <w:tc>
          <w:tcPr>
            <w:tcW w:w="0" w:type="auto"/>
            <w:tcBorders>
              <w:top w:val="single" w:sz="4" w:space="0" w:color="auto"/>
              <w:bottom w:val="single" w:sz="4" w:space="0" w:color="auto"/>
            </w:tcBorders>
            <w:shd w:val="clear" w:color="auto" w:fill="auto"/>
          </w:tcPr>
          <w:p w14:paraId="66827767" w14:textId="77777777" w:rsidR="00794AFD" w:rsidRPr="001C5950" w:rsidRDefault="00794AFD" w:rsidP="00794AFD">
            <w:pPr>
              <w:pStyle w:val="body"/>
              <w:ind w:left="-358"/>
              <w:jc w:val="right"/>
              <w:rPr>
                <w:rFonts w:asciiTheme="minorHAnsi" w:hAnsiTheme="minorHAnsi"/>
                <w:sz w:val="20"/>
                <w:szCs w:val="20"/>
                <w:lang w:val="en-IE" w:eastAsia="en-IE"/>
              </w:rPr>
            </w:pPr>
          </w:p>
          <w:p w14:paraId="362BA7B3" w14:textId="77777777" w:rsidR="00794AFD" w:rsidRPr="001C5950" w:rsidRDefault="00794AFD" w:rsidP="00794AFD">
            <w:pPr>
              <w:pStyle w:val="body"/>
              <w:ind w:left="-358"/>
              <w:jc w:val="right"/>
              <w:rPr>
                <w:rFonts w:asciiTheme="minorHAnsi" w:hAnsiTheme="minorHAnsi"/>
                <w:sz w:val="20"/>
                <w:szCs w:val="20"/>
                <w:lang w:val="en-IE" w:eastAsia="en-IE"/>
              </w:rPr>
            </w:pPr>
            <w:r w:rsidRPr="001C5950">
              <w:rPr>
                <w:rFonts w:asciiTheme="minorHAnsi" w:hAnsiTheme="minorHAnsi"/>
                <w:sz w:val="20"/>
                <w:szCs w:val="20"/>
                <w:lang w:val="en-IE" w:eastAsia="en-IE"/>
              </w:rPr>
              <w:t xml:space="preserve">31 December </w:t>
            </w:r>
            <w:r>
              <w:rPr>
                <w:rFonts w:asciiTheme="minorHAnsi" w:hAnsiTheme="minorHAnsi"/>
                <w:sz w:val="20"/>
                <w:szCs w:val="20"/>
                <w:lang w:val="en-IE" w:eastAsia="en-IE"/>
              </w:rPr>
              <w:t>2018</w:t>
            </w:r>
          </w:p>
          <w:p w14:paraId="43CD4C7A" w14:textId="77777777" w:rsidR="00794AFD" w:rsidRPr="001C5950" w:rsidRDefault="00794AFD" w:rsidP="00794AFD">
            <w:pPr>
              <w:pStyle w:val="body"/>
              <w:ind w:left="-358"/>
              <w:jc w:val="right"/>
              <w:rPr>
                <w:rFonts w:asciiTheme="minorHAnsi" w:hAnsiTheme="minorHAnsi"/>
                <w:sz w:val="20"/>
                <w:szCs w:val="20"/>
                <w:lang w:val="en-IE" w:eastAsia="en-IE"/>
              </w:rPr>
            </w:pPr>
            <w:r w:rsidRPr="001C5950">
              <w:rPr>
                <w:rFonts w:asciiTheme="minorHAnsi" w:hAnsiTheme="minorHAnsi"/>
                <w:sz w:val="20"/>
                <w:szCs w:val="20"/>
                <w:lang w:val="en-IE" w:eastAsia="en-IE"/>
              </w:rPr>
              <w:t>£m</w:t>
            </w:r>
          </w:p>
        </w:tc>
      </w:tr>
      <w:tr w:rsidR="00794AFD" w:rsidRPr="001C5950" w14:paraId="09299BD4" w14:textId="77777777" w:rsidTr="00794AFD">
        <w:trPr>
          <w:trHeight w:val="204"/>
        </w:trPr>
        <w:tc>
          <w:tcPr>
            <w:tcW w:w="0" w:type="auto"/>
            <w:gridSpan w:val="2"/>
            <w:tcBorders>
              <w:top w:val="single" w:sz="4" w:space="0" w:color="auto"/>
            </w:tcBorders>
          </w:tcPr>
          <w:p w14:paraId="16C090CD" w14:textId="77777777" w:rsidR="00794AFD" w:rsidRPr="001C5950" w:rsidRDefault="00794AFD" w:rsidP="00794AFD">
            <w:pPr>
              <w:pStyle w:val="body"/>
              <w:spacing w:line="240" w:lineRule="auto"/>
              <w:ind w:left="-108"/>
              <w:rPr>
                <w:rFonts w:asciiTheme="minorHAnsi" w:hAnsiTheme="minorHAnsi"/>
                <w:sz w:val="20"/>
                <w:szCs w:val="20"/>
                <w:lang w:val="en-IE"/>
              </w:rPr>
            </w:pPr>
            <w:r>
              <w:rPr>
                <w:rFonts w:asciiTheme="minorHAnsi" w:hAnsiTheme="minorHAnsi"/>
                <w:sz w:val="20"/>
                <w:szCs w:val="20"/>
                <w:lang w:val="en-IE"/>
              </w:rPr>
              <w:t>Term Loan Facility</w:t>
            </w:r>
          </w:p>
        </w:tc>
        <w:tc>
          <w:tcPr>
            <w:tcW w:w="0" w:type="auto"/>
            <w:tcBorders>
              <w:top w:val="single" w:sz="4" w:space="0" w:color="auto"/>
            </w:tcBorders>
            <w:shd w:val="clear" w:color="auto" w:fill="auto"/>
          </w:tcPr>
          <w:p w14:paraId="747FC41D" w14:textId="77777777" w:rsidR="00794AFD" w:rsidRPr="00784F67" w:rsidRDefault="00794AFD" w:rsidP="00794AFD">
            <w:pPr>
              <w:pStyle w:val="body"/>
              <w:ind w:left="360"/>
              <w:jc w:val="right"/>
              <w:rPr>
                <w:rFonts w:asciiTheme="minorHAnsi" w:hAnsiTheme="minorHAnsi"/>
                <w:b/>
                <w:sz w:val="20"/>
                <w:szCs w:val="20"/>
                <w:lang w:val="en-IE" w:eastAsia="en-IE"/>
              </w:rPr>
            </w:pPr>
            <w:r w:rsidRPr="00784F67">
              <w:rPr>
                <w:rFonts w:asciiTheme="minorHAnsi" w:hAnsiTheme="minorHAnsi"/>
                <w:b/>
                <w:sz w:val="20"/>
                <w:szCs w:val="20"/>
                <w:lang w:val="en-IE" w:eastAsia="en-IE"/>
              </w:rPr>
              <w:t>250.0</w:t>
            </w:r>
          </w:p>
        </w:tc>
        <w:tc>
          <w:tcPr>
            <w:tcW w:w="0" w:type="auto"/>
            <w:tcBorders>
              <w:top w:val="single" w:sz="4" w:space="0" w:color="auto"/>
            </w:tcBorders>
            <w:shd w:val="clear" w:color="auto" w:fill="auto"/>
          </w:tcPr>
          <w:p w14:paraId="64937CDA" w14:textId="77777777" w:rsidR="00794AFD" w:rsidRPr="00DC37FC" w:rsidRDefault="00794AFD" w:rsidP="00794AFD">
            <w:pPr>
              <w:pStyle w:val="body"/>
              <w:ind w:left="787"/>
              <w:jc w:val="right"/>
              <w:rPr>
                <w:rFonts w:asciiTheme="minorHAnsi" w:hAnsiTheme="minorHAnsi"/>
                <w:sz w:val="20"/>
                <w:szCs w:val="20"/>
                <w:lang w:val="en-IE" w:eastAsia="en-IE"/>
              </w:rPr>
            </w:pPr>
            <w:r>
              <w:rPr>
                <w:rFonts w:asciiTheme="minorHAnsi" w:hAnsiTheme="minorHAnsi"/>
                <w:sz w:val="20"/>
                <w:szCs w:val="20"/>
                <w:lang w:val="en-IE" w:eastAsia="en-IE"/>
              </w:rPr>
              <w:t>-</w:t>
            </w:r>
          </w:p>
        </w:tc>
      </w:tr>
      <w:tr w:rsidR="00794AFD" w:rsidRPr="00DC37FC" w14:paraId="0CB77B2F" w14:textId="77777777" w:rsidTr="00794AFD">
        <w:trPr>
          <w:trHeight w:val="204"/>
        </w:trPr>
        <w:tc>
          <w:tcPr>
            <w:tcW w:w="0" w:type="auto"/>
            <w:gridSpan w:val="2"/>
          </w:tcPr>
          <w:p w14:paraId="1C4BC552" w14:textId="77777777" w:rsidR="00794AFD" w:rsidRPr="001C5950" w:rsidRDefault="00794AFD" w:rsidP="00794AFD">
            <w:pPr>
              <w:pStyle w:val="body"/>
              <w:spacing w:line="240" w:lineRule="auto"/>
              <w:ind w:left="-108"/>
              <w:rPr>
                <w:rFonts w:asciiTheme="minorHAnsi" w:hAnsiTheme="minorHAnsi"/>
                <w:sz w:val="20"/>
                <w:szCs w:val="20"/>
                <w:lang w:val="en-IE"/>
              </w:rPr>
            </w:pPr>
            <w:r>
              <w:rPr>
                <w:rFonts w:asciiTheme="minorHAnsi" w:hAnsiTheme="minorHAnsi"/>
                <w:sz w:val="20"/>
                <w:szCs w:val="20"/>
                <w:lang w:val="en-IE"/>
              </w:rPr>
              <w:t>Overdraft facility</w:t>
            </w:r>
          </w:p>
        </w:tc>
        <w:tc>
          <w:tcPr>
            <w:tcW w:w="0" w:type="auto"/>
            <w:shd w:val="clear" w:color="auto" w:fill="auto"/>
          </w:tcPr>
          <w:p w14:paraId="21DDA233" w14:textId="77777777" w:rsidR="00794AFD" w:rsidRPr="00784F67" w:rsidRDefault="00794AFD" w:rsidP="00794AFD">
            <w:pPr>
              <w:pStyle w:val="body"/>
              <w:ind w:left="360"/>
              <w:jc w:val="right"/>
              <w:rPr>
                <w:rFonts w:asciiTheme="minorHAnsi" w:hAnsiTheme="minorHAnsi"/>
                <w:b/>
                <w:sz w:val="20"/>
                <w:szCs w:val="20"/>
                <w:lang w:val="en-IE" w:eastAsia="en-IE"/>
              </w:rPr>
            </w:pPr>
            <w:r w:rsidRPr="00784F67">
              <w:rPr>
                <w:rFonts w:asciiTheme="minorHAnsi" w:hAnsiTheme="minorHAnsi"/>
                <w:b/>
                <w:sz w:val="20"/>
                <w:szCs w:val="20"/>
                <w:lang w:val="en-IE" w:eastAsia="en-IE"/>
              </w:rPr>
              <w:t>5.0</w:t>
            </w:r>
          </w:p>
        </w:tc>
        <w:tc>
          <w:tcPr>
            <w:tcW w:w="0" w:type="auto"/>
            <w:shd w:val="clear" w:color="auto" w:fill="auto"/>
          </w:tcPr>
          <w:p w14:paraId="4EA435F9" w14:textId="77777777" w:rsidR="00794AFD" w:rsidRPr="00DC37FC" w:rsidRDefault="00794AFD" w:rsidP="00794AFD">
            <w:pPr>
              <w:pStyle w:val="body"/>
              <w:ind w:left="787"/>
              <w:jc w:val="right"/>
              <w:rPr>
                <w:rFonts w:asciiTheme="minorHAnsi" w:hAnsiTheme="minorHAnsi"/>
                <w:sz w:val="20"/>
                <w:szCs w:val="20"/>
                <w:lang w:val="en-IE" w:eastAsia="en-IE"/>
              </w:rPr>
            </w:pPr>
            <w:r>
              <w:rPr>
                <w:rFonts w:asciiTheme="minorHAnsi" w:hAnsiTheme="minorHAnsi"/>
                <w:sz w:val="20"/>
                <w:szCs w:val="20"/>
                <w:lang w:val="en-IE" w:eastAsia="en-IE"/>
              </w:rPr>
              <w:t>-</w:t>
            </w:r>
          </w:p>
        </w:tc>
      </w:tr>
      <w:tr w:rsidR="00794AFD" w:rsidRPr="00DC37FC" w14:paraId="7AF3B5D7" w14:textId="77777777" w:rsidTr="00794AFD">
        <w:trPr>
          <w:trHeight w:val="204"/>
        </w:trPr>
        <w:tc>
          <w:tcPr>
            <w:tcW w:w="0" w:type="auto"/>
            <w:gridSpan w:val="2"/>
          </w:tcPr>
          <w:p w14:paraId="75FD78DC" w14:textId="77777777" w:rsidR="00794AFD" w:rsidRPr="001C5950" w:rsidRDefault="00794AFD" w:rsidP="00794AFD">
            <w:pPr>
              <w:pStyle w:val="body"/>
              <w:spacing w:line="240" w:lineRule="auto"/>
              <w:ind w:left="-108"/>
              <w:rPr>
                <w:rFonts w:asciiTheme="minorHAnsi" w:hAnsiTheme="minorHAnsi"/>
                <w:b/>
                <w:sz w:val="20"/>
                <w:szCs w:val="20"/>
                <w:lang w:val="en-IE"/>
              </w:rPr>
            </w:pPr>
            <w:r w:rsidRPr="001C5950">
              <w:rPr>
                <w:rFonts w:asciiTheme="minorHAnsi" w:hAnsiTheme="minorHAnsi"/>
                <w:sz w:val="20"/>
                <w:szCs w:val="20"/>
                <w:lang w:val="en-IE"/>
              </w:rPr>
              <w:t>Accrued interest on borrowings</w:t>
            </w:r>
          </w:p>
        </w:tc>
        <w:tc>
          <w:tcPr>
            <w:tcW w:w="0" w:type="auto"/>
            <w:shd w:val="clear" w:color="auto" w:fill="auto"/>
          </w:tcPr>
          <w:p w14:paraId="1812985E" w14:textId="77777777" w:rsidR="00794AFD" w:rsidRPr="00784F67" w:rsidRDefault="00794AFD" w:rsidP="00794AFD">
            <w:pPr>
              <w:pStyle w:val="body"/>
              <w:ind w:left="360"/>
              <w:jc w:val="right"/>
              <w:rPr>
                <w:rFonts w:asciiTheme="minorHAnsi" w:hAnsiTheme="minorHAnsi"/>
                <w:b/>
                <w:sz w:val="20"/>
                <w:szCs w:val="20"/>
                <w:lang w:val="en-IE" w:eastAsia="en-IE"/>
              </w:rPr>
            </w:pPr>
            <w:r w:rsidRPr="00784F67">
              <w:rPr>
                <w:rFonts w:asciiTheme="minorHAnsi" w:hAnsiTheme="minorHAnsi"/>
                <w:b/>
                <w:sz w:val="20"/>
                <w:szCs w:val="20"/>
                <w:lang w:val="en-IE" w:eastAsia="en-IE"/>
              </w:rPr>
              <w:t>0.5</w:t>
            </w:r>
          </w:p>
        </w:tc>
        <w:tc>
          <w:tcPr>
            <w:tcW w:w="0" w:type="auto"/>
            <w:shd w:val="clear" w:color="auto" w:fill="auto"/>
          </w:tcPr>
          <w:p w14:paraId="1C6C1F26" w14:textId="77777777" w:rsidR="00794AFD" w:rsidRPr="00DC37FC" w:rsidRDefault="00794AFD" w:rsidP="00794AFD">
            <w:pPr>
              <w:pStyle w:val="body"/>
              <w:ind w:left="787"/>
              <w:jc w:val="right"/>
              <w:rPr>
                <w:rFonts w:asciiTheme="minorHAnsi" w:hAnsiTheme="minorHAnsi"/>
                <w:sz w:val="20"/>
                <w:szCs w:val="20"/>
                <w:lang w:val="en-IE" w:eastAsia="en-IE"/>
              </w:rPr>
            </w:pPr>
            <w:r w:rsidRPr="00DC37FC">
              <w:rPr>
                <w:rFonts w:asciiTheme="minorHAnsi" w:hAnsiTheme="minorHAnsi"/>
                <w:sz w:val="20"/>
                <w:szCs w:val="20"/>
                <w:lang w:val="en-IE" w:eastAsia="en-IE"/>
              </w:rPr>
              <w:t>0.4</w:t>
            </w:r>
          </w:p>
        </w:tc>
      </w:tr>
      <w:tr w:rsidR="00794AFD" w:rsidRPr="001C5950" w14:paraId="14F73908" w14:textId="77777777" w:rsidTr="00794AFD">
        <w:trPr>
          <w:trHeight w:val="204"/>
        </w:trPr>
        <w:tc>
          <w:tcPr>
            <w:tcW w:w="0" w:type="auto"/>
            <w:gridSpan w:val="2"/>
            <w:tcBorders>
              <w:bottom w:val="single" w:sz="4" w:space="0" w:color="auto"/>
            </w:tcBorders>
          </w:tcPr>
          <w:p w14:paraId="7293EC6B" w14:textId="77777777" w:rsidR="00794AFD" w:rsidRPr="001C5950" w:rsidRDefault="00794AFD" w:rsidP="00794AFD">
            <w:pPr>
              <w:pStyle w:val="body"/>
              <w:spacing w:line="240" w:lineRule="auto"/>
              <w:ind w:left="-108"/>
              <w:rPr>
                <w:rFonts w:asciiTheme="minorHAnsi" w:hAnsiTheme="minorHAnsi"/>
                <w:sz w:val="20"/>
                <w:szCs w:val="20"/>
                <w:lang w:val="en-IE"/>
              </w:rPr>
            </w:pPr>
            <w:r>
              <w:rPr>
                <w:rFonts w:asciiTheme="minorHAnsi" w:hAnsiTheme="minorHAnsi"/>
                <w:sz w:val="20"/>
                <w:szCs w:val="20"/>
                <w:lang w:val="en-IE"/>
              </w:rPr>
              <w:t>Less: expenses relating to term loan facility</w:t>
            </w:r>
          </w:p>
        </w:tc>
        <w:tc>
          <w:tcPr>
            <w:tcW w:w="0" w:type="auto"/>
            <w:tcBorders>
              <w:bottom w:val="single" w:sz="4" w:space="0" w:color="auto"/>
            </w:tcBorders>
            <w:shd w:val="clear" w:color="auto" w:fill="auto"/>
          </w:tcPr>
          <w:p w14:paraId="2FE1B3B1" w14:textId="77777777" w:rsidR="00794AFD" w:rsidRPr="00784F67" w:rsidRDefault="00794AFD" w:rsidP="00794AFD">
            <w:pPr>
              <w:pStyle w:val="body"/>
              <w:ind w:left="360"/>
              <w:jc w:val="right"/>
              <w:rPr>
                <w:rFonts w:asciiTheme="minorHAnsi" w:hAnsiTheme="minorHAnsi"/>
                <w:b/>
                <w:sz w:val="20"/>
                <w:szCs w:val="20"/>
                <w:lang w:val="en-IE" w:eastAsia="en-IE"/>
              </w:rPr>
            </w:pPr>
            <w:r w:rsidRPr="00784F67">
              <w:rPr>
                <w:rFonts w:asciiTheme="minorHAnsi" w:hAnsiTheme="minorHAnsi"/>
                <w:b/>
                <w:sz w:val="20"/>
                <w:szCs w:val="20"/>
                <w:lang w:val="en-IE" w:eastAsia="en-IE"/>
              </w:rPr>
              <w:t>(0.5)</w:t>
            </w:r>
          </w:p>
        </w:tc>
        <w:tc>
          <w:tcPr>
            <w:tcW w:w="0" w:type="auto"/>
            <w:tcBorders>
              <w:bottom w:val="single" w:sz="4" w:space="0" w:color="auto"/>
            </w:tcBorders>
            <w:shd w:val="clear" w:color="auto" w:fill="auto"/>
          </w:tcPr>
          <w:p w14:paraId="00B759A8" w14:textId="77777777" w:rsidR="00794AFD" w:rsidRPr="00DC37FC" w:rsidRDefault="00794AFD" w:rsidP="00794AFD">
            <w:pPr>
              <w:pStyle w:val="body"/>
              <w:ind w:left="787"/>
              <w:jc w:val="right"/>
              <w:rPr>
                <w:rFonts w:asciiTheme="minorHAnsi" w:hAnsiTheme="minorHAnsi"/>
                <w:sz w:val="20"/>
                <w:szCs w:val="20"/>
                <w:lang w:val="en-IE" w:eastAsia="en-IE"/>
              </w:rPr>
            </w:pPr>
            <w:r>
              <w:rPr>
                <w:rFonts w:asciiTheme="minorHAnsi" w:hAnsiTheme="minorHAnsi"/>
                <w:sz w:val="20"/>
                <w:szCs w:val="20"/>
                <w:lang w:val="en-IE" w:eastAsia="en-IE"/>
              </w:rPr>
              <w:t>-</w:t>
            </w:r>
          </w:p>
        </w:tc>
      </w:tr>
      <w:tr w:rsidR="00794AFD" w:rsidRPr="001C5950" w14:paraId="2CAFC454" w14:textId="77777777" w:rsidTr="00794AFD">
        <w:trPr>
          <w:trHeight w:val="204"/>
        </w:trPr>
        <w:tc>
          <w:tcPr>
            <w:tcW w:w="0" w:type="auto"/>
            <w:gridSpan w:val="2"/>
            <w:tcBorders>
              <w:top w:val="single" w:sz="4" w:space="0" w:color="auto"/>
              <w:bottom w:val="single" w:sz="4" w:space="0" w:color="auto"/>
            </w:tcBorders>
          </w:tcPr>
          <w:p w14:paraId="6B53A7D2" w14:textId="77777777" w:rsidR="00794AFD" w:rsidRPr="001C5950" w:rsidRDefault="00794AFD" w:rsidP="00794AFD">
            <w:pPr>
              <w:pStyle w:val="body"/>
              <w:spacing w:line="240" w:lineRule="auto"/>
              <w:ind w:left="-108"/>
              <w:rPr>
                <w:rFonts w:asciiTheme="minorHAnsi" w:hAnsiTheme="minorHAnsi"/>
                <w:b/>
                <w:sz w:val="20"/>
                <w:szCs w:val="20"/>
                <w:lang w:val="en-IE"/>
              </w:rPr>
            </w:pPr>
          </w:p>
        </w:tc>
        <w:tc>
          <w:tcPr>
            <w:tcW w:w="0" w:type="auto"/>
            <w:tcBorders>
              <w:top w:val="single" w:sz="4" w:space="0" w:color="auto"/>
              <w:bottom w:val="single" w:sz="4" w:space="0" w:color="auto"/>
            </w:tcBorders>
            <w:shd w:val="clear" w:color="auto" w:fill="auto"/>
          </w:tcPr>
          <w:p w14:paraId="035A0650" w14:textId="77777777" w:rsidR="00794AFD" w:rsidRPr="00784F67" w:rsidRDefault="00794AFD" w:rsidP="00794AFD">
            <w:pPr>
              <w:pStyle w:val="body"/>
              <w:ind w:left="360"/>
              <w:jc w:val="right"/>
              <w:rPr>
                <w:rFonts w:asciiTheme="minorHAnsi" w:hAnsiTheme="minorHAnsi"/>
                <w:b/>
                <w:sz w:val="20"/>
                <w:szCs w:val="20"/>
                <w:lang w:val="en-IE" w:eastAsia="en-IE"/>
              </w:rPr>
            </w:pPr>
            <w:r w:rsidRPr="00784F67">
              <w:rPr>
                <w:rFonts w:asciiTheme="minorHAnsi" w:hAnsiTheme="minorHAnsi"/>
                <w:b/>
                <w:sz w:val="20"/>
                <w:szCs w:val="20"/>
                <w:lang w:val="en-IE" w:eastAsia="en-IE"/>
              </w:rPr>
              <w:t>255.0</w:t>
            </w:r>
          </w:p>
        </w:tc>
        <w:tc>
          <w:tcPr>
            <w:tcW w:w="0" w:type="auto"/>
            <w:tcBorders>
              <w:top w:val="single" w:sz="4" w:space="0" w:color="auto"/>
              <w:bottom w:val="single" w:sz="4" w:space="0" w:color="auto"/>
            </w:tcBorders>
            <w:shd w:val="clear" w:color="auto" w:fill="auto"/>
          </w:tcPr>
          <w:p w14:paraId="2FB0CCDB" w14:textId="77777777" w:rsidR="00794AFD" w:rsidRPr="00DC37FC" w:rsidRDefault="00794AFD" w:rsidP="00794AFD">
            <w:pPr>
              <w:pStyle w:val="body"/>
              <w:ind w:left="787"/>
              <w:jc w:val="right"/>
              <w:rPr>
                <w:rFonts w:asciiTheme="minorHAnsi" w:hAnsiTheme="minorHAnsi"/>
                <w:sz w:val="20"/>
                <w:szCs w:val="20"/>
                <w:lang w:val="en-IE" w:eastAsia="en-IE"/>
              </w:rPr>
            </w:pPr>
            <w:r w:rsidRPr="00DC37FC">
              <w:rPr>
                <w:rFonts w:asciiTheme="minorHAnsi" w:hAnsiTheme="minorHAnsi"/>
                <w:sz w:val="20"/>
                <w:szCs w:val="20"/>
                <w:lang w:val="en-IE" w:eastAsia="en-IE"/>
              </w:rPr>
              <w:t>0.4</w:t>
            </w:r>
          </w:p>
        </w:tc>
      </w:tr>
      <w:tr w:rsidR="00794AFD" w:rsidRPr="001C5950" w14:paraId="750DA4D7" w14:textId="77777777" w:rsidTr="00794AFD">
        <w:trPr>
          <w:trHeight w:val="204"/>
        </w:trPr>
        <w:tc>
          <w:tcPr>
            <w:tcW w:w="0" w:type="auto"/>
            <w:gridSpan w:val="2"/>
            <w:tcBorders>
              <w:top w:val="single" w:sz="4" w:space="0" w:color="auto"/>
            </w:tcBorders>
          </w:tcPr>
          <w:p w14:paraId="6E0B8B07" w14:textId="77777777" w:rsidR="00794AFD" w:rsidRPr="00FC3D06" w:rsidRDefault="00794AFD" w:rsidP="00794AFD">
            <w:pPr>
              <w:pStyle w:val="body"/>
              <w:spacing w:line="240" w:lineRule="auto"/>
              <w:ind w:left="-108"/>
              <w:rPr>
                <w:rFonts w:asciiTheme="minorHAnsi" w:hAnsiTheme="minorHAnsi"/>
                <w:b/>
                <w:sz w:val="20"/>
                <w:szCs w:val="20"/>
                <w:lang w:val="en-IE"/>
              </w:rPr>
            </w:pPr>
          </w:p>
        </w:tc>
        <w:tc>
          <w:tcPr>
            <w:tcW w:w="0" w:type="auto"/>
            <w:tcBorders>
              <w:top w:val="single" w:sz="4" w:space="0" w:color="auto"/>
            </w:tcBorders>
            <w:shd w:val="clear" w:color="auto" w:fill="auto"/>
          </w:tcPr>
          <w:p w14:paraId="4BE17471" w14:textId="77777777" w:rsidR="00794AFD" w:rsidRPr="00784F67" w:rsidRDefault="00794AFD" w:rsidP="00794AFD">
            <w:pPr>
              <w:pStyle w:val="body"/>
              <w:ind w:left="360"/>
              <w:jc w:val="right"/>
              <w:rPr>
                <w:rFonts w:asciiTheme="minorHAnsi" w:hAnsiTheme="minorHAnsi"/>
                <w:b/>
                <w:sz w:val="20"/>
                <w:szCs w:val="20"/>
                <w:lang w:val="en-IE" w:eastAsia="en-IE"/>
              </w:rPr>
            </w:pPr>
          </w:p>
        </w:tc>
        <w:tc>
          <w:tcPr>
            <w:tcW w:w="0" w:type="auto"/>
            <w:shd w:val="clear" w:color="auto" w:fill="auto"/>
          </w:tcPr>
          <w:p w14:paraId="233CF848" w14:textId="77777777" w:rsidR="00794AFD" w:rsidRPr="00DC37FC" w:rsidRDefault="00794AFD" w:rsidP="00794AFD">
            <w:pPr>
              <w:pStyle w:val="body"/>
              <w:ind w:left="360"/>
              <w:jc w:val="right"/>
              <w:rPr>
                <w:rFonts w:asciiTheme="minorHAnsi" w:hAnsiTheme="minorHAnsi"/>
                <w:sz w:val="20"/>
                <w:szCs w:val="20"/>
                <w:lang w:val="en-IE" w:eastAsia="en-IE"/>
              </w:rPr>
            </w:pPr>
          </w:p>
        </w:tc>
      </w:tr>
      <w:tr w:rsidR="00794AFD" w:rsidRPr="000B07E4" w14:paraId="0CB0D7C2" w14:textId="77777777" w:rsidTr="00794AFD">
        <w:trPr>
          <w:trHeight w:val="204"/>
        </w:trPr>
        <w:tc>
          <w:tcPr>
            <w:tcW w:w="0" w:type="auto"/>
            <w:gridSpan w:val="2"/>
            <w:tcBorders>
              <w:bottom w:val="single" w:sz="4" w:space="0" w:color="auto"/>
            </w:tcBorders>
          </w:tcPr>
          <w:p w14:paraId="2779BF46" w14:textId="77777777" w:rsidR="00794AFD" w:rsidRPr="000944E4" w:rsidRDefault="00794AFD" w:rsidP="00794AFD">
            <w:pPr>
              <w:pStyle w:val="body"/>
              <w:spacing w:line="240" w:lineRule="auto"/>
              <w:ind w:left="-108"/>
              <w:rPr>
                <w:rFonts w:asciiTheme="minorHAnsi" w:hAnsiTheme="minorHAnsi"/>
                <w:sz w:val="20"/>
                <w:szCs w:val="20"/>
                <w:lang w:val="en-IE"/>
              </w:rPr>
            </w:pPr>
            <w:r w:rsidRPr="000944E4">
              <w:rPr>
                <w:rFonts w:asciiTheme="minorHAnsi" w:hAnsiTheme="minorHAnsi"/>
                <w:sz w:val="20"/>
                <w:szCs w:val="20"/>
                <w:lang w:val="en-IE"/>
              </w:rPr>
              <w:t>Lease liabilities</w:t>
            </w:r>
          </w:p>
        </w:tc>
        <w:tc>
          <w:tcPr>
            <w:tcW w:w="0" w:type="auto"/>
            <w:tcBorders>
              <w:bottom w:val="single" w:sz="4" w:space="0" w:color="auto"/>
            </w:tcBorders>
            <w:shd w:val="clear" w:color="auto" w:fill="auto"/>
          </w:tcPr>
          <w:p w14:paraId="04AB9AF4" w14:textId="77777777" w:rsidR="00794AFD" w:rsidRPr="00942D90" w:rsidRDefault="00794AFD" w:rsidP="00794AFD">
            <w:pPr>
              <w:pStyle w:val="body"/>
              <w:ind w:left="360"/>
              <w:jc w:val="right"/>
              <w:rPr>
                <w:rFonts w:asciiTheme="minorHAnsi" w:hAnsiTheme="minorHAnsi"/>
                <w:b/>
                <w:sz w:val="20"/>
                <w:szCs w:val="20"/>
                <w:lang w:val="en-IE" w:eastAsia="en-IE"/>
              </w:rPr>
            </w:pPr>
            <w:r w:rsidRPr="00942D90">
              <w:rPr>
                <w:rFonts w:asciiTheme="minorHAnsi" w:hAnsiTheme="minorHAnsi"/>
                <w:b/>
                <w:sz w:val="20"/>
                <w:szCs w:val="20"/>
                <w:lang w:val="en-IE" w:eastAsia="en-IE"/>
              </w:rPr>
              <w:t>38.4</w:t>
            </w:r>
          </w:p>
        </w:tc>
        <w:tc>
          <w:tcPr>
            <w:tcW w:w="0" w:type="auto"/>
            <w:tcBorders>
              <w:bottom w:val="single" w:sz="4" w:space="0" w:color="auto"/>
            </w:tcBorders>
            <w:shd w:val="clear" w:color="auto" w:fill="auto"/>
          </w:tcPr>
          <w:p w14:paraId="466430CC" w14:textId="77777777" w:rsidR="00794AFD" w:rsidRPr="000B07E4" w:rsidRDefault="00794AFD" w:rsidP="00794AFD">
            <w:pPr>
              <w:pStyle w:val="body"/>
              <w:ind w:left="360"/>
              <w:jc w:val="right"/>
              <w:rPr>
                <w:rFonts w:asciiTheme="minorHAnsi" w:hAnsiTheme="minorHAnsi"/>
                <w:sz w:val="20"/>
                <w:szCs w:val="20"/>
                <w:lang w:val="en-IE" w:eastAsia="en-IE"/>
              </w:rPr>
            </w:pPr>
            <w:r w:rsidRPr="0053178B">
              <w:rPr>
                <w:rFonts w:asciiTheme="minorHAnsi" w:hAnsiTheme="minorHAnsi"/>
                <w:sz w:val="20"/>
                <w:szCs w:val="20"/>
                <w:lang w:val="en-IE" w:eastAsia="en-IE"/>
              </w:rPr>
              <w:t>-</w:t>
            </w:r>
          </w:p>
        </w:tc>
      </w:tr>
      <w:tr w:rsidR="00794AFD" w:rsidRPr="001C5950" w14:paraId="71EA684A" w14:textId="77777777" w:rsidTr="00794AFD">
        <w:trPr>
          <w:trHeight w:val="204"/>
        </w:trPr>
        <w:tc>
          <w:tcPr>
            <w:tcW w:w="0" w:type="auto"/>
            <w:gridSpan w:val="2"/>
            <w:tcBorders>
              <w:top w:val="single" w:sz="4" w:space="0" w:color="auto"/>
              <w:bottom w:val="single" w:sz="4" w:space="0" w:color="auto"/>
            </w:tcBorders>
          </w:tcPr>
          <w:p w14:paraId="7751D230" w14:textId="77777777" w:rsidR="00794AFD" w:rsidRPr="001C5950" w:rsidRDefault="00794AFD" w:rsidP="00794AFD">
            <w:pPr>
              <w:ind w:left="-108"/>
              <w:rPr>
                <w:rFonts w:asciiTheme="minorHAnsi" w:hAnsiTheme="minorHAnsi"/>
                <w:b/>
                <w:sz w:val="20"/>
                <w:szCs w:val="20"/>
                <w:lang w:val="en-IE"/>
              </w:rPr>
            </w:pPr>
          </w:p>
        </w:tc>
        <w:tc>
          <w:tcPr>
            <w:tcW w:w="0" w:type="auto"/>
            <w:tcBorders>
              <w:top w:val="single" w:sz="4" w:space="0" w:color="auto"/>
              <w:bottom w:val="single" w:sz="4" w:space="0" w:color="auto"/>
            </w:tcBorders>
            <w:shd w:val="clear" w:color="auto" w:fill="auto"/>
          </w:tcPr>
          <w:p w14:paraId="18F97BCB" w14:textId="77777777" w:rsidR="00794AFD" w:rsidRPr="00C42352" w:rsidRDefault="00794AFD" w:rsidP="00794AFD">
            <w:pPr>
              <w:pStyle w:val="body"/>
              <w:ind w:left="360"/>
              <w:jc w:val="right"/>
              <w:rPr>
                <w:rFonts w:asciiTheme="minorHAnsi" w:hAnsiTheme="minorHAnsi"/>
                <w:b/>
                <w:sz w:val="20"/>
                <w:szCs w:val="20"/>
                <w:lang w:val="en-IE" w:eastAsia="en-IE"/>
              </w:rPr>
            </w:pPr>
          </w:p>
        </w:tc>
        <w:tc>
          <w:tcPr>
            <w:tcW w:w="0" w:type="auto"/>
            <w:tcBorders>
              <w:top w:val="single" w:sz="4" w:space="0" w:color="auto"/>
              <w:bottom w:val="single" w:sz="4" w:space="0" w:color="auto"/>
            </w:tcBorders>
            <w:shd w:val="clear" w:color="auto" w:fill="auto"/>
          </w:tcPr>
          <w:p w14:paraId="360ED411" w14:textId="77777777" w:rsidR="00794AFD" w:rsidRPr="00DC37FC" w:rsidRDefault="00794AFD" w:rsidP="00794AFD">
            <w:pPr>
              <w:pStyle w:val="body"/>
              <w:ind w:left="360"/>
              <w:jc w:val="right"/>
              <w:rPr>
                <w:rFonts w:asciiTheme="minorHAnsi" w:hAnsiTheme="minorHAnsi"/>
                <w:sz w:val="20"/>
                <w:szCs w:val="20"/>
                <w:lang w:val="en-IE" w:eastAsia="en-IE"/>
              </w:rPr>
            </w:pPr>
          </w:p>
        </w:tc>
      </w:tr>
      <w:tr w:rsidR="00794AFD" w:rsidRPr="001C5950" w14:paraId="69AF885D" w14:textId="77777777" w:rsidTr="00794AFD">
        <w:trPr>
          <w:trHeight w:val="204"/>
        </w:trPr>
        <w:tc>
          <w:tcPr>
            <w:tcW w:w="0" w:type="auto"/>
            <w:gridSpan w:val="2"/>
            <w:tcBorders>
              <w:bottom w:val="single" w:sz="4" w:space="0" w:color="auto"/>
            </w:tcBorders>
          </w:tcPr>
          <w:p w14:paraId="48AFD019" w14:textId="77777777" w:rsidR="00794AFD" w:rsidRPr="001C5950" w:rsidRDefault="00794AFD" w:rsidP="00794AFD">
            <w:pPr>
              <w:ind w:left="-108"/>
              <w:rPr>
                <w:rFonts w:asciiTheme="minorHAnsi" w:hAnsiTheme="minorHAnsi"/>
                <w:b/>
                <w:sz w:val="20"/>
                <w:szCs w:val="20"/>
                <w:lang w:val="en-IE"/>
              </w:rPr>
            </w:pPr>
            <w:r w:rsidRPr="001C5950">
              <w:rPr>
                <w:rFonts w:asciiTheme="minorHAnsi" w:hAnsiTheme="minorHAnsi"/>
                <w:b/>
                <w:sz w:val="20"/>
                <w:szCs w:val="20"/>
                <w:lang w:val="en-IE"/>
              </w:rPr>
              <w:t>Non-current liabilities</w:t>
            </w:r>
          </w:p>
        </w:tc>
        <w:tc>
          <w:tcPr>
            <w:tcW w:w="0" w:type="auto"/>
            <w:tcBorders>
              <w:bottom w:val="single" w:sz="4" w:space="0" w:color="auto"/>
            </w:tcBorders>
            <w:shd w:val="clear" w:color="auto" w:fill="auto"/>
          </w:tcPr>
          <w:p w14:paraId="1BCF3A9B" w14:textId="77777777" w:rsidR="00794AFD" w:rsidRPr="00C42352" w:rsidRDefault="00794AFD" w:rsidP="00794AFD">
            <w:pPr>
              <w:pStyle w:val="body"/>
              <w:ind w:left="360"/>
              <w:jc w:val="right"/>
              <w:rPr>
                <w:rFonts w:asciiTheme="minorHAnsi" w:hAnsiTheme="minorHAnsi"/>
                <w:b/>
                <w:sz w:val="20"/>
                <w:szCs w:val="20"/>
                <w:lang w:val="en-IE" w:eastAsia="en-IE"/>
              </w:rPr>
            </w:pPr>
          </w:p>
        </w:tc>
        <w:tc>
          <w:tcPr>
            <w:tcW w:w="0" w:type="auto"/>
            <w:tcBorders>
              <w:bottom w:val="single" w:sz="4" w:space="0" w:color="auto"/>
            </w:tcBorders>
            <w:shd w:val="clear" w:color="auto" w:fill="auto"/>
          </w:tcPr>
          <w:p w14:paraId="780818E2" w14:textId="77777777" w:rsidR="00794AFD" w:rsidRPr="00DC37FC" w:rsidRDefault="00794AFD" w:rsidP="00794AFD">
            <w:pPr>
              <w:pStyle w:val="body"/>
              <w:ind w:left="360"/>
              <w:jc w:val="right"/>
              <w:rPr>
                <w:rFonts w:asciiTheme="minorHAnsi" w:hAnsiTheme="minorHAnsi"/>
                <w:sz w:val="20"/>
                <w:szCs w:val="20"/>
                <w:lang w:val="en-IE" w:eastAsia="en-IE"/>
              </w:rPr>
            </w:pPr>
          </w:p>
        </w:tc>
      </w:tr>
      <w:tr w:rsidR="00794AFD" w:rsidRPr="001C5950" w14:paraId="303725EF" w14:textId="77777777" w:rsidTr="00794AFD">
        <w:trPr>
          <w:trHeight w:val="204"/>
        </w:trPr>
        <w:tc>
          <w:tcPr>
            <w:tcW w:w="0" w:type="auto"/>
            <w:gridSpan w:val="2"/>
            <w:tcBorders>
              <w:top w:val="single" w:sz="4" w:space="0" w:color="auto"/>
            </w:tcBorders>
          </w:tcPr>
          <w:p w14:paraId="0E0F5824" w14:textId="77777777" w:rsidR="00794AFD" w:rsidRPr="001C5950" w:rsidRDefault="00794AFD" w:rsidP="00794AFD">
            <w:pPr>
              <w:pStyle w:val="body"/>
              <w:spacing w:line="240" w:lineRule="auto"/>
              <w:ind w:left="-108"/>
              <w:rPr>
                <w:rFonts w:asciiTheme="minorHAnsi" w:hAnsiTheme="minorHAnsi"/>
                <w:sz w:val="20"/>
                <w:szCs w:val="20"/>
                <w:lang w:val="en-IE"/>
              </w:rPr>
            </w:pPr>
          </w:p>
        </w:tc>
        <w:tc>
          <w:tcPr>
            <w:tcW w:w="0" w:type="auto"/>
            <w:tcBorders>
              <w:top w:val="single" w:sz="4" w:space="0" w:color="auto"/>
            </w:tcBorders>
            <w:shd w:val="clear" w:color="auto" w:fill="auto"/>
          </w:tcPr>
          <w:p w14:paraId="7DB51652" w14:textId="77777777" w:rsidR="00794AFD" w:rsidRPr="00C42352" w:rsidRDefault="00794AFD" w:rsidP="00794AFD">
            <w:pPr>
              <w:pStyle w:val="body"/>
              <w:ind w:left="32"/>
              <w:jc w:val="right"/>
              <w:rPr>
                <w:rFonts w:asciiTheme="minorHAnsi" w:hAnsiTheme="minorHAnsi"/>
                <w:b/>
                <w:sz w:val="20"/>
                <w:szCs w:val="20"/>
                <w:lang w:val="en-IE" w:eastAsia="en-IE"/>
              </w:rPr>
            </w:pPr>
            <w:r w:rsidRPr="00C42352">
              <w:rPr>
                <w:rFonts w:asciiTheme="minorHAnsi" w:hAnsiTheme="minorHAnsi"/>
                <w:b/>
                <w:sz w:val="20"/>
                <w:szCs w:val="20"/>
                <w:lang w:val="en-IE" w:eastAsia="en-IE"/>
              </w:rPr>
              <w:t>31 December 2019</w:t>
            </w:r>
          </w:p>
          <w:p w14:paraId="27263F4D" w14:textId="77777777" w:rsidR="00794AFD" w:rsidRPr="00C42352" w:rsidRDefault="00794AFD" w:rsidP="00794AFD">
            <w:pPr>
              <w:pStyle w:val="body"/>
              <w:ind w:left="32"/>
              <w:jc w:val="right"/>
              <w:rPr>
                <w:rFonts w:asciiTheme="minorHAnsi" w:hAnsiTheme="minorHAnsi"/>
                <w:b/>
                <w:sz w:val="20"/>
                <w:szCs w:val="20"/>
                <w:lang w:val="en-IE" w:eastAsia="en-IE"/>
              </w:rPr>
            </w:pPr>
            <w:r w:rsidRPr="00C42352">
              <w:rPr>
                <w:rFonts w:asciiTheme="minorHAnsi" w:hAnsiTheme="minorHAnsi"/>
                <w:b/>
                <w:sz w:val="20"/>
                <w:szCs w:val="20"/>
                <w:lang w:val="en-IE" w:eastAsia="en-IE"/>
              </w:rPr>
              <w:t>£m</w:t>
            </w:r>
          </w:p>
        </w:tc>
        <w:tc>
          <w:tcPr>
            <w:tcW w:w="0" w:type="auto"/>
            <w:tcBorders>
              <w:top w:val="single" w:sz="4" w:space="0" w:color="auto"/>
            </w:tcBorders>
            <w:shd w:val="clear" w:color="auto" w:fill="auto"/>
          </w:tcPr>
          <w:p w14:paraId="01573C07" w14:textId="77777777" w:rsidR="00794AFD" w:rsidRPr="00DC37FC" w:rsidRDefault="00794AFD" w:rsidP="00794AFD">
            <w:pPr>
              <w:pStyle w:val="body"/>
              <w:ind w:left="32"/>
              <w:jc w:val="right"/>
              <w:rPr>
                <w:rFonts w:asciiTheme="minorHAnsi" w:hAnsiTheme="minorHAnsi"/>
                <w:sz w:val="20"/>
                <w:szCs w:val="20"/>
                <w:lang w:val="en-IE" w:eastAsia="en-IE"/>
              </w:rPr>
            </w:pPr>
            <w:r w:rsidRPr="00DC37FC">
              <w:rPr>
                <w:rFonts w:asciiTheme="minorHAnsi" w:hAnsiTheme="minorHAnsi"/>
                <w:sz w:val="20"/>
                <w:szCs w:val="20"/>
                <w:lang w:val="en-IE" w:eastAsia="en-IE"/>
              </w:rPr>
              <w:t>31 December 2018</w:t>
            </w:r>
          </w:p>
          <w:p w14:paraId="0AA67DDC" w14:textId="77777777" w:rsidR="00794AFD" w:rsidRPr="00DC37FC" w:rsidRDefault="00794AFD" w:rsidP="00794AFD">
            <w:pPr>
              <w:pStyle w:val="body"/>
              <w:ind w:left="32"/>
              <w:jc w:val="right"/>
              <w:rPr>
                <w:rFonts w:asciiTheme="minorHAnsi" w:hAnsiTheme="minorHAnsi"/>
                <w:sz w:val="20"/>
                <w:szCs w:val="20"/>
                <w:lang w:val="en-IE" w:eastAsia="en-IE"/>
              </w:rPr>
            </w:pPr>
            <w:r w:rsidRPr="00DC37FC">
              <w:rPr>
                <w:rFonts w:asciiTheme="minorHAnsi" w:hAnsiTheme="minorHAnsi"/>
                <w:sz w:val="20"/>
                <w:szCs w:val="20"/>
                <w:lang w:val="en-IE" w:eastAsia="en-IE"/>
              </w:rPr>
              <w:t>£m</w:t>
            </w:r>
          </w:p>
        </w:tc>
      </w:tr>
      <w:tr w:rsidR="00794AFD" w:rsidRPr="001C5950" w14:paraId="3F896360" w14:textId="77777777" w:rsidTr="00794AFD">
        <w:trPr>
          <w:trHeight w:val="204"/>
        </w:trPr>
        <w:tc>
          <w:tcPr>
            <w:tcW w:w="0" w:type="auto"/>
            <w:gridSpan w:val="2"/>
            <w:tcBorders>
              <w:top w:val="single" w:sz="4" w:space="0" w:color="auto"/>
            </w:tcBorders>
          </w:tcPr>
          <w:p w14:paraId="4EB70BF7" w14:textId="77777777" w:rsidR="00794AFD" w:rsidRPr="001C5950" w:rsidRDefault="00794AFD" w:rsidP="00794AFD">
            <w:pPr>
              <w:pStyle w:val="body"/>
              <w:spacing w:line="240" w:lineRule="auto"/>
              <w:ind w:left="-108"/>
              <w:rPr>
                <w:rFonts w:asciiTheme="minorHAnsi" w:hAnsiTheme="minorHAnsi"/>
                <w:b/>
                <w:sz w:val="20"/>
                <w:szCs w:val="20"/>
                <w:lang w:val="en-IE"/>
              </w:rPr>
            </w:pPr>
            <w:r w:rsidRPr="001C5950">
              <w:rPr>
                <w:rFonts w:asciiTheme="minorHAnsi" w:hAnsiTheme="minorHAnsi"/>
                <w:sz w:val="20"/>
                <w:szCs w:val="20"/>
                <w:lang w:val="en-IE"/>
              </w:rPr>
              <w:t xml:space="preserve">Revolving credit facility </w:t>
            </w:r>
          </w:p>
        </w:tc>
        <w:tc>
          <w:tcPr>
            <w:tcW w:w="0" w:type="auto"/>
            <w:tcBorders>
              <w:top w:val="single" w:sz="4" w:space="0" w:color="auto"/>
            </w:tcBorders>
            <w:shd w:val="clear" w:color="auto" w:fill="auto"/>
          </w:tcPr>
          <w:p w14:paraId="5F52E586" w14:textId="77777777" w:rsidR="00794AFD" w:rsidRPr="00784F67" w:rsidRDefault="00794AFD" w:rsidP="00794AFD">
            <w:pPr>
              <w:pStyle w:val="body"/>
              <w:ind w:left="360"/>
              <w:jc w:val="right"/>
              <w:rPr>
                <w:rFonts w:asciiTheme="minorHAnsi" w:hAnsiTheme="minorHAnsi"/>
                <w:b/>
                <w:sz w:val="20"/>
                <w:szCs w:val="20"/>
                <w:lang w:val="en-IE" w:eastAsia="en-IE"/>
              </w:rPr>
            </w:pPr>
            <w:r w:rsidRPr="00784F67">
              <w:rPr>
                <w:rFonts w:asciiTheme="minorHAnsi" w:hAnsiTheme="minorHAnsi"/>
                <w:b/>
                <w:sz w:val="20"/>
                <w:szCs w:val="20"/>
                <w:lang w:val="en-IE" w:eastAsia="en-IE"/>
              </w:rPr>
              <w:t>117.3</w:t>
            </w:r>
          </w:p>
        </w:tc>
        <w:tc>
          <w:tcPr>
            <w:tcW w:w="0" w:type="auto"/>
            <w:tcBorders>
              <w:top w:val="single" w:sz="4" w:space="0" w:color="auto"/>
            </w:tcBorders>
            <w:shd w:val="clear" w:color="auto" w:fill="auto"/>
          </w:tcPr>
          <w:p w14:paraId="0A3C1F4C" w14:textId="77777777" w:rsidR="00794AFD" w:rsidRPr="00DC37FC" w:rsidRDefault="00794AFD" w:rsidP="00794AFD">
            <w:pPr>
              <w:pStyle w:val="body"/>
              <w:ind w:left="787"/>
              <w:jc w:val="right"/>
              <w:rPr>
                <w:rFonts w:asciiTheme="minorHAnsi" w:hAnsiTheme="minorHAnsi"/>
                <w:sz w:val="20"/>
                <w:szCs w:val="20"/>
                <w:lang w:val="en-IE" w:eastAsia="en-IE"/>
              </w:rPr>
            </w:pPr>
            <w:r w:rsidRPr="00DC37FC">
              <w:rPr>
                <w:rFonts w:asciiTheme="minorHAnsi" w:hAnsiTheme="minorHAnsi"/>
                <w:sz w:val="20"/>
                <w:szCs w:val="20"/>
                <w:lang w:val="en-IE" w:eastAsia="en-IE"/>
              </w:rPr>
              <w:t>285.0</w:t>
            </w:r>
          </w:p>
        </w:tc>
      </w:tr>
      <w:tr w:rsidR="00794AFD" w:rsidRPr="001C5950" w14:paraId="565E066A" w14:textId="77777777" w:rsidTr="00794AFD">
        <w:trPr>
          <w:trHeight w:val="204"/>
        </w:trPr>
        <w:tc>
          <w:tcPr>
            <w:tcW w:w="0" w:type="auto"/>
            <w:gridSpan w:val="2"/>
            <w:tcBorders>
              <w:bottom w:val="single" w:sz="4" w:space="0" w:color="auto"/>
            </w:tcBorders>
          </w:tcPr>
          <w:p w14:paraId="14B63FA1" w14:textId="77777777" w:rsidR="00794AFD" w:rsidRPr="001C5950" w:rsidRDefault="00794AFD" w:rsidP="00794AFD">
            <w:pPr>
              <w:pStyle w:val="body"/>
              <w:spacing w:line="240" w:lineRule="auto"/>
              <w:ind w:left="-108"/>
              <w:rPr>
                <w:rFonts w:asciiTheme="minorHAnsi" w:hAnsiTheme="minorHAnsi"/>
                <w:sz w:val="20"/>
                <w:szCs w:val="20"/>
                <w:lang w:val="en-IE"/>
              </w:rPr>
            </w:pPr>
            <w:r w:rsidRPr="001C5950">
              <w:rPr>
                <w:rFonts w:asciiTheme="minorHAnsi" w:hAnsiTheme="minorHAnsi"/>
                <w:sz w:val="20"/>
                <w:szCs w:val="20"/>
                <w:lang w:val="en-IE"/>
              </w:rPr>
              <w:t>Less: expenses relating to revolving credit facility</w:t>
            </w:r>
          </w:p>
        </w:tc>
        <w:tc>
          <w:tcPr>
            <w:tcW w:w="0" w:type="auto"/>
            <w:tcBorders>
              <w:bottom w:val="single" w:sz="4" w:space="0" w:color="auto"/>
            </w:tcBorders>
            <w:shd w:val="clear" w:color="auto" w:fill="auto"/>
          </w:tcPr>
          <w:p w14:paraId="2EB3D097" w14:textId="77777777" w:rsidR="00794AFD" w:rsidRPr="00784F67" w:rsidRDefault="00794AFD" w:rsidP="00794AFD">
            <w:pPr>
              <w:pStyle w:val="body"/>
              <w:ind w:left="360"/>
              <w:jc w:val="right"/>
              <w:rPr>
                <w:rFonts w:asciiTheme="minorHAnsi" w:hAnsiTheme="minorHAnsi"/>
                <w:b/>
                <w:sz w:val="20"/>
                <w:szCs w:val="20"/>
                <w:lang w:val="en-IE" w:eastAsia="en-IE"/>
              </w:rPr>
            </w:pPr>
            <w:r w:rsidRPr="00784F67">
              <w:rPr>
                <w:rFonts w:asciiTheme="minorHAnsi" w:hAnsiTheme="minorHAnsi"/>
                <w:b/>
                <w:sz w:val="20"/>
                <w:szCs w:val="20"/>
                <w:lang w:val="en-IE" w:eastAsia="en-IE"/>
              </w:rPr>
              <w:t>(1.6)</w:t>
            </w:r>
          </w:p>
        </w:tc>
        <w:tc>
          <w:tcPr>
            <w:tcW w:w="0" w:type="auto"/>
            <w:tcBorders>
              <w:bottom w:val="single" w:sz="4" w:space="0" w:color="auto"/>
            </w:tcBorders>
            <w:shd w:val="clear" w:color="auto" w:fill="auto"/>
          </w:tcPr>
          <w:p w14:paraId="4356072C" w14:textId="77777777" w:rsidR="00794AFD" w:rsidRPr="00DC37FC" w:rsidRDefault="00794AFD" w:rsidP="00794AFD">
            <w:pPr>
              <w:pStyle w:val="body"/>
              <w:ind w:left="787"/>
              <w:jc w:val="right"/>
              <w:rPr>
                <w:rFonts w:asciiTheme="minorHAnsi" w:hAnsiTheme="minorHAnsi"/>
                <w:sz w:val="20"/>
                <w:szCs w:val="20"/>
                <w:lang w:val="en-IE" w:eastAsia="en-IE"/>
              </w:rPr>
            </w:pPr>
            <w:r w:rsidRPr="00DC37FC">
              <w:rPr>
                <w:rFonts w:asciiTheme="minorHAnsi" w:hAnsiTheme="minorHAnsi"/>
                <w:sz w:val="20"/>
                <w:szCs w:val="20"/>
                <w:lang w:val="en-IE" w:eastAsia="en-IE"/>
              </w:rPr>
              <w:t>(2.0)</w:t>
            </w:r>
          </w:p>
        </w:tc>
      </w:tr>
      <w:tr w:rsidR="00794AFD" w:rsidRPr="001C5950" w14:paraId="10172B24" w14:textId="77777777" w:rsidTr="00794AFD">
        <w:trPr>
          <w:trHeight w:val="204"/>
        </w:trPr>
        <w:tc>
          <w:tcPr>
            <w:tcW w:w="0" w:type="auto"/>
            <w:gridSpan w:val="2"/>
            <w:tcBorders>
              <w:top w:val="single" w:sz="4" w:space="0" w:color="auto"/>
              <w:bottom w:val="single" w:sz="4" w:space="0" w:color="auto"/>
            </w:tcBorders>
          </w:tcPr>
          <w:p w14:paraId="7028EBC5" w14:textId="77777777" w:rsidR="00794AFD" w:rsidRPr="00FC3D06" w:rsidRDefault="00794AFD" w:rsidP="00794AFD">
            <w:pPr>
              <w:pStyle w:val="body"/>
              <w:spacing w:line="240" w:lineRule="auto"/>
              <w:ind w:left="-108"/>
              <w:rPr>
                <w:rFonts w:asciiTheme="minorHAnsi" w:hAnsiTheme="minorHAnsi"/>
                <w:sz w:val="20"/>
                <w:szCs w:val="20"/>
                <w:lang w:val="en-IE"/>
              </w:rPr>
            </w:pPr>
          </w:p>
        </w:tc>
        <w:tc>
          <w:tcPr>
            <w:tcW w:w="0" w:type="auto"/>
            <w:tcBorders>
              <w:top w:val="single" w:sz="4" w:space="0" w:color="auto"/>
              <w:bottom w:val="single" w:sz="4" w:space="0" w:color="auto"/>
            </w:tcBorders>
            <w:shd w:val="clear" w:color="auto" w:fill="auto"/>
          </w:tcPr>
          <w:p w14:paraId="6CE9C78B" w14:textId="77777777" w:rsidR="00794AFD" w:rsidRPr="00784F67" w:rsidRDefault="00794AFD" w:rsidP="00794AFD">
            <w:pPr>
              <w:pStyle w:val="body"/>
              <w:ind w:left="360"/>
              <w:jc w:val="right"/>
              <w:rPr>
                <w:rFonts w:asciiTheme="minorHAnsi" w:hAnsiTheme="minorHAnsi"/>
                <w:b/>
                <w:sz w:val="20"/>
                <w:szCs w:val="20"/>
                <w:u w:val="single"/>
                <w:lang w:val="en-IE" w:eastAsia="en-IE"/>
              </w:rPr>
            </w:pPr>
            <w:r w:rsidRPr="00784F67">
              <w:rPr>
                <w:rFonts w:asciiTheme="minorHAnsi" w:hAnsiTheme="minorHAnsi"/>
                <w:b/>
                <w:sz w:val="20"/>
                <w:szCs w:val="20"/>
                <w:lang w:val="en-IE" w:eastAsia="en-IE"/>
              </w:rPr>
              <w:t>115.7</w:t>
            </w:r>
          </w:p>
        </w:tc>
        <w:tc>
          <w:tcPr>
            <w:tcW w:w="0" w:type="auto"/>
            <w:tcBorders>
              <w:top w:val="single" w:sz="4" w:space="0" w:color="auto"/>
              <w:bottom w:val="single" w:sz="4" w:space="0" w:color="auto"/>
            </w:tcBorders>
            <w:shd w:val="clear" w:color="auto" w:fill="auto"/>
          </w:tcPr>
          <w:p w14:paraId="5F991DC0" w14:textId="77777777" w:rsidR="00794AFD" w:rsidRPr="00DC37FC" w:rsidRDefault="00794AFD" w:rsidP="00794AFD">
            <w:pPr>
              <w:pStyle w:val="body"/>
              <w:ind w:left="787"/>
              <w:jc w:val="right"/>
              <w:rPr>
                <w:rFonts w:asciiTheme="minorHAnsi" w:hAnsiTheme="minorHAnsi"/>
                <w:sz w:val="20"/>
                <w:szCs w:val="20"/>
                <w:lang w:val="en-IE" w:eastAsia="en-IE"/>
              </w:rPr>
            </w:pPr>
            <w:r w:rsidRPr="00DC37FC">
              <w:rPr>
                <w:rFonts w:asciiTheme="minorHAnsi" w:hAnsiTheme="minorHAnsi"/>
                <w:sz w:val="20"/>
                <w:szCs w:val="20"/>
                <w:lang w:val="en-IE" w:eastAsia="en-IE"/>
              </w:rPr>
              <w:t>283.0</w:t>
            </w:r>
          </w:p>
        </w:tc>
      </w:tr>
      <w:tr w:rsidR="00794AFD" w:rsidRPr="001C5950" w14:paraId="7C4DCDAB" w14:textId="77777777" w:rsidTr="00794AFD">
        <w:trPr>
          <w:trHeight w:val="204"/>
        </w:trPr>
        <w:tc>
          <w:tcPr>
            <w:tcW w:w="0" w:type="auto"/>
            <w:gridSpan w:val="2"/>
            <w:tcBorders>
              <w:top w:val="single" w:sz="4" w:space="0" w:color="auto"/>
            </w:tcBorders>
          </w:tcPr>
          <w:p w14:paraId="63DEB621" w14:textId="77777777" w:rsidR="00794AFD" w:rsidRPr="00FC3D06" w:rsidRDefault="00794AFD" w:rsidP="00794AFD">
            <w:pPr>
              <w:pStyle w:val="body"/>
              <w:spacing w:line="240" w:lineRule="auto"/>
              <w:ind w:left="-108"/>
              <w:rPr>
                <w:rFonts w:asciiTheme="minorHAnsi" w:hAnsiTheme="minorHAnsi"/>
                <w:sz w:val="20"/>
                <w:szCs w:val="20"/>
                <w:lang w:val="en-IE"/>
              </w:rPr>
            </w:pPr>
          </w:p>
        </w:tc>
        <w:tc>
          <w:tcPr>
            <w:tcW w:w="0" w:type="auto"/>
            <w:tcBorders>
              <w:top w:val="single" w:sz="4" w:space="0" w:color="auto"/>
            </w:tcBorders>
            <w:shd w:val="clear" w:color="auto" w:fill="auto"/>
          </w:tcPr>
          <w:p w14:paraId="71FDF6B6" w14:textId="77777777" w:rsidR="00794AFD" w:rsidRPr="00784F67" w:rsidRDefault="00794AFD" w:rsidP="00794AFD">
            <w:pPr>
              <w:pStyle w:val="body"/>
              <w:ind w:left="360"/>
              <w:jc w:val="right"/>
              <w:rPr>
                <w:rFonts w:asciiTheme="minorHAnsi" w:hAnsiTheme="minorHAnsi"/>
                <w:b/>
                <w:sz w:val="20"/>
                <w:szCs w:val="20"/>
                <w:lang w:val="en-IE" w:eastAsia="en-IE"/>
              </w:rPr>
            </w:pPr>
          </w:p>
        </w:tc>
        <w:tc>
          <w:tcPr>
            <w:tcW w:w="0" w:type="auto"/>
            <w:tcBorders>
              <w:top w:val="single" w:sz="4" w:space="0" w:color="auto"/>
            </w:tcBorders>
            <w:shd w:val="clear" w:color="auto" w:fill="auto"/>
          </w:tcPr>
          <w:p w14:paraId="36EEA572" w14:textId="77777777" w:rsidR="00794AFD" w:rsidRPr="00DC37FC" w:rsidRDefault="00794AFD" w:rsidP="00794AFD">
            <w:pPr>
              <w:pStyle w:val="body"/>
              <w:ind w:left="787"/>
              <w:jc w:val="right"/>
              <w:rPr>
                <w:rFonts w:asciiTheme="minorHAnsi" w:hAnsiTheme="minorHAnsi"/>
                <w:sz w:val="20"/>
                <w:szCs w:val="20"/>
                <w:lang w:val="en-IE" w:eastAsia="en-IE"/>
              </w:rPr>
            </w:pPr>
          </w:p>
        </w:tc>
      </w:tr>
      <w:tr w:rsidR="00794AFD" w:rsidRPr="001C5950" w14:paraId="227EBB09" w14:textId="77777777" w:rsidTr="00794AFD">
        <w:trPr>
          <w:trHeight w:val="204"/>
        </w:trPr>
        <w:tc>
          <w:tcPr>
            <w:tcW w:w="0" w:type="auto"/>
            <w:gridSpan w:val="2"/>
            <w:tcBorders>
              <w:bottom w:val="single" w:sz="4" w:space="0" w:color="auto"/>
            </w:tcBorders>
          </w:tcPr>
          <w:p w14:paraId="4FD80F5B" w14:textId="77777777" w:rsidR="00794AFD" w:rsidRPr="00FC3D06" w:rsidRDefault="00794AFD" w:rsidP="00794AFD">
            <w:pPr>
              <w:pStyle w:val="body"/>
              <w:spacing w:line="240" w:lineRule="auto"/>
              <w:ind w:left="-108"/>
              <w:rPr>
                <w:rFonts w:asciiTheme="minorHAnsi" w:hAnsiTheme="minorHAnsi"/>
                <w:sz w:val="20"/>
                <w:szCs w:val="20"/>
                <w:lang w:val="en-IE"/>
              </w:rPr>
            </w:pPr>
            <w:r w:rsidRPr="002D7BE5">
              <w:rPr>
                <w:rFonts w:asciiTheme="minorHAnsi" w:hAnsiTheme="minorHAnsi"/>
                <w:sz w:val="20"/>
                <w:szCs w:val="20"/>
                <w:lang w:val="en-IE"/>
              </w:rPr>
              <w:t>Lease liabilities</w:t>
            </w:r>
          </w:p>
        </w:tc>
        <w:tc>
          <w:tcPr>
            <w:tcW w:w="0" w:type="auto"/>
            <w:tcBorders>
              <w:bottom w:val="single" w:sz="4" w:space="0" w:color="auto"/>
            </w:tcBorders>
            <w:shd w:val="clear" w:color="auto" w:fill="auto"/>
          </w:tcPr>
          <w:p w14:paraId="2ED2082D" w14:textId="77777777" w:rsidR="00794AFD" w:rsidRPr="00784F67" w:rsidRDefault="00794AFD" w:rsidP="00794AFD">
            <w:pPr>
              <w:pStyle w:val="body"/>
              <w:ind w:left="360"/>
              <w:jc w:val="right"/>
              <w:rPr>
                <w:rFonts w:asciiTheme="minorHAnsi" w:hAnsiTheme="minorHAnsi"/>
                <w:b/>
                <w:sz w:val="20"/>
                <w:szCs w:val="20"/>
                <w:lang w:val="en-IE" w:eastAsia="en-IE"/>
              </w:rPr>
            </w:pPr>
            <w:r>
              <w:rPr>
                <w:rFonts w:asciiTheme="minorHAnsi" w:hAnsiTheme="minorHAnsi"/>
                <w:b/>
                <w:sz w:val="20"/>
                <w:szCs w:val="20"/>
                <w:lang w:val="en-IE" w:eastAsia="en-IE"/>
              </w:rPr>
              <w:t>132.1</w:t>
            </w:r>
          </w:p>
        </w:tc>
        <w:tc>
          <w:tcPr>
            <w:tcW w:w="0" w:type="auto"/>
            <w:tcBorders>
              <w:bottom w:val="single" w:sz="4" w:space="0" w:color="auto"/>
            </w:tcBorders>
            <w:shd w:val="clear" w:color="auto" w:fill="auto"/>
          </w:tcPr>
          <w:p w14:paraId="4A907253" w14:textId="77777777" w:rsidR="00794AFD" w:rsidRPr="00DC37FC" w:rsidRDefault="00794AFD" w:rsidP="00794AFD">
            <w:pPr>
              <w:pStyle w:val="body"/>
              <w:ind w:left="787"/>
              <w:jc w:val="right"/>
              <w:rPr>
                <w:rFonts w:asciiTheme="minorHAnsi" w:hAnsiTheme="minorHAnsi"/>
                <w:sz w:val="20"/>
                <w:szCs w:val="20"/>
                <w:lang w:val="en-IE" w:eastAsia="en-IE"/>
              </w:rPr>
            </w:pPr>
            <w:r w:rsidRPr="002D7BE5">
              <w:rPr>
                <w:rFonts w:asciiTheme="minorHAnsi" w:hAnsiTheme="minorHAnsi"/>
                <w:sz w:val="20"/>
                <w:szCs w:val="20"/>
                <w:lang w:val="en-IE" w:eastAsia="en-IE"/>
              </w:rPr>
              <w:t>-</w:t>
            </w:r>
          </w:p>
        </w:tc>
      </w:tr>
    </w:tbl>
    <w:p w14:paraId="72DA1CC9" w14:textId="77777777" w:rsidR="00794AFD" w:rsidRPr="001C5950" w:rsidRDefault="00794AFD" w:rsidP="00794AFD">
      <w:pPr>
        <w:rPr>
          <w:rFonts w:asciiTheme="minorHAnsi" w:hAnsiTheme="minorHAnsi" w:cstheme="minorHAnsi"/>
          <w:b/>
          <w:sz w:val="20"/>
          <w:szCs w:val="20"/>
        </w:rPr>
      </w:pPr>
    </w:p>
    <w:p w14:paraId="348F4707" w14:textId="77777777" w:rsidR="00794AFD" w:rsidRPr="00870280" w:rsidRDefault="00794AFD" w:rsidP="00794AFD">
      <w:pPr>
        <w:rPr>
          <w:rFonts w:asciiTheme="minorHAnsi" w:hAnsiTheme="minorHAnsi" w:cstheme="minorHAnsi"/>
          <w:sz w:val="20"/>
          <w:lang w:val="en-IE"/>
        </w:rPr>
      </w:pPr>
      <w:bookmarkStart w:id="47" w:name="_Hlk504569387"/>
      <w:bookmarkStart w:id="48" w:name="_Hlk30322450"/>
      <w:bookmarkEnd w:id="46"/>
      <w:r w:rsidRPr="00870280">
        <w:rPr>
          <w:rFonts w:asciiTheme="minorHAnsi" w:hAnsiTheme="minorHAnsi" w:cstheme="minorHAnsi"/>
          <w:sz w:val="20"/>
          <w:lang w:val="en-IE"/>
        </w:rPr>
        <w:t>In 2015, the Group secured a committed revolving credit bank loan facility (“RCF”) of €300m provided by a syndicate of banks which was scheduled to expire in May 2020. In 2018, the RCF was amended to an amount of £450m and was extended to expire in April 2023.  In May 2019, the RCF was amended to update the financial covenants and margin grid, as per those outlined below.  In May 2019, the Group also secured a term loan facility of £250m provided by a syndicate of banks. The term loan facility is for an initial period of 18 months with an option to extend further by up to 12 months.</w:t>
      </w:r>
    </w:p>
    <w:p w14:paraId="77A4A2B1" w14:textId="77777777" w:rsidR="00794AFD" w:rsidRPr="00DC37FC" w:rsidRDefault="00794AFD" w:rsidP="00794AFD">
      <w:pPr>
        <w:rPr>
          <w:rFonts w:asciiTheme="minorHAnsi" w:hAnsiTheme="minorHAnsi" w:cstheme="minorHAnsi"/>
          <w:sz w:val="12"/>
          <w:szCs w:val="12"/>
          <w:lang w:val="en-IE"/>
        </w:rPr>
      </w:pPr>
    </w:p>
    <w:p w14:paraId="020267A0" w14:textId="77777777" w:rsidR="00794AFD" w:rsidRPr="00870280" w:rsidRDefault="00794AFD" w:rsidP="00794AFD">
      <w:pPr>
        <w:rPr>
          <w:rFonts w:asciiTheme="minorHAnsi" w:hAnsiTheme="minorHAnsi" w:cstheme="minorHAnsi"/>
          <w:sz w:val="20"/>
          <w:lang w:val="en-IE"/>
        </w:rPr>
      </w:pPr>
      <w:r w:rsidRPr="0070760B">
        <w:rPr>
          <w:rFonts w:asciiTheme="minorHAnsi" w:hAnsiTheme="minorHAnsi" w:cstheme="minorHAnsi"/>
          <w:sz w:val="20"/>
          <w:lang w:val="en-IE"/>
        </w:rPr>
        <w:t xml:space="preserve">At 31 December 2019, </w:t>
      </w:r>
      <w:r w:rsidRPr="00070ED0">
        <w:rPr>
          <w:rFonts w:asciiTheme="minorHAnsi" w:hAnsiTheme="minorHAnsi" w:cstheme="minorHAnsi"/>
          <w:sz w:val="20"/>
          <w:lang w:val="en-IE"/>
        </w:rPr>
        <w:t>£79m and €45m</w:t>
      </w:r>
      <w:r w:rsidRPr="0070760B">
        <w:rPr>
          <w:rFonts w:asciiTheme="minorHAnsi" w:hAnsiTheme="minorHAnsi" w:cstheme="minorHAnsi"/>
          <w:sz w:val="20"/>
          <w:lang w:val="en-IE"/>
        </w:rPr>
        <w:t xml:space="preserve"> of the RCF was drawn down and </w:t>
      </w:r>
      <w:r w:rsidRPr="00070ED0">
        <w:rPr>
          <w:rFonts w:asciiTheme="minorHAnsi" w:hAnsiTheme="minorHAnsi" w:cstheme="minorHAnsi"/>
          <w:sz w:val="20"/>
          <w:lang w:val="en-IE"/>
        </w:rPr>
        <w:t>£250m</w:t>
      </w:r>
      <w:r w:rsidRPr="0070760B">
        <w:rPr>
          <w:rFonts w:asciiTheme="minorHAnsi" w:hAnsiTheme="minorHAnsi" w:cstheme="minorHAnsi"/>
          <w:sz w:val="20"/>
          <w:lang w:val="en-IE"/>
        </w:rPr>
        <w:t xml:space="preserve"> of the term loan facility was drawn down totalling to </w:t>
      </w:r>
      <w:r w:rsidRPr="00070ED0">
        <w:rPr>
          <w:rFonts w:asciiTheme="minorHAnsi" w:hAnsiTheme="minorHAnsi" w:cstheme="minorHAnsi"/>
          <w:sz w:val="20"/>
          <w:lang w:val="en-IE"/>
        </w:rPr>
        <w:t>£367.3m</w:t>
      </w:r>
      <w:r w:rsidRPr="0070760B">
        <w:rPr>
          <w:rFonts w:asciiTheme="minorHAnsi" w:hAnsiTheme="minorHAnsi" w:cstheme="minorHAnsi"/>
          <w:sz w:val="20"/>
          <w:lang w:val="en-IE"/>
        </w:rPr>
        <w:t xml:space="preserve"> (31 December 2018: £285m)</w:t>
      </w:r>
    </w:p>
    <w:p w14:paraId="314E1A66" w14:textId="77777777" w:rsidR="00794AFD" w:rsidRPr="00DC37FC" w:rsidRDefault="00794AFD" w:rsidP="00794AFD">
      <w:pPr>
        <w:rPr>
          <w:rFonts w:asciiTheme="minorHAnsi" w:hAnsiTheme="minorHAnsi" w:cstheme="minorHAnsi"/>
          <w:sz w:val="12"/>
          <w:szCs w:val="12"/>
          <w:lang w:val="en-IE"/>
        </w:rPr>
      </w:pPr>
    </w:p>
    <w:p w14:paraId="1C579A85" w14:textId="77777777" w:rsidR="00794AFD" w:rsidRPr="00870280" w:rsidRDefault="00794AFD" w:rsidP="00794AFD">
      <w:pPr>
        <w:rPr>
          <w:rFonts w:asciiTheme="minorHAnsi" w:hAnsiTheme="minorHAnsi" w:cstheme="minorHAnsi"/>
          <w:sz w:val="20"/>
          <w:lang w:val="en-IE"/>
        </w:rPr>
      </w:pPr>
      <w:r w:rsidRPr="00870280">
        <w:rPr>
          <w:rFonts w:asciiTheme="minorHAnsi" w:hAnsiTheme="minorHAnsi" w:cstheme="minorHAnsi"/>
          <w:sz w:val="20"/>
          <w:lang w:val="en-IE"/>
        </w:rPr>
        <w:t xml:space="preserve">Borrowings under the RCF and the term loan facility are unsecured but are guaranteed by the Company and certain of its operating subsidiaries. Borrowings under the RCF incur interest at LIBOR (for borrowings denominated in pounds sterling) and EURIBOR (for borrowings denominated in euro) plus a margin of between 1.10% and 2.50%. A commitment fee, equivalent to 35% of the margin, is payable in respect of available but undrawn borrowings. Borrowings under the term loan facility incur interest at LIBOR plus a margin of between 0.60% and 2.40%.  </w:t>
      </w:r>
    </w:p>
    <w:p w14:paraId="67CF942A" w14:textId="77777777" w:rsidR="00794AFD" w:rsidRPr="00DC37FC" w:rsidRDefault="00794AFD" w:rsidP="00794AFD">
      <w:pPr>
        <w:rPr>
          <w:rFonts w:asciiTheme="minorHAnsi" w:hAnsiTheme="minorHAnsi" w:cstheme="minorHAnsi"/>
          <w:sz w:val="12"/>
          <w:szCs w:val="12"/>
          <w:lang w:val="en-IE"/>
        </w:rPr>
      </w:pPr>
    </w:p>
    <w:p w14:paraId="217403C6" w14:textId="77777777" w:rsidR="00794AFD" w:rsidRDefault="00794AFD" w:rsidP="00794AFD">
      <w:pPr>
        <w:widowControl/>
        <w:autoSpaceDE/>
        <w:autoSpaceDN/>
        <w:adjustRightInd/>
        <w:rPr>
          <w:rFonts w:asciiTheme="minorHAnsi" w:hAnsiTheme="minorHAnsi"/>
          <w:b/>
          <w:sz w:val="20"/>
          <w:szCs w:val="20"/>
          <w:lang w:val="en-IE"/>
        </w:rPr>
      </w:pPr>
      <w:r w:rsidRPr="00870280">
        <w:rPr>
          <w:rFonts w:asciiTheme="minorHAnsi" w:hAnsiTheme="minorHAnsi" w:cstheme="minorHAnsi"/>
          <w:sz w:val="20"/>
          <w:lang w:val="en-IE"/>
        </w:rPr>
        <w:t>It is the Directors’ opinion that due to the Group’s bank borrowings being subject to floating interest rates and the proven cash generation capability of the Group, there is no significant difference between the book value and fair value of the Group’s borrowings.</w:t>
      </w:r>
      <w:r>
        <w:rPr>
          <w:rFonts w:asciiTheme="minorHAnsi" w:hAnsiTheme="minorHAnsi" w:cstheme="minorHAnsi"/>
          <w:sz w:val="20"/>
          <w:lang w:val="en-IE"/>
        </w:rPr>
        <w:t xml:space="preserve"> </w:t>
      </w:r>
      <w:r w:rsidRPr="00870280">
        <w:rPr>
          <w:rFonts w:asciiTheme="minorHAnsi" w:hAnsiTheme="minorHAnsi" w:cstheme="minorHAnsi"/>
          <w:sz w:val="20"/>
          <w:lang w:val="en-IE"/>
        </w:rPr>
        <w:t xml:space="preserve">Under the terms of both the RCF and term loan facility, the Group is required to comply with the following financial covenants on a semi-annual basis. </w:t>
      </w:r>
      <w:r>
        <w:rPr>
          <w:rFonts w:asciiTheme="minorHAnsi" w:hAnsiTheme="minorHAnsi"/>
          <w:b/>
          <w:sz w:val="20"/>
          <w:szCs w:val="20"/>
          <w:lang w:val="en-IE"/>
        </w:rPr>
        <w:br w:type="page"/>
      </w:r>
    </w:p>
    <w:p w14:paraId="7AC187B6" w14:textId="77777777" w:rsidR="00794AFD" w:rsidRPr="001C5950" w:rsidRDefault="00794AFD" w:rsidP="00794AFD">
      <w:pPr>
        <w:widowControl/>
        <w:autoSpaceDE/>
        <w:autoSpaceDN/>
        <w:adjustRightInd/>
        <w:rPr>
          <w:rFonts w:asciiTheme="minorHAnsi" w:hAnsiTheme="minorHAnsi"/>
          <w:b/>
          <w:sz w:val="20"/>
          <w:szCs w:val="20"/>
          <w:lang w:val="en-IE"/>
        </w:rPr>
      </w:pPr>
      <w:r>
        <w:rPr>
          <w:rFonts w:asciiTheme="minorHAnsi" w:hAnsiTheme="minorHAnsi"/>
          <w:b/>
          <w:sz w:val="20"/>
          <w:szCs w:val="20"/>
          <w:lang w:val="en-IE"/>
        </w:rPr>
        <w:lastRenderedPageBreak/>
        <w:t>14</w:t>
      </w:r>
      <w:r w:rsidRPr="001C5950">
        <w:rPr>
          <w:rFonts w:asciiTheme="minorHAnsi" w:hAnsiTheme="minorHAnsi"/>
          <w:b/>
          <w:sz w:val="20"/>
          <w:szCs w:val="20"/>
          <w:lang w:val="en-IE"/>
        </w:rPr>
        <w:t>.  Borrowings</w:t>
      </w:r>
      <w:r>
        <w:rPr>
          <w:rFonts w:asciiTheme="minorHAnsi" w:hAnsiTheme="minorHAnsi"/>
          <w:b/>
          <w:sz w:val="20"/>
          <w:szCs w:val="20"/>
          <w:lang w:val="en-IE"/>
        </w:rPr>
        <w:t xml:space="preserve"> and Lease liabilities</w:t>
      </w:r>
      <w:r w:rsidRPr="001C5950">
        <w:rPr>
          <w:rFonts w:asciiTheme="minorHAnsi" w:hAnsiTheme="minorHAnsi"/>
          <w:b/>
          <w:sz w:val="20"/>
          <w:szCs w:val="20"/>
          <w:lang w:val="en-IE"/>
        </w:rPr>
        <w:t xml:space="preserve"> </w:t>
      </w:r>
      <w:r>
        <w:rPr>
          <w:rFonts w:asciiTheme="minorHAnsi" w:hAnsiTheme="minorHAnsi"/>
          <w:b/>
          <w:sz w:val="20"/>
          <w:szCs w:val="20"/>
          <w:lang w:val="en-IE"/>
        </w:rPr>
        <w:t>(continued)</w:t>
      </w:r>
    </w:p>
    <w:p w14:paraId="6D804794" w14:textId="77777777" w:rsidR="00794AFD" w:rsidRPr="00870280" w:rsidRDefault="00794AFD" w:rsidP="00794AFD">
      <w:pPr>
        <w:rPr>
          <w:rFonts w:asciiTheme="minorHAnsi" w:hAnsiTheme="minorHAnsi" w:cstheme="minorHAnsi"/>
          <w:sz w:val="20"/>
          <w:lang w:val="en-IE"/>
        </w:rPr>
      </w:pPr>
    </w:p>
    <w:p w14:paraId="6D46D959" w14:textId="77777777" w:rsidR="00794AFD" w:rsidRPr="00870280" w:rsidRDefault="00794AFD" w:rsidP="00794AFD">
      <w:pPr>
        <w:pStyle w:val="ListParagraph"/>
        <w:numPr>
          <w:ilvl w:val="0"/>
          <w:numId w:val="5"/>
        </w:numPr>
        <w:spacing w:after="0" w:line="240" w:lineRule="auto"/>
        <w:rPr>
          <w:rFonts w:asciiTheme="minorHAnsi" w:hAnsiTheme="minorHAnsi" w:cstheme="minorHAnsi"/>
          <w:sz w:val="20"/>
          <w:lang w:val="en-IE"/>
        </w:rPr>
      </w:pPr>
      <w:r w:rsidRPr="00870280">
        <w:rPr>
          <w:rFonts w:asciiTheme="minorHAnsi" w:hAnsiTheme="minorHAnsi"/>
          <w:b/>
          <w:sz w:val="20"/>
          <w:lang w:val="en-IE"/>
        </w:rPr>
        <w:t>Net Leverage Ratio:</w:t>
      </w:r>
      <w:r w:rsidRPr="00870280">
        <w:rPr>
          <w:rFonts w:asciiTheme="minorHAnsi" w:hAnsiTheme="minorHAnsi"/>
          <w:sz w:val="20"/>
          <w:lang w:val="en-IE"/>
        </w:rPr>
        <w:t xml:space="preserve"> Consolidated net borrowings shall not be more than 3.5 times underlying consolidated EBITDA</w:t>
      </w:r>
      <w:r w:rsidRPr="00870280">
        <w:rPr>
          <w:rFonts w:asciiTheme="minorHAnsi" w:hAnsiTheme="minorHAnsi" w:cstheme="minorHAnsi"/>
          <w:sz w:val="20"/>
          <w:lang w:val="en-IE"/>
        </w:rPr>
        <w:t xml:space="preserve"> (with acquisition spikes in the event of material acquisitions, to 4.0 times for a period of six months, stepping back to 3.75 times for the subsequent six months, before returning to 3.5 times).</w:t>
      </w:r>
    </w:p>
    <w:p w14:paraId="520D0A6A" w14:textId="77777777" w:rsidR="00794AFD" w:rsidRPr="00870280" w:rsidRDefault="00794AFD" w:rsidP="00794AFD">
      <w:pPr>
        <w:pStyle w:val="ListParagraph"/>
        <w:numPr>
          <w:ilvl w:val="0"/>
          <w:numId w:val="5"/>
        </w:numPr>
        <w:spacing w:after="0" w:line="240" w:lineRule="auto"/>
        <w:rPr>
          <w:rFonts w:asciiTheme="minorHAnsi" w:hAnsiTheme="minorHAnsi" w:cstheme="minorHAnsi"/>
          <w:sz w:val="20"/>
          <w:lang w:val="en-IE"/>
        </w:rPr>
      </w:pPr>
      <w:r w:rsidRPr="00870280">
        <w:rPr>
          <w:rFonts w:asciiTheme="minorHAnsi" w:hAnsiTheme="minorHAnsi" w:cstheme="minorHAnsi"/>
          <w:b/>
          <w:sz w:val="20"/>
          <w:lang w:val="en-IE"/>
        </w:rPr>
        <w:t>Interest Cover Ratio:</w:t>
      </w:r>
      <w:r w:rsidRPr="00870280">
        <w:rPr>
          <w:rFonts w:asciiTheme="minorHAnsi" w:hAnsiTheme="minorHAnsi" w:cstheme="minorHAnsi"/>
          <w:sz w:val="20"/>
          <w:lang w:val="en-IE"/>
        </w:rPr>
        <w:t xml:space="preserve"> Underlying consolidated EBITDA shall not be less than 4.0 times net finance charges.</w:t>
      </w:r>
    </w:p>
    <w:p w14:paraId="595571AD" w14:textId="77777777" w:rsidR="00794AFD" w:rsidRPr="00DC37FC" w:rsidRDefault="00794AFD" w:rsidP="00794AFD">
      <w:pPr>
        <w:pStyle w:val="ListParagraph"/>
        <w:ind w:left="0"/>
        <w:rPr>
          <w:rFonts w:asciiTheme="minorHAnsi" w:hAnsiTheme="minorHAnsi"/>
          <w:sz w:val="12"/>
          <w:szCs w:val="12"/>
          <w:lang w:val="en-IE"/>
        </w:rPr>
      </w:pPr>
    </w:p>
    <w:p w14:paraId="3DF6ECA3" w14:textId="77777777" w:rsidR="00794AFD" w:rsidRPr="00DC37FC" w:rsidRDefault="00794AFD" w:rsidP="00794AFD">
      <w:pPr>
        <w:pStyle w:val="ListParagraph"/>
        <w:ind w:left="0"/>
        <w:rPr>
          <w:rFonts w:asciiTheme="minorHAnsi" w:hAnsiTheme="minorHAnsi"/>
          <w:sz w:val="12"/>
          <w:szCs w:val="12"/>
          <w:lang w:val="en-IE"/>
        </w:rPr>
      </w:pPr>
    </w:p>
    <w:p w14:paraId="44E10D8B" w14:textId="77777777" w:rsidR="00794AFD" w:rsidRDefault="00794AFD" w:rsidP="00794AFD">
      <w:pPr>
        <w:pStyle w:val="ListParagraph"/>
        <w:spacing w:after="0" w:line="240" w:lineRule="auto"/>
        <w:ind w:left="0"/>
        <w:rPr>
          <w:rFonts w:asciiTheme="minorHAnsi" w:hAnsiTheme="minorHAnsi"/>
          <w:sz w:val="20"/>
          <w:szCs w:val="20"/>
          <w:lang w:val="en-IE"/>
        </w:rPr>
      </w:pPr>
      <w:r w:rsidRPr="001C5950">
        <w:rPr>
          <w:rFonts w:asciiTheme="minorHAnsi" w:hAnsiTheme="minorHAnsi"/>
          <w:sz w:val="20"/>
          <w:szCs w:val="20"/>
          <w:lang w:val="en-IE"/>
        </w:rPr>
        <w:t xml:space="preserve">During the year ended 31 December </w:t>
      </w:r>
      <w:r>
        <w:rPr>
          <w:rFonts w:asciiTheme="minorHAnsi" w:hAnsiTheme="minorHAnsi"/>
          <w:sz w:val="20"/>
          <w:szCs w:val="20"/>
          <w:lang w:val="en-IE"/>
        </w:rPr>
        <w:t>2019</w:t>
      </w:r>
      <w:r w:rsidRPr="001C5950">
        <w:rPr>
          <w:rFonts w:asciiTheme="minorHAnsi" w:hAnsiTheme="minorHAnsi"/>
          <w:sz w:val="20"/>
          <w:szCs w:val="20"/>
          <w:lang w:val="en-IE"/>
        </w:rPr>
        <w:t>, all covenants have been complied with.</w:t>
      </w:r>
    </w:p>
    <w:p w14:paraId="08D16FA8" w14:textId="77777777" w:rsidR="00794AFD" w:rsidRPr="000944E4" w:rsidRDefault="00794AFD" w:rsidP="00794AFD">
      <w:pPr>
        <w:pStyle w:val="ListParagraph"/>
        <w:spacing w:after="0" w:line="240" w:lineRule="auto"/>
        <w:ind w:left="0"/>
        <w:rPr>
          <w:rFonts w:asciiTheme="minorHAnsi" w:hAnsiTheme="minorHAnsi"/>
          <w:sz w:val="12"/>
          <w:szCs w:val="12"/>
          <w:lang w:val="en-IE"/>
        </w:rPr>
      </w:pPr>
    </w:p>
    <w:p w14:paraId="65B5318F" w14:textId="77777777" w:rsidR="00794AFD" w:rsidRPr="00DC37FC" w:rsidRDefault="00794AFD" w:rsidP="00794AFD">
      <w:pPr>
        <w:rPr>
          <w:rFonts w:asciiTheme="minorHAnsi" w:hAnsiTheme="minorHAnsi"/>
          <w:b/>
          <w:sz w:val="12"/>
          <w:szCs w:val="12"/>
          <w:lang w:val="en-IE"/>
        </w:rPr>
      </w:pPr>
    </w:p>
    <w:p w14:paraId="733B1742" w14:textId="77777777" w:rsidR="00794AFD" w:rsidRPr="001C5950" w:rsidRDefault="00794AFD" w:rsidP="00794AFD">
      <w:pPr>
        <w:rPr>
          <w:rFonts w:asciiTheme="minorHAnsi" w:hAnsiTheme="minorHAnsi" w:cs="Times New Roman"/>
          <w:sz w:val="20"/>
          <w:szCs w:val="20"/>
        </w:rPr>
      </w:pPr>
      <w:r w:rsidRPr="00070ED0">
        <w:rPr>
          <w:rFonts w:asciiTheme="minorHAnsi" w:hAnsiTheme="minorHAnsi" w:cs="Times New Roman"/>
          <w:sz w:val="20"/>
          <w:szCs w:val="20"/>
        </w:rPr>
        <w:t>In addition, at 31 December 2019 £5.0m of the Group’s bank overdraft facilities were utilised (31 December 2018: £Nil).</w:t>
      </w:r>
    </w:p>
    <w:p w14:paraId="3CF836CA" w14:textId="77777777" w:rsidR="00794AFD" w:rsidRPr="004A56E3" w:rsidRDefault="00794AFD" w:rsidP="00794AFD">
      <w:pPr>
        <w:jc w:val="both"/>
        <w:rPr>
          <w:rFonts w:asciiTheme="minorHAnsi" w:hAnsiTheme="minorHAnsi"/>
          <w:b/>
          <w:bCs/>
          <w:sz w:val="12"/>
          <w:szCs w:val="12"/>
          <w:lang w:val="en-IE"/>
        </w:rPr>
      </w:pPr>
    </w:p>
    <w:p w14:paraId="195AA7F2" w14:textId="77777777" w:rsidR="00794AFD" w:rsidRPr="00FC3D06" w:rsidRDefault="00794AFD" w:rsidP="00794AFD">
      <w:pPr>
        <w:jc w:val="both"/>
        <w:rPr>
          <w:rFonts w:asciiTheme="minorHAnsi" w:hAnsiTheme="minorHAnsi"/>
          <w:b/>
          <w:bCs/>
          <w:sz w:val="20"/>
          <w:szCs w:val="20"/>
          <w:lang w:val="en-IE"/>
        </w:rPr>
      </w:pPr>
      <w:r w:rsidRPr="001C5950">
        <w:rPr>
          <w:rFonts w:asciiTheme="minorHAnsi" w:hAnsiTheme="minorHAnsi"/>
          <w:b/>
          <w:bCs/>
          <w:sz w:val="20"/>
          <w:szCs w:val="20"/>
          <w:lang w:val="en-IE"/>
        </w:rPr>
        <w:t>Reconciliation of movements of liabilities to cash flows arising from financing activities:</w:t>
      </w:r>
    </w:p>
    <w:bookmarkEnd w:id="47"/>
    <w:p w14:paraId="45E9AA1B" w14:textId="77777777" w:rsidR="00794AFD" w:rsidRPr="00DC37FC" w:rsidRDefault="00794AFD" w:rsidP="00794AFD">
      <w:pPr>
        <w:jc w:val="both"/>
        <w:rPr>
          <w:rFonts w:asciiTheme="minorHAnsi" w:hAnsiTheme="minorHAnsi"/>
          <w:b/>
          <w:bCs/>
          <w:sz w:val="12"/>
          <w:szCs w:val="12"/>
          <w:lang w:val="en-IE"/>
        </w:rPr>
      </w:pPr>
    </w:p>
    <w:tbl>
      <w:tblPr>
        <w:tblW w:w="7989" w:type="dxa"/>
        <w:tblInd w:w="108" w:type="dxa"/>
        <w:tblLook w:val="01E0" w:firstRow="1" w:lastRow="1" w:firstColumn="1" w:lastColumn="1" w:noHBand="0" w:noVBand="0"/>
      </w:tblPr>
      <w:tblGrid>
        <w:gridCol w:w="1866"/>
        <w:gridCol w:w="4323"/>
        <w:gridCol w:w="1565"/>
        <w:gridCol w:w="235"/>
      </w:tblGrid>
      <w:tr w:rsidR="00794AFD" w:rsidRPr="001C5950" w14:paraId="0F05A6F3" w14:textId="77777777" w:rsidTr="00794AFD">
        <w:trPr>
          <w:trHeight w:val="204"/>
        </w:trPr>
        <w:tc>
          <w:tcPr>
            <w:tcW w:w="1866" w:type="dxa"/>
            <w:tcBorders>
              <w:top w:val="single" w:sz="4" w:space="0" w:color="auto"/>
              <w:bottom w:val="single" w:sz="4" w:space="0" w:color="auto"/>
            </w:tcBorders>
          </w:tcPr>
          <w:p w14:paraId="302FBAAE" w14:textId="77777777" w:rsidR="00794AFD" w:rsidRPr="00FC3D06" w:rsidRDefault="00794AFD" w:rsidP="00794AFD">
            <w:pPr>
              <w:pStyle w:val="body"/>
              <w:ind w:left="-108"/>
              <w:rPr>
                <w:rFonts w:asciiTheme="minorHAnsi" w:hAnsiTheme="minorHAnsi"/>
                <w:sz w:val="20"/>
                <w:szCs w:val="20"/>
                <w:lang w:val="en-IE"/>
              </w:rPr>
            </w:pPr>
          </w:p>
        </w:tc>
        <w:tc>
          <w:tcPr>
            <w:tcW w:w="4323" w:type="dxa"/>
            <w:tcBorders>
              <w:top w:val="single" w:sz="4" w:space="0" w:color="auto"/>
              <w:bottom w:val="single" w:sz="4" w:space="0" w:color="auto"/>
            </w:tcBorders>
            <w:shd w:val="clear" w:color="auto" w:fill="auto"/>
          </w:tcPr>
          <w:p w14:paraId="32197C21" w14:textId="77777777" w:rsidR="00794AFD" w:rsidRPr="00FC3D06" w:rsidRDefault="00794AFD" w:rsidP="00794AFD">
            <w:pPr>
              <w:pStyle w:val="body"/>
              <w:ind w:left="-108"/>
              <w:rPr>
                <w:rFonts w:asciiTheme="minorHAnsi" w:hAnsiTheme="minorHAnsi"/>
                <w:b/>
                <w:sz w:val="20"/>
                <w:szCs w:val="20"/>
                <w:lang w:val="en-IE" w:eastAsia="en-IE"/>
              </w:rPr>
            </w:pPr>
            <w:r w:rsidRPr="00FC3D06">
              <w:rPr>
                <w:rFonts w:asciiTheme="minorHAnsi" w:hAnsiTheme="minorHAnsi"/>
                <w:sz w:val="20"/>
                <w:szCs w:val="20"/>
                <w:lang w:val="en-IE"/>
              </w:rPr>
              <w:br w:type="page"/>
            </w:r>
          </w:p>
        </w:tc>
        <w:tc>
          <w:tcPr>
            <w:tcW w:w="1565" w:type="dxa"/>
            <w:tcBorders>
              <w:top w:val="single" w:sz="4" w:space="0" w:color="auto"/>
              <w:bottom w:val="single" w:sz="4" w:space="0" w:color="auto"/>
            </w:tcBorders>
            <w:shd w:val="clear" w:color="auto" w:fill="auto"/>
          </w:tcPr>
          <w:p w14:paraId="16BBCC71" w14:textId="77777777" w:rsidR="00794AFD" w:rsidRPr="001C5950" w:rsidRDefault="00794AFD" w:rsidP="00794AFD">
            <w:pPr>
              <w:pStyle w:val="body"/>
              <w:ind w:left="32"/>
              <w:jc w:val="right"/>
              <w:rPr>
                <w:rFonts w:asciiTheme="minorHAnsi" w:hAnsiTheme="minorHAnsi"/>
                <w:b/>
                <w:sz w:val="20"/>
                <w:szCs w:val="20"/>
                <w:lang w:val="en-IE" w:eastAsia="en-IE"/>
              </w:rPr>
            </w:pPr>
            <w:r w:rsidRPr="001C5950">
              <w:rPr>
                <w:rFonts w:asciiTheme="minorHAnsi" w:hAnsiTheme="minorHAnsi"/>
                <w:b/>
                <w:sz w:val="20"/>
                <w:szCs w:val="20"/>
                <w:lang w:val="en-IE" w:eastAsia="en-IE"/>
              </w:rPr>
              <w:t>£m</w:t>
            </w:r>
          </w:p>
        </w:tc>
        <w:tc>
          <w:tcPr>
            <w:tcW w:w="235" w:type="dxa"/>
          </w:tcPr>
          <w:p w14:paraId="3D9EC558" w14:textId="77777777" w:rsidR="00794AFD" w:rsidRPr="00FC3D06" w:rsidRDefault="00794AFD" w:rsidP="00794AFD">
            <w:pPr>
              <w:pStyle w:val="body"/>
              <w:ind w:left="-358"/>
              <w:jc w:val="right"/>
              <w:rPr>
                <w:rFonts w:asciiTheme="minorHAnsi" w:hAnsiTheme="minorHAnsi"/>
                <w:b/>
                <w:sz w:val="20"/>
                <w:szCs w:val="20"/>
                <w:lang w:val="en-IE" w:eastAsia="en-IE"/>
              </w:rPr>
            </w:pPr>
          </w:p>
        </w:tc>
      </w:tr>
      <w:tr w:rsidR="00794AFD" w:rsidRPr="001C5950" w14:paraId="0059447A" w14:textId="77777777" w:rsidTr="00794AFD">
        <w:trPr>
          <w:trHeight w:val="204"/>
        </w:trPr>
        <w:tc>
          <w:tcPr>
            <w:tcW w:w="6189" w:type="dxa"/>
            <w:gridSpan w:val="2"/>
          </w:tcPr>
          <w:p w14:paraId="66E273EB" w14:textId="77777777" w:rsidR="00794AFD" w:rsidRPr="00FC3D06" w:rsidRDefault="00794AFD" w:rsidP="00794AFD">
            <w:pPr>
              <w:pStyle w:val="body"/>
              <w:tabs>
                <w:tab w:val="left" w:pos="1635"/>
              </w:tabs>
              <w:spacing w:line="240" w:lineRule="auto"/>
              <w:ind w:left="-108"/>
              <w:rPr>
                <w:rFonts w:asciiTheme="minorHAnsi" w:hAnsiTheme="minorHAnsi"/>
                <w:sz w:val="20"/>
                <w:szCs w:val="20"/>
                <w:lang w:val="en-IE"/>
              </w:rPr>
            </w:pPr>
            <w:r w:rsidRPr="001C5950">
              <w:rPr>
                <w:rFonts w:asciiTheme="minorHAnsi" w:hAnsiTheme="minorHAnsi"/>
                <w:sz w:val="20"/>
                <w:szCs w:val="20"/>
                <w:lang w:val="en-IE"/>
              </w:rPr>
              <w:t xml:space="preserve">Balance at 1 January </w:t>
            </w:r>
            <w:r>
              <w:rPr>
                <w:rFonts w:asciiTheme="minorHAnsi" w:hAnsiTheme="minorHAnsi"/>
                <w:sz w:val="20"/>
                <w:szCs w:val="20"/>
                <w:lang w:val="en-IE"/>
              </w:rPr>
              <w:t>2019</w:t>
            </w:r>
          </w:p>
        </w:tc>
        <w:tc>
          <w:tcPr>
            <w:tcW w:w="1565" w:type="dxa"/>
            <w:shd w:val="clear" w:color="auto" w:fill="auto"/>
          </w:tcPr>
          <w:p w14:paraId="1885EEB1" w14:textId="77777777" w:rsidR="00794AFD" w:rsidRPr="00C42352" w:rsidRDefault="00794AFD" w:rsidP="00794AFD">
            <w:pPr>
              <w:pStyle w:val="body"/>
              <w:ind w:left="360"/>
              <w:jc w:val="right"/>
              <w:rPr>
                <w:rFonts w:asciiTheme="minorHAnsi" w:hAnsiTheme="minorHAnsi"/>
                <w:b/>
                <w:sz w:val="20"/>
                <w:szCs w:val="20"/>
                <w:lang w:val="en-IE" w:eastAsia="en-IE"/>
              </w:rPr>
            </w:pPr>
            <w:r w:rsidRPr="00C42352">
              <w:rPr>
                <w:rFonts w:asciiTheme="minorHAnsi" w:hAnsiTheme="minorHAnsi"/>
                <w:b/>
                <w:sz w:val="20"/>
                <w:szCs w:val="20"/>
                <w:lang w:val="en-IE" w:eastAsia="en-IE"/>
              </w:rPr>
              <w:t>283.4</w:t>
            </w:r>
          </w:p>
        </w:tc>
        <w:tc>
          <w:tcPr>
            <w:tcW w:w="235" w:type="dxa"/>
          </w:tcPr>
          <w:p w14:paraId="6522BA7D" w14:textId="77777777" w:rsidR="00794AFD" w:rsidRPr="001C5950" w:rsidRDefault="00794AFD" w:rsidP="00794AFD">
            <w:pPr>
              <w:pStyle w:val="body"/>
              <w:ind w:left="787"/>
              <w:jc w:val="right"/>
              <w:rPr>
                <w:rFonts w:asciiTheme="minorHAnsi" w:hAnsiTheme="minorHAnsi"/>
                <w:sz w:val="20"/>
                <w:szCs w:val="20"/>
                <w:lang w:val="en-IE" w:eastAsia="en-IE"/>
              </w:rPr>
            </w:pPr>
          </w:p>
        </w:tc>
      </w:tr>
      <w:tr w:rsidR="00794AFD" w:rsidRPr="001C5950" w14:paraId="6B1AFAF8" w14:textId="77777777" w:rsidTr="00794AFD">
        <w:trPr>
          <w:trHeight w:val="115"/>
        </w:trPr>
        <w:tc>
          <w:tcPr>
            <w:tcW w:w="6189" w:type="dxa"/>
            <w:gridSpan w:val="2"/>
            <w:tcBorders>
              <w:bottom w:val="single" w:sz="4" w:space="0" w:color="auto"/>
            </w:tcBorders>
          </w:tcPr>
          <w:p w14:paraId="7BA4A17B" w14:textId="77777777" w:rsidR="00794AFD" w:rsidRPr="00FC3D06" w:rsidRDefault="00794AFD" w:rsidP="00794AFD">
            <w:pPr>
              <w:pStyle w:val="body"/>
              <w:tabs>
                <w:tab w:val="left" w:pos="1635"/>
              </w:tabs>
              <w:spacing w:line="240" w:lineRule="auto"/>
              <w:ind w:left="-108"/>
              <w:rPr>
                <w:rFonts w:asciiTheme="minorHAnsi" w:hAnsiTheme="minorHAnsi"/>
                <w:sz w:val="20"/>
                <w:szCs w:val="20"/>
                <w:lang w:val="en-IE"/>
              </w:rPr>
            </w:pPr>
            <w:r>
              <w:rPr>
                <w:rFonts w:asciiTheme="minorHAnsi" w:hAnsiTheme="minorHAnsi"/>
                <w:sz w:val="20"/>
                <w:szCs w:val="20"/>
                <w:lang w:val="en-IE"/>
              </w:rPr>
              <w:t>IFRS 16 Lease liability at 1 January 2019</w:t>
            </w:r>
          </w:p>
        </w:tc>
        <w:tc>
          <w:tcPr>
            <w:tcW w:w="1565" w:type="dxa"/>
            <w:tcBorders>
              <w:bottom w:val="single" w:sz="4" w:space="0" w:color="auto"/>
            </w:tcBorders>
            <w:shd w:val="clear" w:color="auto" w:fill="auto"/>
          </w:tcPr>
          <w:p w14:paraId="75D3EF7B" w14:textId="77777777" w:rsidR="00794AFD" w:rsidRPr="00C42352" w:rsidRDefault="00794AFD" w:rsidP="00794AFD">
            <w:pPr>
              <w:pStyle w:val="body"/>
              <w:ind w:left="360"/>
              <w:jc w:val="right"/>
              <w:rPr>
                <w:rFonts w:asciiTheme="minorHAnsi" w:hAnsiTheme="minorHAnsi"/>
                <w:b/>
                <w:sz w:val="20"/>
                <w:szCs w:val="20"/>
                <w:lang w:val="en-IE" w:eastAsia="en-IE"/>
              </w:rPr>
            </w:pPr>
            <w:r>
              <w:rPr>
                <w:rFonts w:asciiTheme="minorHAnsi" w:hAnsiTheme="minorHAnsi"/>
                <w:b/>
                <w:sz w:val="20"/>
                <w:szCs w:val="20"/>
                <w:lang w:val="en-IE" w:eastAsia="en-IE"/>
              </w:rPr>
              <w:t>162.3</w:t>
            </w:r>
          </w:p>
        </w:tc>
        <w:tc>
          <w:tcPr>
            <w:tcW w:w="235" w:type="dxa"/>
          </w:tcPr>
          <w:p w14:paraId="5E973D63"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5A46A512" w14:textId="77777777" w:rsidTr="00794AFD">
        <w:trPr>
          <w:trHeight w:val="115"/>
        </w:trPr>
        <w:tc>
          <w:tcPr>
            <w:tcW w:w="6189" w:type="dxa"/>
            <w:gridSpan w:val="2"/>
            <w:tcBorders>
              <w:top w:val="single" w:sz="4" w:space="0" w:color="auto"/>
            </w:tcBorders>
          </w:tcPr>
          <w:p w14:paraId="051AED8A" w14:textId="77777777" w:rsidR="00794AFD" w:rsidRPr="00FC3D06" w:rsidRDefault="00794AFD" w:rsidP="00794AFD">
            <w:pPr>
              <w:pStyle w:val="body"/>
              <w:tabs>
                <w:tab w:val="left" w:pos="1635"/>
              </w:tabs>
              <w:spacing w:line="240" w:lineRule="auto"/>
              <w:ind w:left="-108"/>
              <w:rPr>
                <w:rFonts w:asciiTheme="minorHAnsi" w:hAnsiTheme="minorHAnsi"/>
                <w:sz w:val="20"/>
                <w:szCs w:val="20"/>
                <w:lang w:val="en-IE"/>
              </w:rPr>
            </w:pPr>
            <w:r>
              <w:rPr>
                <w:rFonts w:asciiTheme="minorHAnsi" w:hAnsiTheme="minorHAnsi"/>
                <w:sz w:val="20"/>
                <w:szCs w:val="20"/>
                <w:lang w:val="en-IE"/>
              </w:rPr>
              <w:t>Adjusted Balance at 1 January 2019</w:t>
            </w:r>
          </w:p>
        </w:tc>
        <w:tc>
          <w:tcPr>
            <w:tcW w:w="1565" w:type="dxa"/>
            <w:tcBorders>
              <w:top w:val="single" w:sz="4" w:space="0" w:color="auto"/>
            </w:tcBorders>
            <w:shd w:val="clear" w:color="auto" w:fill="auto"/>
          </w:tcPr>
          <w:p w14:paraId="75177AE8" w14:textId="77777777" w:rsidR="00794AFD" w:rsidRPr="00C42352" w:rsidRDefault="00794AFD" w:rsidP="00794AFD">
            <w:pPr>
              <w:pStyle w:val="body"/>
              <w:ind w:left="360"/>
              <w:jc w:val="right"/>
              <w:rPr>
                <w:rFonts w:asciiTheme="minorHAnsi" w:hAnsiTheme="minorHAnsi"/>
                <w:b/>
                <w:sz w:val="20"/>
                <w:szCs w:val="20"/>
                <w:lang w:val="en-IE" w:eastAsia="en-IE"/>
              </w:rPr>
            </w:pPr>
            <w:r>
              <w:rPr>
                <w:rFonts w:asciiTheme="minorHAnsi" w:hAnsiTheme="minorHAnsi"/>
                <w:b/>
                <w:sz w:val="20"/>
                <w:szCs w:val="20"/>
                <w:lang w:val="en-IE" w:eastAsia="en-IE"/>
              </w:rPr>
              <w:t>445.7</w:t>
            </w:r>
          </w:p>
        </w:tc>
        <w:tc>
          <w:tcPr>
            <w:tcW w:w="235" w:type="dxa"/>
          </w:tcPr>
          <w:p w14:paraId="20D303D4"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2B5D70D6" w14:textId="77777777" w:rsidTr="00794AFD">
        <w:trPr>
          <w:trHeight w:val="115"/>
        </w:trPr>
        <w:tc>
          <w:tcPr>
            <w:tcW w:w="6189" w:type="dxa"/>
            <w:gridSpan w:val="2"/>
          </w:tcPr>
          <w:p w14:paraId="63378133" w14:textId="77777777" w:rsidR="00794AFD" w:rsidRPr="00FC3D06" w:rsidRDefault="00794AFD" w:rsidP="00794AFD">
            <w:pPr>
              <w:pStyle w:val="body"/>
              <w:tabs>
                <w:tab w:val="left" w:pos="1635"/>
              </w:tabs>
              <w:spacing w:line="240" w:lineRule="auto"/>
              <w:ind w:left="-108"/>
              <w:rPr>
                <w:rFonts w:asciiTheme="minorHAnsi" w:hAnsiTheme="minorHAnsi"/>
                <w:sz w:val="20"/>
                <w:szCs w:val="20"/>
                <w:lang w:val="en-IE"/>
              </w:rPr>
            </w:pPr>
          </w:p>
        </w:tc>
        <w:tc>
          <w:tcPr>
            <w:tcW w:w="1565" w:type="dxa"/>
            <w:shd w:val="clear" w:color="auto" w:fill="auto"/>
          </w:tcPr>
          <w:p w14:paraId="63645D50" w14:textId="77777777" w:rsidR="00794AFD" w:rsidRPr="00C42352" w:rsidRDefault="00794AFD" w:rsidP="00794AFD">
            <w:pPr>
              <w:pStyle w:val="body"/>
              <w:ind w:left="360"/>
              <w:jc w:val="right"/>
              <w:rPr>
                <w:rFonts w:asciiTheme="minorHAnsi" w:hAnsiTheme="minorHAnsi"/>
                <w:b/>
                <w:sz w:val="20"/>
                <w:szCs w:val="20"/>
                <w:lang w:val="en-IE" w:eastAsia="en-IE"/>
              </w:rPr>
            </w:pPr>
          </w:p>
        </w:tc>
        <w:tc>
          <w:tcPr>
            <w:tcW w:w="235" w:type="dxa"/>
          </w:tcPr>
          <w:p w14:paraId="1C5CB376"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4ACDD871" w14:textId="77777777" w:rsidTr="00794AFD">
        <w:trPr>
          <w:trHeight w:val="204"/>
        </w:trPr>
        <w:tc>
          <w:tcPr>
            <w:tcW w:w="6189" w:type="dxa"/>
            <w:gridSpan w:val="2"/>
          </w:tcPr>
          <w:p w14:paraId="3ABE99B5" w14:textId="77777777" w:rsidR="00794AFD" w:rsidRPr="001C5950" w:rsidRDefault="00794AFD" w:rsidP="00794AFD">
            <w:pPr>
              <w:ind w:left="-108"/>
              <w:rPr>
                <w:rFonts w:asciiTheme="minorHAnsi" w:hAnsiTheme="minorHAnsi"/>
                <w:b/>
                <w:sz w:val="20"/>
                <w:szCs w:val="20"/>
                <w:lang w:val="en-IE"/>
              </w:rPr>
            </w:pPr>
            <w:r w:rsidRPr="001C5950">
              <w:rPr>
                <w:rFonts w:asciiTheme="minorHAnsi" w:hAnsiTheme="minorHAnsi"/>
                <w:b/>
                <w:sz w:val="20"/>
                <w:szCs w:val="20"/>
                <w:lang w:val="en-IE"/>
              </w:rPr>
              <w:t>Changes from financing cash flows</w:t>
            </w:r>
          </w:p>
        </w:tc>
        <w:tc>
          <w:tcPr>
            <w:tcW w:w="1565" w:type="dxa"/>
            <w:shd w:val="clear" w:color="auto" w:fill="auto"/>
          </w:tcPr>
          <w:p w14:paraId="3D1B9809" w14:textId="77777777" w:rsidR="00794AFD" w:rsidRPr="00C42352" w:rsidRDefault="00794AFD" w:rsidP="00794AFD">
            <w:pPr>
              <w:pStyle w:val="body"/>
              <w:ind w:left="360"/>
              <w:jc w:val="right"/>
              <w:rPr>
                <w:rFonts w:asciiTheme="minorHAnsi" w:hAnsiTheme="minorHAnsi"/>
                <w:b/>
                <w:sz w:val="20"/>
                <w:szCs w:val="20"/>
                <w:lang w:val="en-IE" w:eastAsia="en-IE"/>
              </w:rPr>
            </w:pPr>
          </w:p>
        </w:tc>
        <w:tc>
          <w:tcPr>
            <w:tcW w:w="235" w:type="dxa"/>
          </w:tcPr>
          <w:p w14:paraId="66A45E98"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508E088D" w14:textId="77777777" w:rsidTr="00794AFD">
        <w:trPr>
          <w:trHeight w:val="177"/>
        </w:trPr>
        <w:tc>
          <w:tcPr>
            <w:tcW w:w="6189" w:type="dxa"/>
            <w:gridSpan w:val="2"/>
          </w:tcPr>
          <w:p w14:paraId="55F53E1E"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sidRPr="001C5950">
              <w:rPr>
                <w:rFonts w:asciiTheme="minorHAnsi" w:hAnsiTheme="minorHAnsi"/>
                <w:sz w:val="20"/>
                <w:szCs w:val="20"/>
                <w:lang w:val="en-IE"/>
              </w:rPr>
              <w:t xml:space="preserve">Amounts drawn on </w:t>
            </w:r>
            <w:r>
              <w:rPr>
                <w:rFonts w:asciiTheme="minorHAnsi" w:hAnsiTheme="minorHAnsi"/>
                <w:sz w:val="20"/>
                <w:szCs w:val="20"/>
                <w:lang w:val="en-IE"/>
              </w:rPr>
              <w:t>Revolving Credit F</w:t>
            </w:r>
            <w:r w:rsidRPr="001C5950">
              <w:rPr>
                <w:rFonts w:asciiTheme="minorHAnsi" w:hAnsiTheme="minorHAnsi"/>
                <w:sz w:val="20"/>
                <w:szCs w:val="20"/>
                <w:lang w:val="en-IE"/>
              </w:rPr>
              <w:t>acility</w:t>
            </w:r>
          </w:p>
        </w:tc>
        <w:tc>
          <w:tcPr>
            <w:tcW w:w="1565" w:type="dxa"/>
            <w:shd w:val="clear" w:color="auto" w:fill="auto"/>
          </w:tcPr>
          <w:p w14:paraId="3C5CE149" w14:textId="77777777" w:rsidR="00794AFD" w:rsidRPr="00784F67" w:rsidRDefault="00794AFD" w:rsidP="00794AFD">
            <w:pPr>
              <w:pStyle w:val="body"/>
              <w:ind w:left="360"/>
              <w:jc w:val="right"/>
              <w:rPr>
                <w:rFonts w:asciiTheme="minorHAnsi" w:hAnsiTheme="minorHAnsi"/>
                <w:b/>
                <w:sz w:val="20"/>
                <w:szCs w:val="20"/>
                <w:lang w:val="en-IE" w:eastAsia="en-IE"/>
              </w:rPr>
            </w:pPr>
            <w:r w:rsidRPr="00784F67">
              <w:rPr>
                <w:rFonts w:asciiTheme="minorHAnsi" w:hAnsiTheme="minorHAnsi"/>
                <w:b/>
                <w:sz w:val="20"/>
                <w:szCs w:val="20"/>
                <w:lang w:val="en-IE" w:eastAsia="en-IE"/>
              </w:rPr>
              <w:t>393.8</w:t>
            </w:r>
          </w:p>
        </w:tc>
        <w:tc>
          <w:tcPr>
            <w:tcW w:w="235" w:type="dxa"/>
          </w:tcPr>
          <w:p w14:paraId="523B85EF"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32D3BDD3" w14:textId="77777777" w:rsidTr="00794AFD">
        <w:trPr>
          <w:trHeight w:val="204"/>
        </w:trPr>
        <w:tc>
          <w:tcPr>
            <w:tcW w:w="6189" w:type="dxa"/>
            <w:gridSpan w:val="2"/>
          </w:tcPr>
          <w:p w14:paraId="73EAE42F"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sidRPr="001C5950">
              <w:rPr>
                <w:rFonts w:asciiTheme="minorHAnsi" w:hAnsiTheme="minorHAnsi"/>
                <w:sz w:val="20"/>
                <w:szCs w:val="20"/>
                <w:lang w:val="en-IE"/>
              </w:rPr>
              <w:t xml:space="preserve">Amounts drawn on </w:t>
            </w:r>
            <w:r>
              <w:rPr>
                <w:rFonts w:asciiTheme="minorHAnsi" w:hAnsiTheme="minorHAnsi"/>
                <w:sz w:val="20"/>
                <w:szCs w:val="20"/>
                <w:lang w:val="en-IE"/>
              </w:rPr>
              <w:t>Term Loan F</w:t>
            </w:r>
            <w:r w:rsidRPr="001C5950">
              <w:rPr>
                <w:rFonts w:asciiTheme="minorHAnsi" w:hAnsiTheme="minorHAnsi"/>
                <w:sz w:val="20"/>
                <w:szCs w:val="20"/>
                <w:lang w:val="en-IE"/>
              </w:rPr>
              <w:t>acility</w:t>
            </w:r>
          </w:p>
        </w:tc>
        <w:tc>
          <w:tcPr>
            <w:tcW w:w="1565" w:type="dxa"/>
            <w:shd w:val="clear" w:color="auto" w:fill="auto"/>
          </w:tcPr>
          <w:p w14:paraId="1540CC8C" w14:textId="77777777" w:rsidR="00794AFD" w:rsidRPr="00784F67" w:rsidRDefault="00794AFD" w:rsidP="00794AFD">
            <w:pPr>
              <w:pStyle w:val="body"/>
              <w:ind w:left="360"/>
              <w:jc w:val="right"/>
              <w:rPr>
                <w:rFonts w:asciiTheme="minorHAnsi" w:hAnsiTheme="minorHAnsi"/>
                <w:b/>
                <w:sz w:val="20"/>
                <w:szCs w:val="20"/>
                <w:lang w:val="en-IE" w:eastAsia="en-IE"/>
              </w:rPr>
            </w:pPr>
            <w:r w:rsidRPr="00784F67">
              <w:rPr>
                <w:rFonts w:asciiTheme="minorHAnsi" w:hAnsiTheme="minorHAnsi"/>
                <w:b/>
                <w:sz w:val="20"/>
                <w:szCs w:val="20"/>
                <w:lang w:val="en-IE" w:eastAsia="en-IE"/>
              </w:rPr>
              <w:t>250.0</w:t>
            </w:r>
          </w:p>
        </w:tc>
        <w:tc>
          <w:tcPr>
            <w:tcW w:w="235" w:type="dxa"/>
          </w:tcPr>
          <w:p w14:paraId="71F3D8DE"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1E9830DC" w14:textId="77777777" w:rsidTr="00794AFD">
        <w:trPr>
          <w:trHeight w:val="204"/>
        </w:trPr>
        <w:tc>
          <w:tcPr>
            <w:tcW w:w="6189" w:type="dxa"/>
            <w:gridSpan w:val="2"/>
          </w:tcPr>
          <w:p w14:paraId="00262731"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sidRPr="001C5950">
              <w:rPr>
                <w:rFonts w:asciiTheme="minorHAnsi" w:hAnsiTheme="minorHAnsi"/>
                <w:sz w:val="20"/>
                <w:szCs w:val="20"/>
                <w:lang w:val="en-IE"/>
              </w:rPr>
              <w:t>Amounts repaid on borrowing facility</w:t>
            </w:r>
          </w:p>
        </w:tc>
        <w:tc>
          <w:tcPr>
            <w:tcW w:w="1565" w:type="dxa"/>
            <w:shd w:val="clear" w:color="auto" w:fill="auto"/>
          </w:tcPr>
          <w:p w14:paraId="52BA269E" w14:textId="77777777" w:rsidR="00794AFD" w:rsidRPr="00784F67" w:rsidRDefault="00794AFD" w:rsidP="00794AFD">
            <w:pPr>
              <w:pStyle w:val="body"/>
              <w:ind w:left="360"/>
              <w:jc w:val="right"/>
              <w:rPr>
                <w:rFonts w:asciiTheme="minorHAnsi" w:hAnsiTheme="minorHAnsi"/>
                <w:b/>
                <w:sz w:val="20"/>
                <w:szCs w:val="20"/>
                <w:lang w:val="en-IE" w:eastAsia="en-IE"/>
              </w:rPr>
            </w:pPr>
            <w:r w:rsidRPr="00784F67">
              <w:rPr>
                <w:rFonts w:asciiTheme="minorHAnsi" w:hAnsiTheme="minorHAnsi"/>
                <w:b/>
                <w:sz w:val="20"/>
                <w:szCs w:val="20"/>
                <w:lang w:val="en-IE" w:eastAsia="en-IE"/>
              </w:rPr>
              <w:t>(561.0)</w:t>
            </w:r>
          </w:p>
        </w:tc>
        <w:tc>
          <w:tcPr>
            <w:tcW w:w="235" w:type="dxa"/>
          </w:tcPr>
          <w:p w14:paraId="4A684E7F"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4FAFABD2" w14:textId="77777777" w:rsidTr="00794AFD">
        <w:trPr>
          <w:trHeight w:val="204"/>
        </w:trPr>
        <w:tc>
          <w:tcPr>
            <w:tcW w:w="6189" w:type="dxa"/>
            <w:gridSpan w:val="2"/>
          </w:tcPr>
          <w:p w14:paraId="4F972FC7"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sidRPr="001C5950">
              <w:rPr>
                <w:rFonts w:asciiTheme="minorHAnsi" w:hAnsiTheme="minorHAnsi"/>
                <w:sz w:val="20"/>
                <w:szCs w:val="20"/>
                <w:lang w:val="en-IE"/>
              </w:rPr>
              <w:t>Fees in respect of borrowing facility</w:t>
            </w:r>
          </w:p>
        </w:tc>
        <w:tc>
          <w:tcPr>
            <w:tcW w:w="1565" w:type="dxa"/>
            <w:shd w:val="clear" w:color="auto" w:fill="auto"/>
          </w:tcPr>
          <w:p w14:paraId="7610C68C" w14:textId="77777777" w:rsidR="00794AFD" w:rsidRPr="00784F67" w:rsidRDefault="00794AFD" w:rsidP="00794AFD">
            <w:pPr>
              <w:pStyle w:val="body"/>
              <w:ind w:left="360"/>
              <w:jc w:val="right"/>
              <w:rPr>
                <w:rFonts w:asciiTheme="minorHAnsi" w:hAnsiTheme="minorHAnsi"/>
                <w:b/>
                <w:sz w:val="20"/>
                <w:szCs w:val="20"/>
                <w:lang w:val="en-IE" w:eastAsia="en-IE"/>
              </w:rPr>
            </w:pPr>
            <w:r w:rsidRPr="00784F67">
              <w:rPr>
                <w:rFonts w:asciiTheme="minorHAnsi" w:hAnsiTheme="minorHAnsi"/>
                <w:b/>
                <w:sz w:val="20"/>
                <w:szCs w:val="20"/>
                <w:lang w:val="en-IE" w:eastAsia="en-IE"/>
              </w:rPr>
              <w:t>(0.8)</w:t>
            </w:r>
          </w:p>
        </w:tc>
        <w:tc>
          <w:tcPr>
            <w:tcW w:w="235" w:type="dxa"/>
          </w:tcPr>
          <w:p w14:paraId="7C9DE037"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565EC96E" w14:textId="77777777" w:rsidTr="00794AFD">
        <w:trPr>
          <w:trHeight w:val="204"/>
        </w:trPr>
        <w:tc>
          <w:tcPr>
            <w:tcW w:w="6189" w:type="dxa"/>
            <w:gridSpan w:val="2"/>
          </w:tcPr>
          <w:p w14:paraId="215F6B49"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Pr>
                <w:rFonts w:asciiTheme="minorHAnsi" w:hAnsiTheme="minorHAnsi"/>
                <w:sz w:val="20"/>
                <w:szCs w:val="20"/>
                <w:lang w:val="en-IE"/>
              </w:rPr>
              <w:t>Amounts drawn on overdraft facility</w:t>
            </w:r>
          </w:p>
        </w:tc>
        <w:tc>
          <w:tcPr>
            <w:tcW w:w="1565" w:type="dxa"/>
            <w:shd w:val="clear" w:color="auto" w:fill="auto"/>
          </w:tcPr>
          <w:p w14:paraId="64A39ABF" w14:textId="77777777" w:rsidR="00794AFD" w:rsidRPr="00784F67" w:rsidRDefault="00794AFD" w:rsidP="00794AFD">
            <w:pPr>
              <w:pStyle w:val="body"/>
              <w:ind w:left="360"/>
              <w:jc w:val="right"/>
              <w:rPr>
                <w:rFonts w:asciiTheme="minorHAnsi" w:hAnsiTheme="minorHAnsi"/>
                <w:b/>
                <w:sz w:val="20"/>
                <w:szCs w:val="20"/>
                <w:lang w:val="en-IE" w:eastAsia="en-IE"/>
              </w:rPr>
            </w:pPr>
            <w:r w:rsidRPr="00784F67">
              <w:rPr>
                <w:rFonts w:asciiTheme="minorHAnsi" w:hAnsiTheme="minorHAnsi"/>
                <w:b/>
                <w:sz w:val="20"/>
                <w:szCs w:val="20"/>
                <w:lang w:val="en-IE" w:eastAsia="en-IE"/>
              </w:rPr>
              <w:t>5.0</w:t>
            </w:r>
          </w:p>
        </w:tc>
        <w:tc>
          <w:tcPr>
            <w:tcW w:w="235" w:type="dxa"/>
          </w:tcPr>
          <w:p w14:paraId="7374794F"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0BFF9485" w14:textId="77777777" w:rsidTr="00794AFD">
        <w:trPr>
          <w:trHeight w:val="204"/>
        </w:trPr>
        <w:tc>
          <w:tcPr>
            <w:tcW w:w="6189" w:type="dxa"/>
            <w:gridSpan w:val="2"/>
          </w:tcPr>
          <w:p w14:paraId="0D625303"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Pr>
                <w:rFonts w:asciiTheme="minorHAnsi" w:hAnsiTheme="minorHAnsi"/>
                <w:sz w:val="20"/>
                <w:szCs w:val="20"/>
                <w:lang w:val="en-IE"/>
              </w:rPr>
              <w:t>Lease liabilities paid</w:t>
            </w:r>
          </w:p>
        </w:tc>
        <w:tc>
          <w:tcPr>
            <w:tcW w:w="1565" w:type="dxa"/>
            <w:shd w:val="clear" w:color="auto" w:fill="auto"/>
          </w:tcPr>
          <w:p w14:paraId="10174999" w14:textId="77777777" w:rsidR="00794AFD" w:rsidRPr="00784F67" w:rsidRDefault="00794AFD" w:rsidP="00794AFD">
            <w:pPr>
              <w:pStyle w:val="body"/>
              <w:ind w:left="360"/>
              <w:jc w:val="right"/>
              <w:rPr>
                <w:rFonts w:asciiTheme="minorHAnsi" w:hAnsiTheme="minorHAnsi"/>
                <w:b/>
                <w:sz w:val="20"/>
                <w:szCs w:val="20"/>
                <w:lang w:val="en-IE" w:eastAsia="en-IE"/>
              </w:rPr>
            </w:pPr>
            <w:r>
              <w:rPr>
                <w:rFonts w:asciiTheme="minorHAnsi" w:hAnsiTheme="minorHAnsi"/>
                <w:b/>
                <w:sz w:val="20"/>
                <w:szCs w:val="20"/>
                <w:lang w:val="en-IE" w:eastAsia="en-IE"/>
              </w:rPr>
              <w:t>(41.4)</w:t>
            </w:r>
          </w:p>
        </w:tc>
        <w:tc>
          <w:tcPr>
            <w:tcW w:w="235" w:type="dxa"/>
          </w:tcPr>
          <w:p w14:paraId="686F2C33"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0A28A339" w14:textId="77777777" w:rsidTr="00794AFD">
        <w:trPr>
          <w:trHeight w:val="204"/>
        </w:trPr>
        <w:tc>
          <w:tcPr>
            <w:tcW w:w="6189" w:type="dxa"/>
            <w:gridSpan w:val="2"/>
            <w:tcBorders>
              <w:bottom w:val="single" w:sz="4" w:space="0" w:color="auto"/>
            </w:tcBorders>
          </w:tcPr>
          <w:p w14:paraId="66F16CAF"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sidRPr="001C5950">
              <w:rPr>
                <w:rFonts w:asciiTheme="minorHAnsi" w:hAnsiTheme="minorHAnsi"/>
                <w:sz w:val="20"/>
                <w:szCs w:val="20"/>
                <w:lang w:val="en-IE"/>
              </w:rPr>
              <w:t>Interest paid</w:t>
            </w:r>
            <w:r w:rsidRPr="001C5950">
              <w:rPr>
                <w:rFonts w:asciiTheme="minorHAnsi" w:hAnsiTheme="minorHAnsi"/>
                <w:sz w:val="20"/>
                <w:szCs w:val="20"/>
                <w:lang w:val="en-IE"/>
              </w:rPr>
              <w:tab/>
            </w:r>
          </w:p>
        </w:tc>
        <w:tc>
          <w:tcPr>
            <w:tcW w:w="1565" w:type="dxa"/>
            <w:tcBorders>
              <w:bottom w:val="single" w:sz="4" w:space="0" w:color="auto"/>
            </w:tcBorders>
            <w:shd w:val="clear" w:color="auto" w:fill="auto"/>
          </w:tcPr>
          <w:p w14:paraId="56E36285" w14:textId="77777777" w:rsidR="00794AFD" w:rsidRPr="00784F67" w:rsidRDefault="00794AFD" w:rsidP="00794AFD">
            <w:pPr>
              <w:pStyle w:val="body"/>
              <w:ind w:left="360"/>
              <w:jc w:val="right"/>
              <w:rPr>
                <w:rFonts w:asciiTheme="minorHAnsi" w:hAnsiTheme="minorHAnsi"/>
                <w:b/>
                <w:sz w:val="20"/>
                <w:szCs w:val="20"/>
                <w:lang w:val="en-IE" w:eastAsia="en-IE"/>
              </w:rPr>
            </w:pPr>
            <w:r w:rsidRPr="00784F67">
              <w:rPr>
                <w:rFonts w:asciiTheme="minorHAnsi" w:hAnsiTheme="minorHAnsi"/>
                <w:b/>
                <w:sz w:val="20"/>
                <w:szCs w:val="20"/>
                <w:lang w:val="en-IE" w:eastAsia="en-IE"/>
              </w:rPr>
              <w:t>(7.1)</w:t>
            </w:r>
          </w:p>
        </w:tc>
        <w:tc>
          <w:tcPr>
            <w:tcW w:w="235" w:type="dxa"/>
          </w:tcPr>
          <w:p w14:paraId="6C476633"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2C4950FC" w14:textId="77777777" w:rsidTr="00794AFD">
        <w:trPr>
          <w:trHeight w:val="204"/>
        </w:trPr>
        <w:tc>
          <w:tcPr>
            <w:tcW w:w="6189" w:type="dxa"/>
            <w:gridSpan w:val="2"/>
            <w:tcBorders>
              <w:top w:val="single" w:sz="4" w:space="0" w:color="auto"/>
              <w:bottom w:val="single" w:sz="4" w:space="0" w:color="auto"/>
            </w:tcBorders>
          </w:tcPr>
          <w:p w14:paraId="540A7C60"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sidRPr="001C5950">
              <w:rPr>
                <w:rFonts w:asciiTheme="minorHAnsi" w:hAnsiTheme="minorHAnsi"/>
                <w:sz w:val="20"/>
                <w:szCs w:val="20"/>
                <w:lang w:val="en-IE"/>
              </w:rPr>
              <w:t>Total</w:t>
            </w:r>
          </w:p>
        </w:tc>
        <w:tc>
          <w:tcPr>
            <w:tcW w:w="1565" w:type="dxa"/>
            <w:tcBorders>
              <w:top w:val="single" w:sz="4" w:space="0" w:color="auto"/>
              <w:bottom w:val="single" w:sz="4" w:space="0" w:color="auto"/>
            </w:tcBorders>
            <w:shd w:val="clear" w:color="auto" w:fill="auto"/>
          </w:tcPr>
          <w:p w14:paraId="31525155" w14:textId="77777777" w:rsidR="00794AFD" w:rsidRPr="00784F67" w:rsidRDefault="00794AFD" w:rsidP="00794AFD">
            <w:pPr>
              <w:pStyle w:val="body"/>
              <w:ind w:left="360"/>
              <w:jc w:val="right"/>
              <w:rPr>
                <w:rFonts w:asciiTheme="minorHAnsi" w:hAnsiTheme="minorHAnsi"/>
                <w:b/>
                <w:sz w:val="20"/>
                <w:szCs w:val="20"/>
                <w:lang w:val="en-IE" w:eastAsia="en-IE"/>
              </w:rPr>
            </w:pPr>
            <w:r>
              <w:rPr>
                <w:rFonts w:asciiTheme="minorHAnsi" w:hAnsiTheme="minorHAnsi"/>
                <w:b/>
                <w:sz w:val="20"/>
                <w:szCs w:val="20"/>
                <w:lang w:val="en-IE" w:eastAsia="en-IE"/>
              </w:rPr>
              <w:t>38.5</w:t>
            </w:r>
          </w:p>
        </w:tc>
        <w:tc>
          <w:tcPr>
            <w:tcW w:w="235" w:type="dxa"/>
          </w:tcPr>
          <w:p w14:paraId="3E06F748"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3D5623E1" w14:textId="77777777" w:rsidTr="00794AFD">
        <w:trPr>
          <w:trHeight w:val="215"/>
        </w:trPr>
        <w:tc>
          <w:tcPr>
            <w:tcW w:w="6189" w:type="dxa"/>
            <w:gridSpan w:val="2"/>
            <w:tcBorders>
              <w:top w:val="single" w:sz="4" w:space="0" w:color="auto"/>
            </w:tcBorders>
          </w:tcPr>
          <w:p w14:paraId="13B4A67F" w14:textId="77777777" w:rsidR="00794AFD" w:rsidRPr="001C5950" w:rsidRDefault="00794AFD" w:rsidP="00794AFD">
            <w:pPr>
              <w:pStyle w:val="body"/>
              <w:tabs>
                <w:tab w:val="left" w:pos="1635"/>
              </w:tabs>
              <w:spacing w:line="240" w:lineRule="auto"/>
              <w:ind w:left="-108"/>
              <w:rPr>
                <w:rFonts w:asciiTheme="minorHAnsi" w:hAnsiTheme="minorHAnsi"/>
                <w:b/>
                <w:sz w:val="20"/>
                <w:szCs w:val="20"/>
                <w:lang w:val="en-IE"/>
              </w:rPr>
            </w:pPr>
          </w:p>
        </w:tc>
        <w:tc>
          <w:tcPr>
            <w:tcW w:w="1565" w:type="dxa"/>
            <w:tcBorders>
              <w:top w:val="single" w:sz="4" w:space="0" w:color="auto"/>
            </w:tcBorders>
            <w:shd w:val="clear" w:color="auto" w:fill="auto"/>
          </w:tcPr>
          <w:p w14:paraId="14640C8A" w14:textId="77777777" w:rsidR="00794AFD" w:rsidRPr="00784F67" w:rsidRDefault="00794AFD" w:rsidP="00794AFD">
            <w:pPr>
              <w:pStyle w:val="body"/>
              <w:ind w:left="360"/>
              <w:jc w:val="right"/>
              <w:rPr>
                <w:rFonts w:asciiTheme="minorHAnsi" w:hAnsiTheme="minorHAnsi"/>
                <w:b/>
                <w:sz w:val="20"/>
                <w:szCs w:val="20"/>
                <w:lang w:val="en-IE" w:eastAsia="en-IE"/>
              </w:rPr>
            </w:pPr>
          </w:p>
        </w:tc>
        <w:tc>
          <w:tcPr>
            <w:tcW w:w="235" w:type="dxa"/>
          </w:tcPr>
          <w:p w14:paraId="5D41B8A9"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4C21CE9A" w14:textId="77777777" w:rsidTr="00794AFD">
        <w:trPr>
          <w:trHeight w:val="204"/>
        </w:trPr>
        <w:tc>
          <w:tcPr>
            <w:tcW w:w="6189" w:type="dxa"/>
            <w:gridSpan w:val="2"/>
          </w:tcPr>
          <w:p w14:paraId="2CAB4B93" w14:textId="77777777" w:rsidR="00794AFD" w:rsidRPr="001C5950" w:rsidRDefault="00794AFD" w:rsidP="00794AFD">
            <w:pPr>
              <w:pStyle w:val="body"/>
              <w:tabs>
                <w:tab w:val="left" w:pos="1635"/>
              </w:tabs>
              <w:spacing w:line="240" w:lineRule="auto"/>
              <w:ind w:left="-108"/>
              <w:rPr>
                <w:rFonts w:asciiTheme="minorHAnsi" w:hAnsiTheme="minorHAnsi"/>
                <w:b/>
                <w:sz w:val="20"/>
                <w:szCs w:val="20"/>
                <w:lang w:val="en-IE"/>
              </w:rPr>
            </w:pPr>
            <w:r w:rsidRPr="001C5950">
              <w:rPr>
                <w:rFonts w:asciiTheme="minorHAnsi" w:hAnsiTheme="minorHAnsi"/>
                <w:b/>
                <w:sz w:val="20"/>
                <w:szCs w:val="20"/>
                <w:lang w:val="en-IE"/>
              </w:rPr>
              <w:t>Other changes</w:t>
            </w:r>
          </w:p>
        </w:tc>
        <w:tc>
          <w:tcPr>
            <w:tcW w:w="1565" w:type="dxa"/>
            <w:shd w:val="clear" w:color="auto" w:fill="auto"/>
          </w:tcPr>
          <w:p w14:paraId="427F2244" w14:textId="77777777" w:rsidR="00794AFD" w:rsidRPr="00784F67" w:rsidRDefault="00794AFD" w:rsidP="00794AFD">
            <w:pPr>
              <w:pStyle w:val="body"/>
              <w:ind w:left="360"/>
              <w:jc w:val="right"/>
              <w:rPr>
                <w:rFonts w:asciiTheme="minorHAnsi" w:hAnsiTheme="minorHAnsi"/>
                <w:b/>
                <w:sz w:val="20"/>
                <w:szCs w:val="20"/>
                <w:lang w:val="en-IE" w:eastAsia="en-IE"/>
              </w:rPr>
            </w:pPr>
          </w:p>
        </w:tc>
        <w:tc>
          <w:tcPr>
            <w:tcW w:w="235" w:type="dxa"/>
          </w:tcPr>
          <w:p w14:paraId="225258B5"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17D5D279" w14:textId="77777777" w:rsidTr="00794AFD">
        <w:trPr>
          <w:trHeight w:val="204"/>
        </w:trPr>
        <w:tc>
          <w:tcPr>
            <w:tcW w:w="6189" w:type="dxa"/>
            <w:gridSpan w:val="2"/>
          </w:tcPr>
          <w:p w14:paraId="47FFC249"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Pr>
                <w:rFonts w:asciiTheme="minorHAnsi" w:hAnsiTheme="minorHAnsi"/>
                <w:sz w:val="20"/>
                <w:szCs w:val="20"/>
                <w:lang w:val="en-IE"/>
              </w:rPr>
              <w:t>Lease liability change - Business Combinations</w:t>
            </w:r>
          </w:p>
        </w:tc>
        <w:tc>
          <w:tcPr>
            <w:tcW w:w="1565" w:type="dxa"/>
            <w:shd w:val="clear" w:color="auto" w:fill="auto"/>
          </w:tcPr>
          <w:p w14:paraId="39CD4A47" w14:textId="77777777" w:rsidR="00794AFD" w:rsidRPr="00784F67" w:rsidRDefault="00794AFD" w:rsidP="00794AFD">
            <w:pPr>
              <w:pStyle w:val="body"/>
              <w:ind w:left="360"/>
              <w:jc w:val="right"/>
              <w:rPr>
                <w:rFonts w:asciiTheme="minorHAnsi" w:hAnsiTheme="minorHAnsi"/>
                <w:b/>
                <w:sz w:val="20"/>
                <w:szCs w:val="20"/>
                <w:lang w:val="en-IE" w:eastAsia="en-IE"/>
              </w:rPr>
            </w:pPr>
            <w:r>
              <w:rPr>
                <w:rFonts w:asciiTheme="minorHAnsi" w:hAnsiTheme="minorHAnsi"/>
                <w:b/>
                <w:sz w:val="20"/>
                <w:szCs w:val="20"/>
                <w:lang w:val="en-IE" w:eastAsia="en-IE"/>
              </w:rPr>
              <w:t>0.9</w:t>
            </w:r>
          </w:p>
        </w:tc>
        <w:tc>
          <w:tcPr>
            <w:tcW w:w="235" w:type="dxa"/>
          </w:tcPr>
          <w:p w14:paraId="13A764E1"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679CCCE5" w14:textId="77777777" w:rsidTr="00794AFD">
        <w:trPr>
          <w:trHeight w:val="204"/>
        </w:trPr>
        <w:tc>
          <w:tcPr>
            <w:tcW w:w="6189" w:type="dxa"/>
            <w:gridSpan w:val="2"/>
          </w:tcPr>
          <w:p w14:paraId="00F8316B"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Pr>
                <w:rFonts w:asciiTheme="minorHAnsi" w:hAnsiTheme="minorHAnsi"/>
                <w:sz w:val="20"/>
                <w:szCs w:val="20"/>
                <w:lang w:val="en-IE"/>
              </w:rPr>
              <w:t>Lease liability change - remeasurement of lease term</w:t>
            </w:r>
          </w:p>
        </w:tc>
        <w:tc>
          <w:tcPr>
            <w:tcW w:w="1565" w:type="dxa"/>
            <w:shd w:val="clear" w:color="auto" w:fill="auto"/>
          </w:tcPr>
          <w:p w14:paraId="4C8C97F5" w14:textId="77777777" w:rsidR="00794AFD" w:rsidRPr="00784F67" w:rsidRDefault="00794AFD" w:rsidP="00794AFD">
            <w:pPr>
              <w:pStyle w:val="body"/>
              <w:ind w:left="360"/>
              <w:jc w:val="right"/>
              <w:rPr>
                <w:rFonts w:asciiTheme="minorHAnsi" w:hAnsiTheme="minorHAnsi"/>
                <w:b/>
                <w:sz w:val="20"/>
                <w:szCs w:val="20"/>
                <w:lang w:val="en-IE" w:eastAsia="en-IE"/>
              </w:rPr>
            </w:pPr>
            <w:r>
              <w:rPr>
                <w:rFonts w:asciiTheme="minorHAnsi" w:hAnsiTheme="minorHAnsi"/>
                <w:b/>
                <w:sz w:val="20"/>
                <w:szCs w:val="20"/>
                <w:lang w:val="en-IE" w:eastAsia="en-IE"/>
              </w:rPr>
              <w:t>19.0</w:t>
            </w:r>
          </w:p>
        </w:tc>
        <w:tc>
          <w:tcPr>
            <w:tcW w:w="235" w:type="dxa"/>
          </w:tcPr>
          <w:p w14:paraId="48AE73C9"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5350D783" w14:textId="77777777" w:rsidTr="00794AFD">
        <w:trPr>
          <w:trHeight w:val="204"/>
        </w:trPr>
        <w:tc>
          <w:tcPr>
            <w:tcW w:w="6189" w:type="dxa"/>
            <w:gridSpan w:val="2"/>
          </w:tcPr>
          <w:p w14:paraId="056D5618"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Pr>
                <w:rFonts w:asciiTheme="minorHAnsi" w:hAnsiTheme="minorHAnsi"/>
                <w:sz w:val="20"/>
                <w:szCs w:val="20"/>
                <w:lang w:val="en-IE"/>
              </w:rPr>
              <w:t>Lease liability change - Additions &amp; Disposals</w:t>
            </w:r>
          </w:p>
        </w:tc>
        <w:tc>
          <w:tcPr>
            <w:tcW w:w="1565" w:type="dxa"/>
            <w:shd w:val="clear" w:color="auto" w:fill="auto"/>
          </w:tcPr>
          <w:p w14:paraId="4E8C9595" w14:textId="77777777" w:rsidR="00794AFD" w:rsidRPr="00784F67" w:rsidRDefault="00794AFD" w:rsidP="00794AFD">
            <w:pPr>
              <w:pStyle w:val="body"/>
              <w:ind w:left="360"/>
              <w:jc w:val="right"/>
              <w:rPr>
                <w:rFonts w:asciiTheme="minorHAnsi" w:hAnsiTheme="minorHAnsi"/>
                <w:b/>
                <w:sz w:val="20"/>
                <w:szCs w:val="20"/>
                <w:lang w:val="en-IE" w:eastAsia="en-IE"/>
              </w:rPr>
            </w:pPr>
            <w:r>
              <w:rPr>
                <w:rFonts w:asciiTheme="minorHAnsi" w:hAnsiTheme="minorHAnsi"/>
                <w:b/>
                <w:sz w:val="20"/>
                <w:szCs w:val="20"/>
                <w:lang w:val="en-IE" w:eastAsia="en-IE"/>
              </w:rPr>
              <w:t>29.8</w:t>
            </w:r>
          </w:p>
        </w:tc>
        <w:tc>
          <w:tcPr>
            <w:tcW w:w="235" w:type="dxa"/>
          </w:tcPr>
          <w:p w14:paraId="02535E2F"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7E923B09" w14:textId="77777777" w:rsidTr="00794AFD">
        <w:trPr>
          <w:trHeight w:val="204"/>
        </w:trPr>
        <w:tc>
          <w:tcPr>
            <w:tcW w:w="6189" w:type="dxa"/>
            <w:gridSpan w:val="2"/>
          </w:tcPr>
          <w:p w14:paraId="5F689D66"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sidRPr="001C5950">
              <w:rPr>
                <w:rFonts w:asciiTheme="minorHAnsi" w:hAnsiTheme="minorHAnsi"/>
                <w:sz w:val="20"/>
                <w:szCs w:val="20"/>
                <w:lang w:val="en-IE"/>
              </w:rPr>
              <w:t>Interest on borrowings</w:t>
            </w:r>
          </w:p>
        </w:tc>
        <w:tc>
          <w:tcPr>
            <w:tcW w:w="1565" w:type="dxa"/>
            <w:shd w:val="clear" w:color="auto" w:fill="auto"/>
          </w:tcPr>
          <w:p w14:paraId="4B6B369C" w14:textId="77777777" w:rsidR="00794AFD" w:rsidRPr="00784F67" w:rsidRDefault="00794AFD" w:rsidP="00794AFD">
            <w:pPr>
              <w:pStyle w:val="body"/>
              <w:ind w:left="360"/>
              <w:jc w:val="right"/>
              <w:rPr>
                <w:rFonts w:asciiTheme="minorHAnsi" w:hAnsiTheme="minorHAnsi"/>
                <w:b/>
                <w:sz w:val="20"/>
                <w:szCs w:val="20"/>
                <w:lang w:val="en-IE" w:eastAsia="en-IE"/>
              </w:rPr>
            </w:pPr>
            <w:r w:rsidRPr="00784F67">
              <w:rPr>
                <w:rFonts w:asciiTheme="minorHAnsi" w:hAnsiTheme="minorHAnsi"/>
                <w:b/>
                <w:sz w:val="20"/>
                <w:szCs w:val="20"/>
                <w:lang w:val="en-IE" w:eastAsia="en-IE"/>
              </w:rPr>
              <w:t>7.2</w:t>
            </w:r>
          </w:p>
        </w:tc>
        <w:tc>
          <w:tcPr>
            <w:tcW w:w="235" w:type="dxa"/>
          </w:tcPr>
          <w:p w14:paraId="6B1ACF5E"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15CB21BD" w14:textId="77777777" w:rsidTr="00794AFD">
        <w:trPr>
          <w:trHeight w:val="204"/>
        </w:trPr>
        <w:tc>
          <w:tcPr>
            <w:tcW w:w="6189" w:type="dxa"/>
            <w:gridSpan w:val="2"/>
          </w:tcPr>
          <w:p w14:paraId="4AEFCC11"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Pr>
                <w:rFonts w:asciiTheme="minorHAnsi" w:hAnsiTheme="minorHAnsi"/>
                <w:sz w:val="20"/>
                <w:szCs w:val="20"/>
                <w:lang w:val="en-IE"/>
              </w:rPr>
              <w:t>Interest on leases</w:t>
            </w:r>
          </w:p>
        </w:tc>
        <w:tc>
          <w:tcPr>
            <w:tcW w:w="1565" w:type="dxa"/>
            <w:shd w:val="clear" w:color="auto" w:fill="auto"/>
          </w:tcPr>
          <w:p w14:paraId="6C74957E" w14:textId="77777777" w:rsidR="00794AFD" w:rsidRPr="00784F67" w:rsidRDefault="00794AFD" w:rsidP="00794AFD">
            <w:pPr>
              <w:pStyle w:val="body"/>
              <w:ind w:left="360"/>
              <w:jc w:val="right"/>
              <w:rPr>
                <w:rFonts w:asciiTheme="minorHAnsi" w:hAnsiTheme="minorHAnsi"/>
                <w:b/>
                <w:sz w:val="20"/>
                <w:szCs w:val="20"/>
                <w:lang w:val="en-IE" w:eastAsia="en-IE"/>
              </w:rPr>
            </w:pPr>
            <w:r>
              <w:rPr>
                <w:rFonts w:asciiTheme="minorHAnsi" w:hAnsiTheme="minorHAnsi"/>
                <w:b/>
                <w:sz w:val="20"/>
                <w:szCs w:val="20"/>
                <w:lang w:val="en-IE" w:eastAsia="en-IE"/>
              </w:rPr>
              <w:t>5.0</w:t>
            </w:r>
          </w:p>
        </w:tc>
        <w:tc>
          <w:tcPr>
            <w:tcW w:w="235" w:type="dxa"/>
          </w:tcPr>
          <w:p w14:paraId="4F980380"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373FD189" w14:textId="77777777" w:rsidTr="00794AFD">
        <w:trPr>
          <w:trHeight w:val="204"/>
        </w:trPr>
        <w:tc>
          <w:tcPr>
            <w:tcW w:w="6189" w:type="dxa"/>
            <w:gridSpan w:val="2"/>
          </w:tcPr>
          <w:p w14:paraId="2CDA1A24"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sidRPr="001C5950">
              <w:rPr>
                <w:rFonts w:asciiTheme="minorHAnsi" w:hAnsiTheme="minorHAnsi"/>
                <w:sz w:val="20"/>
                <w:szCs w:val="20"/>
                <w:lang w:val="en-IE"/>
              </w:rPr>
              <w:t>Unwinding of capitalised expenses relating to revolving credit facility</w:t>
            </w:r>
          </w:p>
        </w:tc>
        <w:tc>
          <w:tcPr>
            <w:tcW w:w="1565" w:type="dxa"/>
            <w:shd w:val="clear" w:color="auto" w:fill="auto"/>
          </w:tcPr>
          <w:p w14:paraId="46299FAF" w14:textId="77777777" w:rsidR="00794AFD" w:rsidRPr="00784F67" w:rsidRDefault="00794AFD" w:rsidP="00794AFD">
            <w:pPr>
              <w:pStyle w:val="body"/>
              <w:ind w:left="360"/>
              <w:jc w:val="right"/>
              <w:rPr>
                <w:rFonts w:asciiTheme="minorHAnsi" w:hAnsiTheme="minorHAnsi"/>
                <w:b/>
                <w:sz w:val="20"/>
                <w:szCs w:val="20"/>
                <w:lang w:val="en-IE" w:eastAsia="en-IE"/>
              </w:rPr>
            </w:pPr>
            <w:r w:rsidRPr="00784F67">
              <w:rPr>
                <w:rFonts w:asciiTheme="minorHAnsi" w:hAnsiTheme="minorHAnsi"/>
                <w:b/>
                <w:sz w:val="20"/>
                <w:szCs w:val="20"/>
                <w:lang w:val="en-IE" w:eastAsia="en-IE"/>
              </w:rPr>
              <w:t>0.7</w:t>
            </w:r>
          </w:p>
        </w:tc>
        <w:tc>
          <w:tcPr>
            <w:tcW w:w="235" w:type="dxa"/>
          </w:tcPr>
          <w:p w14:paraId="45DFD6CA"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7F169BAB" w14:textId="77777777" w:rsidTr="00794AFD">
        <w:trPr>
          <w:trHeight w:val="204"/>
        </w:trPr>
        <w:tc>
          <w:tcPr>
            <w:tcW w:w="6189" w:type="dxa"/>
            <w:gridSpan w:val="2"/>
            <w:tcBorders>
              <w:bottom w:val="single" w:sz="4" w:space="0" w:color="auto"/>
            </w:tcBorders>
          </w:tcPr>
          <w:p w14:paraId="2656398E"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sidRPr="001C5950">
              <w:rPr>
                <w:rFonts w:asciiTheme="minorHAnsi" w:hAnsiTheme="minorHAnsi"/>
                <w:sz w:val="20"/>
                <w:szCs w:val="20"/>
                <w:lang w:val="en-IE"/>
              </w:rPr>
              <w:t>Foreign exchange movements</w:t>
            </w:r>
          </w:p>
        </w:tc>
        <w:tc>
          <w:tcPr>
            <w:tcW w:w="1565" w:type="dxa"/>
            <w:tcBorders>
              <w:bottom w:val="single" w:sz="4" w:space="0" w:color="auto"/>
            </w:tcBorders>
            <w:shd w:val="clear" w:color="auto" w:fill="auto"/>
          </w:tcPr>
          <w:p w14:paraId="54EACCAF" w14:textId="77777777" w:rsidR="00794AFD" w:rsidRPr="00784F67" w:rsidRDefault="00794AFD" w:rsidP="00794AFD">
            <w:pPr>
              <w:pStyle w:val="body"/>
              <w:ind w:left="360"/>
              <w:jc w:val="right"/>
              <w:rPr>
                <w:rFonts w:asciiTheme="minorHAnsi" w:hAnsiTheme="minorHAnsi"/>
                <w:b/>
                <w:sz w:val="20"/>
                <w:szCs w:val="20"/>
                <w:lang w:val="en-IE" w:eastAsia="en-IE"/>
              </w:rPr>
            </w:pPr>
            <w:r>
              <w:rPr>
                <w:rFonts w:asciiTheme="minorHAnsi" w:hAnsiTheme="minorHAnsi"/>
                <w:b/>
                <w:sz w:val="20"/>
                <w:szCs w:val="20"/>
                <w:lang w:val="en-IE" w:eastAsia="en-IE"/>
              </w:rPr>
              <w:t>(5.6)</w:t>
            </w:r>
          </w:p>
        </w:tc>
        <w:tc>
          <w:tcPr>
            <w:tcW w:w="235" w:type="dxa"/>
          </w:tcPr>
          <w:p w14:paraId="4EBB3615" w14:textId="77777777" w:rsidR="00794AFD" w:rsidRPr="00FC3D06" w:rsidRDefault="00794AFD" w:rsidP="00794AFD">
            <w:pPr>
              <w:pStyle w:val="body"/>
              <w:rPr>
                <w:rFonts w:asciiTheme="minorHAnsi" w:hAnsiTheme="minorHAnsi"/>
                <w:sz w:val="20"/>
                <w:szCs w:val="20"/>
                <w:lang w:val="en-IE" w:eastAsia="en-IE"/>
              </w:rPr>
            </w:pPr>
          </w:p>
        </w:tc>
      </w:tr>
      <w:tr w:rsidR="00794AFD" w:rsidRPr="001C5950" w14:paraId="639EC897" w14:textId="77777777" w:rsidTr="00794AFD">
        <w:trPr>
          <w:trHeight w:val="204"/>
        </w:trPr>
        <w:tc>
          <w:tcPr>
            <w:tcW w:w="6189" w:type="dxa"/>
            <w:gridSpan w:val="2"/>
            <w:tcBorders>
              <w:top w:val="single" w:sz="4" w:space="0" w:color="auto"/>
              <w:bottom w:val="single" w:sz="4" w:space="0" w:color="auto"/>
            </w:tcBorders>
          </w:tcPr>
          <w:p w14:paraId="215ED95F"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sidRPr="001C5950">
              <w:rPr>
                <w:rFonts w:asciiTheme="minorHAnsi" w:hAnsiTheme="minorHAnsi"/>
                <w:sz w:val="20"/>
                <w:szCs w:val="20"/>
                <w:lang w:val="en-IE"/>
              </w:rPr>
              <w:t>Total other changes</w:t>
            </w:r>
          </w:p>
        </w:tc>
        <w:tc>
          <w:tcPr>
            <w:tcW w:w="1565" w:type="dxa"/>
            <w:tcBorders>
              <w:top w:val="single" w:sz="4" w:space="0" w:color="auto"/>
              <w:bottom w:val="single" w:sz="4" w:space="0" w:color="auto"/>
            </w:tcBorders>
            <w:shd w:val="clear" w:color="auto" w:fill="auto"/>
          </w:tcPr>
          <w:p w14:paraId="4EC5DADE" w14:textId="77777777" w:rsidR="00794AFD" w:rsidRPr="00784F67" w:rsidRDefault="00794AFD" w:rsidP="00794AFD">
            <w:pPr>
              <w:pStyle w:val="body"/>
              <w:ind w:left="360"/>
              <w:jc w:val="right"/>
              <w:rPr>
                <w:rFonts w:asciiTheme="minorHAnsi" w:hAnsiTheme="minorHAnsi"/>
                <w:b/>
                <w:sz w:val="20"/>
                <w:szCs w:val="20"/>
                <w:lang w:val="en-IE" w:eastAsia="en-IE"/>
              </w:rPr>
            </w:pPr>
            <w:r>
              <w:rPr>
                <w:rFonts w:asciiTheme="minorHAnsi" w:hAnsiTheme="minorHAnsi"/>
                <w:b/>
                <w:sz w:val="20"/>
                <w:szCs w:val="20"/>
                <w:lang w:val="en-IE" w:eastAsia="en-IE"/>
              </w:rPr>
              <w:t>57.0</w:t>
            </w:r>
          </w:p>
        </w:tc>
        <w:tc>
          <w:tcPr>
            <w:tcW w:w="235" w:type="dxa"/>
          </w:tcPr>
          <w:p w14:paraId="176A49D2"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644D020D" w14:textId="77777777" w:rsidTr="00794AFD">
        <w:trPr>
          <w:trHeight w:val="204"/>
        </w:trPr>
        <w:tc>
          <w:tcPr>
            <w:tcW w:w="6189" w:type="dxa"/>
            <w:gridSpan w:val="2"/>
            <w:tcBorders>
              <w:top w:val="single" w:sz="4" w:space="0" w:color="auto"/>
              <w:bottom w:val="single" w:sz="4" w:space="0" w:color="auto"/>
            </w:tcBorders>
          </w:tcPr>
          <w:p w14:paraId="5D8237BF" w14:textId="77777777" w:rsidR="00794AFD" w:rsidRPr="00FC3D06" w:rsidRDefault="00794AFD" w:rsidP="00794AFD">
            <w:pPr>
              <w:pStyle w:val="body"/>
              <w:tabs>
                <w:tab w:val="left" w:pos="1635"/>
              </w:tabs>
              <w:spacing w:line="240" w:lineRule="auto"/>
              <w:ind w:left="-108"/>
              <w:rPr>
                <w:rFonts w:asciiTheme="minorHAnsi" w:hAnsiTheme="minorHAnsi"/>
                <w:sz w:val="20"/>
                <w:szCs w:val="20"/>
                <w:lang w:val="en-IE"/>
              </w:rPr>
            </w:pPr>
          </w:p>
        </w:tc>
        <w:tc>
          <w:tcPr>
            <w:tcW w:w="1565" w:type="dxa"/>
            <w:tcBorders>
              <w:top w:val="single" w:sz="4" w:space="0" w:color="auto"/>
              <w:bottom w:val="single" w:sz="4" w:space="0" w:color="auto"/>
            </w:tcBorders>
            <w:shd w:val="clear" w:color="auto" w:fill="auto"/>
          </w:tcPr>
          <w:p w14:paraId="67A193FE" w14:textId="77777777" w:rsidR="00794AFD" w:rsidRPr="00784F67" w:rsidRDefault="00794AFD" w:rsidP="00794AFD">
            <w:pPr>
              <w:pStyle w:val="body"/>
              <w:ind w:left="360"/>
              <w:jc w:val="right"/>
              <w:rPr>
                <w:rFonts w:asciiTheme="minorHAnsi" w:hAnsiTheme="minorHAnsi"/>
                <w:b/>
                <w:sz w:val="20"/>
                <w:szCs w:val="20"/>
                <w:lang w:val="en-IE" w:eastAsia="en-IE"/>
              </w:rPr>
            </w:pPr>
          </w:p>
        </w:tc>
        <w:tc>
          <w:tcPr>
            <w:tcW w:w="235" w:type="dxa"/>
          </w:tcPr>
          <w:p w14:paraId="3CB76FE9" w14:textId="77777777" w:rsidR="00794AFD" w:rsidRPr="00FC3D06" w:rsidRDefault="00794AFD" w:rsidP="00794AFD">
            <w:pPr>
              <w:pStyle w:val="body"/>
              <w:ind w:left="787"/>
              <w:jc w:val="right"/>
              <w:rPr>
                <w:rFonts w:asciiTheme="minorHAnsi" w:hAnsiTheme="minorHAnsi"/>
                <w:sz w:val="20"/>
                <w:szCs w:val="20"/>
                <w:lang w:val="en-IE" w:eastAsia="en-IE"/>
              </w:rPr>
            </w:pPr>
          </w:p>
        </w:tc>
      </w:tr>
      <w:tr w:rsidR="00794AFD" w:rsidRPr="001C5950" w14:paraId="6D89A345" w14:textId="77777777" w:rsidTr="00794AFD">
        <w:trPr>
          <w:trHeight w:val="204"/>
        </w:trPr>
        <w:tc>
          <w:tcPr>
            <w:tcW w:w="6189" w:type="dxa"/>
            <w:gridSpan w:val="2"/>
            <w:tcBorders>
              <w:top w:val="single" w:sz="4" w:space="0" w:color="auto"/>
              <w:bottom w:val="single" w:sz="4" w:space="0" w:color="auto"/>
            </w:tcBorders>
          </w:tcPr>
          <w:p w14:paraId="7954A6B4" w14:textId="77777777" w:rsidR="00794AFD" w:rsidRPr="001C5950" w:rsidRDefault="00794AFD" w:rsidP="00794AFD">
            <w:pPr>
              <w:pStyle w:val="body"/>
              <w:tabs>
                <w:tab w:val="left" w:pos="1635"/>
              </w:tabs>
              <w:spacing w:line="240" w:lineRule="auto"/>
              <w:ind w:left="-108"/>
              <w:rPr>
                <w:rFonts w:asciiTheme="minorHAnsi" w:hAnsiTheme="minorHAnsi"/>
                <w:sz w:val="20"/>
                <w:szCs w:val="20"/>
                <w:lang w:val="en-IE"/>
              </w:rPr>
            </w:pPr>
            <w:r w:rsidRPr="001C5950">
              <w:rPr>
                <w:rFonts w:asciiTheme="minorHAnsi" w:hAnsiTheme="minorHAnsi"/>
                <w:sz w:val="20"/>
                <w:szCs w:val="20"/>
                <w:lang w:val="en-IE"/>
              </w:rPr>
              <w:t xml:space="preserve">Balance at 31 December </w:t>
            </w:r>
            <w:r>
              <w:rPr>
                <w:rFonts w:asciiTheme="minorHAnsi" w:hAnsiTheme="minorHAnsi"/>
                <w:sz w:val="20"/>
                <w:szCs w:val="20"/>
                <w:lang w:val="en-IE"/>
              </w:rPr>
              <w:t>2019</w:t>
            </w:r>
          </w:p>
        </w:tc>
        <w:tc>
          <w:tcPr>
            <w:tcW w:w="1565" w:type="dxa"/>
            <w:tcBorders>
              <w:top w:val="single" w:sz="4" w:space="0" w:color="auto"/>
              <w:bottom w:val="single" w:sz="4" w:space="0" w:color="auto"/>
            </w:tcBorders>
            <w:shd w:val="clear" w:color="auto" w:fill="auto"/>
          </w:tcPr>
          <w:p w14:paraId="3F8C3C81" w14:textId="77777777" w:rsidR="00794AFD" w:rsidRPr="00784F67" w:rsidRDefault="00794AFD" w:rsidP="00794AFD">
            <w:pPr>
              <w:pStyle w:val="body"/>
              <w:ind w:left="360"/>
              <w:jc w:val="right"/>
              <w:rPr>
                <w:rFonts w:asciiTheme="minorHAnsi" w:hAnsiTheme="minorHAnsi"/>
                <w:b/>
                <w:sz w:val="20"/>
                <w:szCs w:val="20"/>
                <w:lang w:val="en-IE" w:eastAsia="en-IE"/>
              </w:rPr>
            </w:pPr>
            <w:r>
              <w:rPr>
                <w:rFonts w:asciiTheme="minorHAnsi" w:hAnsiTheme="minorHAnsi"/>
                <w:b/>
                <w:sz w:val="20"/>
                <w:szCs w:val="20"/>
                <w:lang w:val="en-IE" w:eastAsia="en-IE"/>
              </w:rPr>
              <w:t>541.2</w:t>
            </w:r>
          </w:p>
        </w:tc>
        <w:tc>
          <w:tcPr>
            <w:tcW w:w="235" w:type="dxa"/>
          </w:tcPr>
          <w:p w14:paraId="01F9F71C" w14:textId="77777777" w:rsidR="00794AFD" w:rsidRPr="00FC3D06" w:rsidRDefault="00794AFD" w:rsidP="00794AFD">
            <w:pPr>
              <w:pStyle w:val="body"/>
              <w:ind w:left="787"/>
              <w:jc w:val="right"/>
              <w:rPr>
                <w:rFonts w:asciiTheme="minorHAnsi" w:hAnsiTheme="minorHAnsi"/>
                <w:sz w:val="20"/>
                <w:szCs w:val="20"/>
                <w:lang w:val="en-IE" w:eastAsia="en-IE"/>
              </w:rPr>
            </w:pPr>
          </w:p>
        </w:tc>
      </w:tr>
    </w:tbl>
    <w:p w14:paraId="54496D74" w14:textId="77777777" w:rsidR="00794AFD" w:rsidRPr="00FC3D06" w:rsidRDefault="00794AFD" w:rsidP="00794AFD">
      <w:pPr>
        <w:widowControl/>
        <w:autoSpaceDE/>
        <w:autoSpaceDN/>
        <w:adjustRightInd/>
        <w:rPr>
          <w:rFonts w:asciiTheme="minorHAnsi" w:hAnsiTheme="minorHAnsi" w:cs="Times New Roman"/>
          <w:b/>
          <w:bCs/>
          <w:sz w:val="20"/>
          <w:szCs w:val="20"/>
        </w:rPr>
      </w:pPr>
      <w:r w:rsidRPr="00FC3D06">
        <w:rPr>
          <w:rFonts w:asciiTheme="minorHAnsi" w:hAnsiTheme="minorHAnsi" w:cs="Times New Roman"/>
          <w:b/>
          <w:bCs/>
          <w:sz w:val="20"/>
          <w:szCs w:val="20"/>
        </w:rPr>
        <w:br w:type="page"/>
      </w:r>
    </w:p>
    <w:p w14:paraId="1FF8CE63" w14:textId="77777777" w:rsidR="00794AFD" w:rsidRPr="001C5950" w:rsidRDefault="00794AFD" w:rsidP="00794AFD">
      <w:pPr>
        <w:rPr>
          <w:rFonts w:asciiTheme="minorHAnsi" w:hAnsiTheme="minorHAnsi" w:cs="Times New Roman"/>
          <w:b/>
          <w:bCs/>
          <w:sz w:val="20"/>
          <w:szCs w:val="20"/>
        </w:rPr>
      </w:pPr>
      <w:r>
        <w:rPr>
          <w:rFonts w:asciiTheme="minorHAnsi" w:hAnsiTheme="minorHAnsi" w:cs="Times New Roman"/>
          <w:b/>
          <w:bCs/>
          <w:sz w:val="20"/>
          <w:szCs w:val="20"/>
        </w:rPr>
        <w:lastRenderedPageBreak/>
        <w:t>15</w:t>
      </w:r>
      <w:r w:rsidRPr="001C5950">
        <w:rPr>
          <w:rFonts w:asciiTheme="minorHAnsi" w:hAnsiTheme="minorHAnsi" w:cs="Times New Roman"/>
          <w:b/>
          <w:bCs/>
          <w:sz w:val="20"/>
          <w:szCs w:val="20"/>
        </w:rPr>
        <w:t xml:space="preserve">.  </w:t>
      </w:r>
      <w:bookmarkStart w:id="49" w:name="OLE_LINK44"/>
      <w:bookmarkStart w:id="50" w:name="OLE_LINK45"/>
      <w:r w:rsidRPr="001C5950">
        <w:rPr>
          <w:rFonts w:asciiTheme="minorHAnsi" w:hAnsiTheme="minorHAnsi" w:cs="Times New Roman"/>
          <w:b/>
          <w:bCs/>
          <w:sz w:val="20"/>
          <w:szCs w:val="20"/>
        </w:rPr>
        <w:t>Commitments and contingencies</w:t>
      </w:r>
    </w:p>
    <w:bookmarkEnd w:id="49"/>
    <w:bookmarkEnd w:id="50"/>
    <w:p w14:paraId="27127E3D" w14:textId="77777777" w:rsidR="00794AFD" w:rsidRPr="001C5950" w:rsidRDefault="00794AFD" w:rsidP="00794AFD">
      <w:pPr>
        <w:rPr>
          <w:rFonts w:asciiTheme="minorHAnsi" w:hAnsiTheme="minorHAnsi" w:cs="Times New Roman"/>
          <w:i/>
          <w:iCs/>
          <w:sz w:val="20"/>
          <w:szCs w:val="20"/>
        </w:rPr>
      </w:pPr>
    </w:p>
    <w:p w14:paraId="0B81AE93" w14:textId="77777777" w:rsidR="00794AFD" w:rsidRPr="001C5950" w:rsidRDefault="00794AFD" w:rsidP="00794AFD">
      <w:pPr>
        <w:rPr>
          <w:rFonts w:asciiTheme="minorHAnsi" w:hAnsiTheme="minorHAnsi" w:cs="Times New Roman"/>
          <w:i/>
          <w:iCs/>
          <w:sz w:val="20"/>
          <w:szCs w:val="20"/>
        </w:rPr>
      </w:pPr>
      <w:r w:rsidRPr="001C5950">
        <w:rPr>
          <w:rFonts w:asciiTheme="minorHAnsi" w:hAnsiTheme="minorHAnsi" w:cs="Times New Roman"/>
          <w:i/>
          <w:iCs/>
          <w:sz w:val="20"/>
          <w:szCs w:val="20"/>
        </w:rPr>
        <w:t>(a) Guarantees</w:t>
      </w:r>
    </w:p>
    <w:p w14:paraId="0912EAAA" w14:textId="77777777" w:rsidR="00794AFD" w:rsidRDefault="00794AFD" w:rsidP="00794AFD">
      <w:pPr>
        <w:rPr>
          <w:rFonts w:asciiTheme="minorHAnsi" w:hAnsiTheme="minorHAnsi"/>
          <w:sz w:val="20"/>
          <w:szCs w:val="20"/>
        </w:rPr>
      </w:pPr>
    </w:p>
    <w:p w14:paraId="35C12425" w14:textId="77777777" w:rsidR="00794AFD" w:rsidRPr="001C5950" w:rsidRDefault="00794AFD" w:rsidP="00794AFD">
      <w:pPr>
        <w:rPr>
          <w:rFonts w:asciiTheme="minorHAnsi" w:hAnsiTheme="minorHAnsi"/>
          <w:sz w:val="20"/>
          <w:szCs w:val="20"/>
          <w:lang w:val="en-IE"/>
        </w:rPr>
      </w:pPr>
      <w:r w:rsidRPr="001C5950">
        <w:rPr>
          <w:rFonts w:asciiTheme="minorHAnsi" w:hAnsiTheme="minorHAnsi" w:cs="Times New Roman"/>
          <w:sz w:val="20"/>
          <w:szCs w:val="20"/>
          <w:lang w:val="en-IE"/>
        </w:rPr>
        <w:t>The Company enters into financial guarantee contracts to guarantee the indebtedness of other companies within the Group.  The Company considers these to be insurance</w:t>
      </w:r>
      <w:r w:rsidRPr="001C5950">
        <w:rPr>
          <w:rFonts w:asciiTheme="minorHAnsi" w:hAnsiTheme="minorHAnsi" w:cs="Times New Roman"/>
          <w:sz w:val="20"/>
          <w:szCs w:val="20"/>
        </w:rPr>
        <w:t xml:space="preserve"> </w:t>
      </w:r>
      <w:r w:rsidRPr="001C5950">
        <w:rPr>
          <w:rFonts w:asciiTheme="minorHAnsi" w:hAnsiTheme="minorHAnsi" w:cs="Times New Roman"/>
          <w:sz w:val="20"/>
          <w:szCs w:val="20"/>
          <w:lang w:val="en-IE"/>
        </w:rPr>
        <w:t>arrangements and accounts for them as such.  The Company treats the guarantee contract as a contingent liability</w:t>
      </w:r>
      <w:r w:rsidRPr="001C5950">
        <w:rPr>
          <w:rFonts w:asciiTheme="minorHAnsi" w:hAnsiTheme="minorHAnsi" w:cs="Times New Roman"/>
          <w:sz w:val="20"/>
          <w:szCs w:val="20"/>
        </w:rPr>
        <w:t xml:space="preserve"> </w:t>
      </w:r>
      <w:r w:rsidRPr="001C5950">
        <w:rPr>
          <w:rFonts w:asciiTheme="minorHAnsi" w:hAnsiTheme="minorHAnsi" w:cs="Times New Roman"/>
          <w:sz w:val="20"/>
          <w:szCs w:val="20"/>
          <w:lang w:val="en-IE"/>
        </w:rPr>
        <w:t xml:space="preserve">until such time as it becomes probable that the Company will be required to make a payment under the guarantee. </w:t>
      </w:r>
    </w:p>
    <w:p w14:paraId="4D94759C" w14:textId="77777777" w:rsidR="00794AFD" w:rsidRDefault="00794AFD" w:rsidP="00794AFD">
      <w:pPr>
        <w:rPr>
          <w:rFonts w:asciiTheme="minorHAnsi" w:hAnsiTheme="minorHAnsi"/>
          <w:sz w:val="20"/>
          <w:szCs w:val="20"/>
        </w:rPr>
      </w:pPr>
    </w:p>
    <w:p w14:paraId="5370B72A" w14:textId="77777777" w:rsidR="00794AFD" w:rsidRPr="001C5950" w:rsidRDefault="00794AFD" w:rsidP="00794AFD">
      <w:pPr>
        <w:rPr>
          <w:rFonts w:asciiTheme="minorHAnsi" w:hAnsiTheme="minorHAnsi" w:cs="Times New Roman"/>
          <w:sz w:val="20"/>
          <w:szCs w:val="20"/>
          <w:lang w:val="en-IE"/>
        </w:rPr>
      </w:pPr>
      <w:r w:rsidRPr="00A139B8">
        <w:rPr>
          <w:rFonts w:asciiTheme="minorHAnsi" w:hAnsiTheme="minorHAnsi"/>
          <w:sz w:val="20"/>
          <w:szCs w:val="20"/>
        </w:rPr>
        <w:t xml:space="preserve">The Group has uncommitted working capital overdraft facilities of </w:t>
      </w:r>
      <w:r w:rsidRPr="00070ED0">
        <w:rPr>
          <w:rFonts w:asciiTheme="minorHAnsi" w:hAnsiTheme="minorHAnsi"/>
          <w:sz w:val="20"/>
          <w:szCs w:val="20"/>
        </w:rPr>
        <w:t>£19.</w:t>
      </w:r>
      <w:r>
        <w:rPr>
          <w:rFonts w:asciiTheme="minorHAnsi" w:hAnsiTheme="minorHAnsi"/>
          <w:sz w:val="20"/>
          <w:szCs w:val="20"/>
        </w:rPr>
        <w:t>3</w:t>
      </w:r>
      <w:r w:rsidRPr="00070ED0">
        <w:rPr>
          <w:rFonts w:asciiTheme="minorHAnsi" w:hAnsiTheme="minorHAnsi"/>
          <w:sz w:val="20"/>
          <w:szCs w:val="20"/>
        </w:rPr>
        <w:t>m</w:t>
      </w:r>
      <w:r w:rsidRPr="00A139B8">
        <w:rPr>
          <w:rFonts w:asciiTheme="minorHAnsi" w:hAnsiTheme="minorHAnsi"/>
          <w:sz w:val="20"/>
          <w:szCs w:val="20"/>
        </w:rPr>
        <w:t xml:space="preserve"> (2018</w:t>
      </w:r>
      <w:r w:rsidRPr="001C5950">
        <w:rPr>
          <w:rFonts w:asciiTheme="minorHAnsi" w:hAnsiTheme="minorHAnsi"/>
          <w:sz w:val="20"/>
          <w:szCs w:val="20"/>
        </w:rPr>
        <w:t>: £10.5m) with Allied Irish Banks p.l.c.</w:t>
      </w:r>
      <w:r>
        <w:rPr>
          <w:rFonts w:asciiTheme="minorHAnsi" w:hAnsiTheme="minorHAnsi"/>
          <w:sz w:val="20"/>
          <w:szCs w:val="20"/>
        </w:rPr>
        <w:t>.</w:t>
      </w:r>
      <w:r w:rsidRPr="001C5950">
        <w:rPr>
          <w:rFonts w:asciiTheme="minorHAnsi" w:hAnsiTheme="minorHAnsi"/>
          <w:sz w:val="20"/>
          <w:szCs w:val="20"/>
        </w:rPr>
        <w:t xml:space="preserve">  These facilities are secured by a Letter of Guarantee from </w:t>
      </w:r>
      <w:r>
        <w:rPr>
          <w:rFonts w:asciiTheme="minorHAnsi" w:hAnsiTheme="minorHAnsi"/>
          <w:sz w:val="20"/>
          <w:szCs w:val="20"/>
        </w:rPr>
        <w:t xml:space="preserve">Flutter Entertainment </w:t>
      </w:r>
      <w:r w:rsidRPr="001C5950">
        <w:rPr>
          <w:rFonts w:asciiTheme="minorHAnsi" w:hAnsiTheme="minorHAnsi"/>
          <w:sz w:val="20"/>
          <w:szCs w:val="20"/>
        </w:rPr>
        <w:t>plc.</w:t>
      </w:r>
    </w:p>
    <w:p w14:paraId="262FA9C4" w14:textId="77777777" w:rsidR="00794AFD" w:rsidRPr="00FC3D06" w:rsidRDefault="00794AFD" w:rsidP="00794AFD">
      <w:pPr>
        <w:rPr>
          <w:rFonts w:asciiTheme="minorHAnsi" w:hAnsiTheme="minorHAnsi"/>
          <w:sz w:val="20"/>
          <w:szCs w:val="20"/>
        </w:rPr>
      </w:pPr>
    </w:p>
    <w:p w14:paraId="0D908013" w14:textId="77777777" w:rsidR="00794AFD" w:rsidRPr="00FC3D06" w:rsidRDefault="00794AFD" w:rsidP="00794AFD">
      <w:pPr>
        <w:rPr>
          <w:rFonts w:asciiTheme="minorHAnsi" w:hAnsiTheme="minorHAnsi" w:cs="Times New Roman"/>
          <w:sz w:val="20"/>
          <w:szCs w:val="20"/>
          <w:lang w:val="en-IE"/>
        </w:rPr>
      </w:pPr>
      <w:r w:rsidRPr="001C5950">
        <w:rPr>
          <w:rFonts w:asciiTheme="minorHAnsi" w:hAnsiTheme="minorHAnsi"/>
          <w:sz w:val="20"/>
          <w:szCs w:val="20"/>
        </w:rPr>
        <w:t xml:space="preserve">The Group has bank guarantees: (1) in favour of certain gaming regulatory authorities to guarantee the payment of player funds, player prizes, and certain taxes and fees due by a number of Group companies; and (2) in respect of certain third party rental and other property commitments, merchant facilities and third party letter of credit facilities.  The maximum amount of the guarantees at 31 December </w:t>
      </w:r>
      <w:r w:rsidRPr="00E8692B">
        <w:rPr>
          <w:rFonts w:asciiTheme="minorHAnsi" w:hAnsiTheme="minorHAnsi"/>
          <w:sz w:val="20"/>
          <w:szCs w:val="20"/>
        </w:rPr>
        <w:t>2019</w:t>
      </w:r>
      <w:r w:rsidRPr="00021A11">
        <w:rPr>
          <w:rFonts w:asciiTheme="minorHAnsi" w:hAnsiTheme="minorHAnsi"/>
          <w:sz w:val="20"/>
          <w:szCs w:val="20"/>
        </w:rPr>
        <w:t xml:space="preserve"> was </w:t>
      </w:r>
      <w:r w:rsidRPr="000944E4">
        <w:rPr>
          <w:rFonts w:asciiTheme="minorHAnsi" w:hAnsiTheme="minorHAnsi"/>
          <w:sz w:val="20"/>
          <w:szCs w:val="20"/>
        </w:rPr>
        <w:t>£12.5m</w:t>
      </w:r>
      <w:r w:rsidRPr="00E8692B">
        <w:rPr>
          <w:rFonts w:asciiTheme="minorHAnsi" w:hAnsiTheme="minorHAnsi"/>
          <w:sz w:val="20"/>
          <w:szCs w:val="20"/>
        </w:rPr>
        <w:t xml:space="preserve"> (</w:t>
      </w:r>
      <w:r w:rsidRPr="00021A11">
        <w:rPr>
          <w:rFonts w:asciiTheme="minorHAnsi" w:hAnsiTheme="minorHAnsi"/>
          <w:sz w:val="20"/>
          <w:szCs w:val="20"/>
        </w:rPr>
        <w:t>2018: £15</w:t>
      </w:r>
      <w:r w:rsidRPr="00E8692B">
        <w:rPr>
          <w:rFonts w:asciiTheme="minorHAnsi" w:hAnsiTheme="minorHAnsi"/>
          <w:sz w:val="20"/>
          <w:szCs w:val="20"/>
        </w:rPr>
        <w:t xml:space="preserve">.7m).  No claims had been made against the guarantees as of 31 December 2019 (2018: £Nil).  The guarantees are secured by counter indemnities from Flutter Entertainment plc and certain of its subsidiary companies. The value of cash deposits over which the guaranteeing banks hold security was </w:t>
      </w:r>
      <w:r w:rsidRPr="000944E4">
        <w:rPr>
          <w:rFonts w:asciiTheme="minorHAnsi" w:hAnsiTheme="minorHAnsi"/>
          <w:sz w:val="20"/>
          <w:szCs w:val="20"/>
        </w:rPr>
        <w:t>£2.6m</w:t>
      </w:r>
      <w:r w:rsidRPr="00E8692B">
        <w:rPr>
          <w:rFonts w:asciiTheme="minorHAnsi" w:hAnsiTheme="minorHAnsi"/>
          <w:sz w:val="20"/>
          <w:szCs w:val="20"/>
        </w:rPr>
        <w:t xml:space="preserve"> at 31 December </w:t>
      </w:r>
      <w:r w:rsidRPr="00021A11">
        <w:rPr>
          <w:rFonts w:asciiTheme="minorHAnsi" w:hAnsiTheme="minorHAnsi"/>
          <w:sz w:val="20"/>
          <w:szCs w:val="20"/>
        </w:rPr>
        <w:t>2019 (2018</w:t>
      </w:r>
      <w:r w:rsidRPr="00E8692B">
        <w:rPr>
          <w:rFonts w:asciiTheme="minorHAnsi" w:hAnsiTheme="minorHAnsi"/>
          <w:sz w:val="20"/>
          <w:szCs w:val="20"/>
        </w:rPr>
        <w:t>: £0.9m).</w:t>
      </w:r>
      <w:r w:rsidRPr="001C5950">
        <w:rPr>
          <w:rFonts w:asciiTheme="minorHAnsi" w:hAnsiTheme="minorHAnsi"/>
          <w:sz w:val="20"/>
          <w:szCs w:val="20"/>
        </w:rPr>
        <w:t xml:space="preserve"> </w:t>
      </w:r>
    </w:p>
    <w:p w14:paraId="7B8E1165" w14:textId="77777777" w:rsidR="00794AFD" w:rsidRPr="000944E4" w:rsidRDefault="00794AFD" w:rsidP="00794AFD">
      <w:pPr>
        <w:rPr>
          <w:rFonts w:asciiTheme="minorHAnsi" w:hAnsiTheme="minorHAnsi"/>
          <w:sz w:val="12"/>
          <w:szCs w:val="12"/>
          <w:lang w:val="en-IE"/>
        </w:rPr>
      </w:pPr>
    </w:p>
    <w:p w14:paraId="143E4E40" w14:textId="77777777" w:rsidR="00794AFD" w:rsidRPr="00FC3D06" w:rsidRDefault="00794AFD" w:rsidP="00794AFD">
      <w:pPr>
        <w:rPr>
          <w:rFonts w:asciiTheme="minorHAnsi" w:hAnsiTheme="minorHAnsi"/>
          <w:sz w:val="20"/>
          <w:szCs w:val="20"/>
          <w:lang w:val="en-IE"/>
        </w:rPr>
      </w:pPr>
      <w:r w:rsidRPr="001C5950">
        <w:rPr>
          <w:rFonts w:asciiTheme="minorHAnsi" w:hAnsiTheme="minorHAnsi"/>
          <w:sz w:val="20"/>
          <w:szCs w:val="20"/>
          <w:lang w:val="en-IE"/>
        </w:rPr>
        <w:t xml:space="preserve">The Australian corporate sports bookmaking licences issued to Sportsbet require those companies to hold sufficient cash funds to cover monies owed to customers.  </w:t>
      </w:r>
      <w:bookmarkStart w:id="51" w:name="_Hlk2583635"/>
      <w:r w:rsidRPr="001C5950">
        <w:rPr>
          <w:rFonts w:asciiTheme="minorHAnsi" w:hAnsiTheme="minorHAnsi"/>
          <w:sz w:val="20"/>
          <w:szCs w:val="20"/>
          <w:lang w:val="en-IE"/>
        </w:rPr>
        <w:t xml:space="preserve">At 31 December </w:t>
      </w:r>
      <w:r>
        <w:rPr>
          <w:rFonts w:asciiTheme="minorHAnsi" w:hAnsiTheme="minorHAnsi"/>
          <w:sz w:val="20"/>
          <w:szCs w:val="20"/>
          <w:lang w:val="en-IE"/>
        </w:rPr>
        <w:t>2019</w:t>
      </w:r>
      <w:r w:rsidRPr="001C5950">
        <w:rPr>
          <w:rFonts w:asciiTheme="minorHAnsi" w:hAnsiTheme="minorHAnsi"/>
          <w:sz w:val="20"/>
          <w:szCs w:val="20"/>
          <w:lang w:val="en-IE"/>
        </w:rPr>
        <w:t>, the total value of relevant customer balances attributable to the Australia business segment was £</w:t>
      </w:r>
      <w:r w:rsidRPr="00070ED0">
        <w:rPr>
          <w:rFonts w:asciiTheme="minorHAnsi" w:hAnsiTheme="minorHAnsi"/>
          <w:sz w:val="20"/>
          <w:szCs w:val="20"/>
          <w:lang w:val="en-IE"/>
        </w:rPr>
        <w:t>40.4m (AUD76.1m)</w:t>
      </w:r>
      <w:r w:rsidRPr="00A139B8">
        <w:rPr>
          <w:rFonts w:asciiTheme="minorHAnsi" w:hAnsiTheme="minorHAnsi"/>
          <w:sz w:val="20"/>
          <w:szCs w:val="20"/>
          <w:lang w:val="en-IE"/>
        </w:rPr>
        <w:t xml:space="preserve"> (</w:t>
      </w:r>
      <w:bookmarkEnd w:id="51"/>
      <w:r w:rsidRPr="00A139B8">
        <w:rPr>
          <w:rFonts w:asciiTheme="minorHAnsi" w:hAnsiTheme="minorHAnsi"/>
          <w:sz w:val="20"/>
          <w:szCs w:val="20"/>
          <w:lang w:val="en-IE"/>
        </w:rPr>
        <w:t>2018: £45.5m (AUD</w:t>
      </w:r>
      <w:r>
        <w:rPr>
          <w:rFonts w:asciiTheme="minorHAnsi" w:hAnsiTheme="minorHAnsi"/>
          <w:sz w:val="20"/>
          <w:szCs w:val="20"/>
          <w:lang w:val="en-IE"/>
        </w:rPr>
        <w:t>82.5m</w:t>
      </w:r>
      <w:r w:rsidRPr="00A139B8">
        <w:rPr>
          <w:rFonts w:asciiTheme="minorHAnsi" w:hAnsiTheme="minorHAnsi"/>
          <w:sz w:val="20"/>
          <w:szCs w:val="20"/>
          <w:lang w:val="en-IE"/>
        </w:rPr>
        <w:t>)) and the combined cash and cash equivalent balances held by Sportsbet at that date totalled £</w:t>
      </w:r>
      <w:r w:rsidRPr="00070ED0">
        <w:rPr>
          <w:rFonts w:asciiTheme="minorHAnsi" w:hAnsiTheme="minorHAnsi"/>
          <w:sz w:val="20"/>
          <w:szCs w:val="20"/>
          <w:lang w:val="en-IE"/>
        </w:rPr>
        <w:t>66.1m (AUD124.4m</w:t>
      </w:r>
      <w:r w:rsidRPr="00A139B8">
        <w:rPr>
          <w:rFonts w:asciiTheme="minorHAnsi" w:hAnsiTheme="minorHAnsi"/>
          <w:sz w:val="20"/>
          <w:szCs w:val="20"/>
          <w:lang w:val="en-IE"/>
        </w:rPr>
        <w:t>) (2018: £65.6m (AUD119m)). In addition, the Group holds cash amounts totalling £</w:t>
      </w:r>
      <w:r w:rsidRPr="00070ED0">
        <w:rPr>
          <w:rFonts w:asciiTheme="minorHAnsi" w:hAnsiTheme="minorHAnsi"/>
          <w:sz w:val="20"/>
          <w:szCs w:val="20"/>
          <w:lang w:val="en-IE"/>
        </w:rPr>
        <w:t>148.7</w:t>
      </w:r>
      <w:r w:rsidRPr="00A139B8">
        <w:rPr>
          <w:rFonts w:asciiTheme="minorHAnsi" w:hAnsiTheme="minorHAnsi"/>
          <w:sz w:val="20"/>
          <w:szCs w:val="20"/>
          <w:lang w:val="en-IE"/>
        </w:rPr>
        <w:t xml:space="preserve">m (2018: £121.7m) </w:t>
      </w:r>
      <w:r>
        <w:rPr>
          <w:rFonts w:asciiTheme="minorHAnsi" w:hAnsiTheme="minorHAnsi"/>
          <w:sz w:val="20"/>
          <w:szCs w:val="20"/>
          <w:lang w:val="en-IE"/>
        </w:rPr>
        <w:t xml:space="preserve">primarily </w:t>
      </w:r>
      <w:r w:rsidRPr="00A139B8">
        <w:rPr>
          <w:rFonts w:asciiTheme="minorHAnsi" w:hAnsiTheme="minorHAnsi"/>
          <w:sz w:val="20"/>
          <w:szCs w:val="20"/>
          <w:lang w:val="en-IE"/>
        </w:rPr>
        <w:t>in respect of customer funds that are not held on trust in The Sporting Exchange (Clients) Limited in accordance with local regulations</w:t>
      </w:r>
      <w:r w:rsidRPr="001C5950">
        <w:rPr>
          <w:rFonts w:asciiTheme="minorHAnsi" w:hAnsiTheme="minorHAnsi"/>
          <w:sz w:val="20"/>
          <w:szCs w:val="20"/>
          <w:lang w:val="en-IE"/>
        </w:rPr>
        <w:t>. This includes the requirements of various states in the United States which requires fantasy contest operators to either segregate customer funds or else maintain a reserve in the form of cash and cash equivalents. Customer funds that are not held on trust are matched by liabilities of an equal value.</w:t>
      </w:r>
    </w:p>
    <w:p w14:paraId="354C98C9" w14:textId="77777777" w:rsidR="00794AFD" w:rsidRPr="00FC3D06" w:rsidRDefault="00794AFD" w:rsidP="00794AFD">
      <w:pPr>
        <w:widowControl/>
        <w:rPr>
          <w:rFonts w:asciiTheme="minorHAnsi" w:hAnsiTheme="minorHAnsi" w:cs="Times New Roman"/>
          <w:sz w:val="20"/>
          <w:szCs w:val="20"/>
          <w:lang w:val="en-IE"/>
        </w:rPr>
      </w:pPr>
    </w:p>
    <w:p w14:paraId="568E1EF3" w14:textId="77777777" w:rsidR="00794AFD" w:rsidRPr="001C5950" w:rsidRDefault="00794AFD" w:rsidP="00794AFD">
      <w:pPr>
        <w:widowControl/>
        <w:rPr>
          <w:rFonts w:asciiTheme="minorHAnsi" w:hAnsiTheme="minorHAnsi"/>
          <w:sz w:val="20"/>
          <w:szCs w:val="20"/>
        </w:rPr>
      </w:pPr>
      <w:r w:rsidRPr="00070ED0">
        <w:rPr>
          <w:rFonts w:asciiTheme="minorHAnsi" w:hAnsiTheme="minorHAnsi" w:cs="Times New Roman"/>
          <w:sz w:val="20"/>
          <w:szCs w:val="20"/>
          <w:lang w:val="en-IE"/>
        </w:rPr>
        <w:t xml:space="preserve">As mentioned in Note </w:t>
      </w:r>
      <w:r>
        <w:rPr>
          <w:rFonts w:asciiTheme="minorHAnsi" w:hAnsiTheme="minorHAnsi" w:cs="Times New Roman"/>
          <w:sz w:val="20"/>
          <w:szCs w:val="20"/>
          <w:lang w:val="en-IE"/>
        </w:rPr>
        <w:t>14</w:t>
      </w:r>
      <w:r w:rsidRPr="00070ED0">
        <w:rPr>
          <w:rFonts w:asciiTheme="minorHAnsi" w:hAnsiTheme="minorHAnsi" w:cs="Times New Roman"/>
          <w:sz w:val="20"/>
          <w:szCs w:val="20"/>
          <w:lang w:val="en-IE"/>
        </w:rPr>
        <w:t xml:space="preserve">, </w:t>
      </w:r>
      <w:r w:rsidRPr="00070ED0">
        <w:rPr>
          <w:rFonts w:asciiTheme="minorHAnsi" w:hAnsiTheme="minorHAnsi"/>
          <w:sz w:val="20"/>
          <w:szCs w:val="20"/>
        </w:rPr>
        <w:t>borrowings under the RCF</w:t>
      </w:r>
      <w:r>
        <w:rPr>
          <w:rFonts w:asciiTheme="minorHAnsi" w:hAnsiTheme="minorHAnsi"/>
          <w:sz w:val="20"/>
          <w:szCs w:val="20"/>
        </w:rPr>
        <w:t xml:space="preserve"> and Term loan</w:t>
      </w:r>
      <w:r w:rsidRPr="00070ED0">
        <w:rPr>
          <w:rFonts w:asciiTheme="minorHAnsi" w:hAnsiTheme="minorHAnsi"/>
          <w:sz w:val="20"/>
          <w:szCs w:val="20"/>
        </w:rPr>
        <w:t xml:space="preserve"> are unsecured but are guaranteed by the Company and certain of its operating subsidiaries.</w:t>
      </w:r>
      <w:r w:rsidRPr="001C5950">
        <w:rPr>
          <w:rFonts w:asciiTheme="minorHAnsi" w:hAnsiTheme="minorHAnsi"/>
          <w:sz w:val="20"/>
          <w:szCs w:val="20"/>
        </w:rPr>
        <w:t> </w:t>
      </w:r>
    </w:p>
    <w:bookmarkEnd w:id="48"/>
    <w:p w14:paraId="25463881" w14:textId="77777777" w:rsidR="00794AFD" w:rsidRPr="00FC3D06" w:rsidRDefault="00794AFD" w:rsidP="00794AFD">
      <w:pPr>
        <w:widowControl/>
        <w:rPr>
          <w:rFonts w:asciiTheme="minorHAnsi" w:hAnsiTheme="minorHAnsi"/>
          <w:sz w:val="20"/>
          <w:szCs w:val="20"/>
        </w:rPr>
      </w:pPr>
    </w:p>
    <w:p w14:paraId="11F279BE" w14:textId="77777777" w:rsidR="00794AFD" w:rsidRPr="001C5950" w:rsidRDefault="00794AFD" w:rsidP="00794AFD">
      <w:pPr>
        <w:rPr>
          <w:rFonts w:asciiTheme="minorHAnsi" w:hAnsiTheme="minorHAnsi"/>
          <w:sz w:val="20"/>
          <w:lang w:val="en-IE"/>
        </w:rPr>
      </w:pPr>
      <w:r w:rsidRPr="001C5950">
        <w:rPr>
          <w:rFonts w:asciiTheme="minorHAnsi" w:hAnsiTheme="minorHAnsi"/>
          <w:i/>
          <w:sz w:val="20"/>
          <w:szCs w:val="20"/>
        </w:rPr>
        <w:t>(b)</w:t>
      </w:r>
      <w:r w:rsidRPr="001C5950">
        <w:rPr>
          <w:rFonts w:asciiTheme="minorHAnsi" w:hAnsiTheme="minorHAnsi"/>
          <w:sz w:val="20"/>
          <w:lang w:val="en-IE"/>
        </w:rPr>
        <w:t xml:space="preserve"> </w:t>
      </w:r>
      <w:r w:rsidRPr="001C5950">
        <w:rPr>
          <w:rFonts w:asciiTheme="minorHAnsi" w:hAnsiTheme="minorHAnsi"/>
          <w:i/>
          <w:sz w:val="20"/>
          <w:lang w:val="en-IE"/>
        </w:rPr>
        <w:t>Contingent liabilitie</w:t>
      </w:r>
      <w:r w:rsidRPr="001C5950">
        <w:rPr>
          <w:rFonts w:asciiTheme="minorHAnsi" w:hAnsiTheme="minorHAnsi"/>
          <w:sz w:val="20"/>
          <w:lang w:val="en-IE"/>
        </w:rPr>
        <w:t>s</w:t>
      </w:r>
    </w:p>
    <w:p w14:paraId="1E352F70" w14:textId="77777777" w:rsidR="00794AFD" w:rsidRPr="001C5950" w:rsidRDefault="00794AFD" w:rsidP="00794AFD">
      <w:pPr>
        <w:rPr>
          <w:rFonts w:asciiTheme="minorHAnsi" w:hAnsiTheme="minorHAnsi"/>
          <w:sz w:val="20"/>
          <w:lang w:val="en-IE"/>
        </w:rPr>
      </w:pPr>
      <w:r w:rsidRPr="001C5950">
        <w:rPr>
          <w:rFonts w:asciiTheme="minorHAnsi" w:hAnsiTheme="minorHAnsi"/>
          <w:sz w:val="20"/>
          <w:lang w:val="en-IE"/>
        </w:rPr>
        <w:t>The Group operates in an uncertain marketplace where many governments are either introducing or contemplating new regulatory or fiscal arrangements. The Board monitors legal and regulatory developments and their potential impact on the business, however given the lack of a harmonised regulatory environment, the value and timing of any obligations in this regard are subject to a high degree of uncertainty and cannot always be reliably predicted</w:t>
      </w:r>
      <w:r w:rsidRPr="00E37505">
        <w:rPr>
          <w:rFonts w:asciiTheme="minorHAnsi" w:hAnsiTheme="minorHAnsi"/>
          <w:sz w:val="20"/>
          <w:lang w:val="en-IE"/>
        </w:rPr>
        <w:t xml:space="preserve">. See </w:t>
      </w:r>
      <w:r w:rsidRPr="000944E4">
        <w:rPr>
          <w:rFonts w:asciiTheme="minorHAnsi" w:hAnsiTheme="minorHAnsi"/>
          <w:sz w:val="20"/>
          <w:lang w:val="en-IE"/>
        </w:rPr>
        <w:t xml:space="preserve">Note </w:t>
      </w:r>
      <w:r>
        <w:rPr>
          <w:rFonts w:asciiTheme="minorHAnsi" w:hAnsiTheme="minorHAnsi"/>
          <w:sz w:val="20"/>
          <w:lang w:val="en-IE"/>
        </w:rPr>
        <w:t>9</w:t>
      </w:r>
      <w:r w:rsidRPr="00E37505">
        <w:rPr>
          <w:rFonts w:asciiTheme="minorHAnsi" w:hAnsiTheme="minorHAnsi"/>
          <w:sz w:val="20"/>
          <w:lang w:val="en-IE"/>
        </w:rPr>
        <w:t xml:space="preserve"> for further detail in respect of legacy German and Greek tax assessments.</w:t>
      </w:r>
      <w:r w:rsidRPr="00FC3D06">
        <w:rPr>
          <w:rFonts w:asciiTheme="minorHAnsi" w:hAnsiTheme="minorHAnsi"/>
          <w:sz w:val="20"/>
          <w:lang w:val="en-IE"/>
        </w:rPr>
        <w:br w:type="page"/>
      </w:r>
    </w:p>
    <w:p w14:paraId="7969A51D" w14:textId="77777777" w:rsidR="00794AFD" w:rsidRPr="001C5950" w:rsidRDefault="00794AFD" w:rsidP="00794AFD">
      <w:pPr>
        <w:widowControl/>
        <w:rPr>
          <w:rFonts w:asciiTheme="minorHAnsi" w:hAnsiTheme="minorHAnsi" w:cs="Times New Roman"/>
          <w:b/>
          <w:bCs/>
          <w:sz w:val="20"/>
          <w:szCs w:val="20"/>
        </w:rPr>
      </w:pPr>
      <w:r>
        <w:rPr>
          <w:rFonts w:asciiTheme="minorHAnsi" w:hAnsiTheme="minorHAnsi" w:cs="Times New Roman"/>
          <w:b/>
          <w:bCs/>
          <w:sz w:val="20"/>
          <w:szCs w:val="20"/>
        </w:rPr>
        <w:lastRenderedPageBreak/>
        <w:t>15</w:t>
      </w:r>
      <w:r w:rsidRPr="001C5950">
        <w:rPr>
          <w:rFonts w:asciiTheme="minorHAnsi" w:hAnsiTheme="minorHAnsi" w:cs="Times New Roman"/>
          <w:b/>
          <w:bCs/>
          <w:sz w:val="20"/>
          <w:szCs w:val="20"/>
        </w:rPr>
        <w:t>.  Commitments and contingencies (continued)</w:t>
      </w:r>
    </w:p>
    <w:p w14:paraId="64F04A09" w14:textId="77777777" w:rsidR="00794AFD" w:rsidRPr="001C5950" w:rsidRDefault="00794AFD" w:rsidP="00794AFD">
      <w:pPr>
        <w:widowControl/>
        <w:rPr>
          <w:rFonts w:asciiTheme="minorHAnsi" w:hAnsiTheme="minorHAnsi" w:cs="Times New Roman"/>
          <w:sz w:val="20"/>
          <w:szCs w:val="20"/>
          <w:lang w:val="en-IE"/>
        </w:rPr>
      </w:pPr>
    </w:p>
    <w:p w14:paraId="715528E3" w14:textId="77777777" w:rsidR="00794AFD" w:rsidRPr="001C5950" w:rsidRDefault="00794AFD" w:rsidP="00794AFD">
      <w:pPr>
        <w:rPr>
          <w:rFonts w:asciiTheme="minorHAnsi" w:hAnsiTheme="minorHAnsi" w:cs="Times New Roman"/>
          <w:i/>
          <w:iCs/>
          <w:sz w:val="20"/>
          <w:szCs w:val="20"/>
        </w:rPr>
      </w:pPr>
      <w:r w:rsidRPr="001C5950">
        <w:rPr>
          <w:rFonts w:asciiTheme="minorHAnsi" w:hAnsiTheme="minorHAnsi" w:cs="Times New Roman"/>
          <w:i/>
          <w:iCs/>
          <w:sz w:val="20"/>
          <w:szCs w:val="20"/>
        </w:rPr>
        <w:t>(c) Capital commitments</w:t>
      </w:r>
    </w:p>
    <w:p w14:paraId="6B0E82B3" w14:textId="77777777" w:rsidR="00794AFD" w:rsidRPr="001C5950" w:rsidRDefault="00794AFD" w:rsidP="00794AFD">
      <w:pPr>
        <w:rPr>
          <w:rFonts w:asciiTheme="minorHAnsi" w:hAnsiTheme="minorHAnsi" w:cs="Times New Roman"/>
          <w:i/>
          <w:iCs/>
          <w:sz w:val="20"/>
          <w:szCs w:val="20"/>
        </w:rPr>
      </w:pPr>
    </w:p>
    <w:p w14:paraId="26B8FF25" w14:textId="77777777" w:rsidR="00794AFD" w:rsidRPr="001C5950" w:rsidRDefault="00794AFD" w:rsidP="00794AFD">
      <w:pPr>
        <w:rPr>
          <w:rFonts w:asciiTheme="minorHAnsi" w:hAnsiTheme="minorHAnsi" w:cs="Times New Roman"/>
          <w:sz w:val="20"/>
          <w:szCs w:val="20"/>
        </w:rPr>
      </w:pPr>
      <w:r w:rsidRPr="001C5950">
        <w:rPr>
          <w:rFonts w:asciiTheme="minorHAnsi" w:hAnsiTheme="minorHAnsi" w:cs="Times New Roman"/>
          <w:sz w:val="20"/>
          <w:szCs w:val="20"/>
        </w:rPr>
        <w:t>Capital expenditure contracted for at the statement of financial position date but not yet incurred was as follows:</w:t>
      </w:r>
    </w:p>
    <w:p w14:paraId="2220FA7F" w14:textId="77777777" w:rsidR="00794AFD" w:rsidRPr="00FC3D06" w:rsidRDefault="00794AFD" w:rsidP="00794AFD">
      <w:pPr>
        <w:jc w:val="both"/>
        <w:rPr>
          <w:rFonts w:asciiTheme="minorHAnsi" w:hAnsiTheme="minorHAnsi" w:cs="Times New Roman"/>
          <w:sz w:val="20"/>
          <w:szCs w:val="20"/>
        </w:rPr>
      </w:pPr>
    </w:p>
    <w:tbl>
      <w:tblPr>
        <w:tblW w:w="9072" w:type="dxa"/>
        <w:tblInd w:w="108" w:type="dxa"/>
        <w:tblLayout w:type="fixed"/>
        <w:tblLook w:val="0000" w:firstRow="0" w:lastRow="0" w:firstColumn="0" w:lastColumn="0" w:noHBand="0" w:noVBand="0"/>
      </w:tblPr>
      <w:tblGrid>
        <w:gridCol w:w="5387"/>
        <w:gridCol w:w="1876"/>
        <w:gridCol w:w="1809"/>
      </w:tblGrid>
      <w:tr w:rsidR="00794AFD" w:rsidRPr="001C5950" w14:paraId="369D62B0" w14:textId="77777777" w:rsidTr="00794AFD">
        <w:tc>
          <w:tcPr>
            <w:tcW w:w="5387" w:type="dxa"/>
            <w:tcBorders>
              <w:top w:val="single" w:sz="4" w:space="0" w:color="auto"/>
              <w:left w:val="nil"/>
              <w:bottom w:val="single" w:sz="4" w:space="0" w:color="auto"/>
              <w:right w:val="nil"/>
            </w:tcBorders>
          </w:tcPr>
          <w:p w14:paraId="66369B9F" w14:textId="77777777" w:rsidR="00794AFD" w:rsidRPr="00FC3D06" w:rsidRDefault="00794AFD" w:rsidP="00794AFD">
            <w:pPr>
              <w:jc w:val="both"/>
              <w:rPr>
                <w:rFonts w:asciiTheme="minorHAnsi" w:hAnsiTheme="minorHAnsi" w:cs="Times New Roman"/>
                <w:sz w:val="20"/>
                <w:szCs w:val="20"/>
              </w:rPr>
            </w:pPr>
          </w:p>
        </w:tc>
        <w:tc>
          <w:tcPr>
            <w:tcW w:w="1876" w:type="dxa"/>
            <w:tcBorders>
              <w:top w:val="single" w:sz="4" w:space="0" w:color="auto"/>
              <w:left w:val="nil"/>
              <w:bottom w:val="single" w:sz="4" w:space="0" w:color="auto"/>
              <w:right w:val="nil"/>
            </w:tcBorders>
          </w:tcPr>
          <w:p w14:paraId="57FD1986" w14:textId="77777777" w:rsidR="00794AFD" w:rsidRPr="001C5950" w:rsidRDefault="00794AFD" w:rsidP="00794AFD">
            <w:pPr>
              <w:jc w:val="right"/>
              <w:rPr>
                <w:rFonts w:asciiTheme="minorHAnsi" w:hAnsiTheme="minorHAnsi" w:cs="Times New Roman"/>
                <w:b/>
                <w:bCs/>
                <w:sz w:val="20"/>
                <w:szCs w:val="20"/>
              </w:rPr>
            </w:pPr>
          </w:p>
          <w:p w14:paraId="23C8FFB3"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 xml:space="preserve">31 December </w:t>
            </w:r>
            <w:r>
              <w:rPr>
                <w:rFonts w:asciiTheme="minorHAnsi" w:hAnsiTheme="minorHAnsi" w:cs="Times New Roman"/>
                <w:b/>
                <w:bCs/>
                <w:sz w:val="20"/>
                <w:szCs w:val="20"/>
              </w:rPr>
              <w:t>2019</w:t>
            </w:r>
          </w:p>
          <w:p w14:paraId="71063D95" w14:textId="77777777" w:rsidR="00794AFD" w:rsidRPr="001C5950" w:rsidRDefault="00794AFD" w:rsidP="00794AFD">
            <w:pPr>
              <w:jc w:val="right"/>
              <w:rPr>
                <w:rFonts w:asciiTheme="minorHAnsi" w:hAnsiTheme="minorHAnsi" w:cs="Times New Roman"/>
                <w:b/>
                <w:bCs/>
                <w:sz w:val="20"/>
                <w:szCs w:val="20"/>
              </w:rPr>
            </w:pPr>
            <w:r w:rsidRPr="001C5950">
              <w:rPr>
                <w:rFonts w:asciiTheme="minorHAnsi" w:hAnsiTheme="minorHAnsi" w:cs="Times New Roman"/>
                <w:b/>
                <w:bCs/>
                <w:sz w:val="20"/>
                <w:szCs w:val="20"/>
              </w:rPr>
              <w:t>£m</w:t>
            </w:r>
          </w:p>
        </w:tc>
        <w:tc>
          <w:tcPr>
            <w:tcW w:w="1809" w:type="dxa"/>
            <w:tcBorders>
              <w:top w:val="single" w:sz="4" w:space="0" w:color="auto"/>
              <w:left w:val="nil"/>
              <w:bottom w:val="single" w:sz="4" w:space="0" w:color="auto"/>
              <w:right w:val="nil"/>
            </w:tcBorders>
          </w:tcPr>
          <w:p w14:paraId="177568E1" w14:textId="77777777" w:rsidR="00794AFD" w:rsidRPr="001C5950" w:rsidRDefault="00794AFD" w:rsidP="00794AFD">
            <w:pPr>
              <w:jc w:val="right"/>
              <w:rPr>
                <w:rFonts w:asciiTheme="minorHAnsi" w:hAnsiTheme="minorHAnsi" w:cs="Times New Roman"/>
                <w:bCs/>
                <w:sz w:val="20"/>
                <w:szCs w:val="20"/>
              </w:rPr>
            </w:pPr>
          </w:p>
          <w:p w14:paraId="0E453B03"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 xml:space="preserve">31 December </w:t>
            </w:r>
            <w:r>
              <w:rPr>
                <w:rFonts w:asciiTheme="minorHAnsi" w:hAnsiTheme="minorHAnsi" w:cs="Times New Roman"/>
                <w:bCs/>
                <w:sz w:val="20"/>
                <w:szCs w:val="20"/>
              </w:rPr>
              <w:t>2018</w:t>
            </w:r>
          </w:p>
          <w:p w14:paraId="10F58935" w14:textId="77777777" w:rsidR="00794AFD" w:rsidRPr="001C5950" w:rsidRDefault="00794AFD" w:rsidP="00794AFD">
            <w:pPr>
              <w:jc w:val="right"/>
              <w:rPr>
                <w:rFonts w:asciiTheme="minorHAnsi" w:hAnsiTheme="minorHAnsi" w:cs="Times New Roman"/>
                <w:bCs/>
                <w:sz w:val="20"/>
                <w:szCs w:val="20"/>
              </w:rPr>
            </w:pPr>
            <w:r w:rsidRPr="001C5950">
              <w:rPr>
                <w:rFonts w:asciiTheme="minorHAnsi" w:hAnsiTheme="minorHAnsi" w:cs="Times New Roman"/>
                <w:bCs/>
                <w:sz w:val="20"/>
                <w:szCs w:val="20"/>
              </w:rPr>
              <w:t>£m</w:t>
            </w:r>
          </w:p>
        </w:tc>
      </w:tr>
      <w:tr w:rsidR="00794AFD" w:rsidRPr="001C5950" w14:paraId="3A32C8D5" w14:textId="77777777" w:rsidTr="00794AFD">
        <w:tc>
          <w:tcPr>
            <w:tcW w:w="5387" w:type="dxa"/>
            <w:tcBorders>
              <w:top w:val="single" w:sz="4" w:space="0" w:color="auto"/>
              <w:left w:val="nil"/>
              <w:right w:val="nil"/>
            </w:tcBorders>
          </w:tcPr>
          <w:p w14:paraId="4EDFC8C3"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Property, plant and equipment</w:t>
            </w:r>
          </w:p>
        </w:tc>
        <w:tc>
          <w:tcPr>
            <w:tcW w:w="1876" w:type="dxa"/>
            <w:tcBorders>
              <w:top w:val="single" w:sz="4" w:space="0" w:color="auto"/>
              <w:left w:val="nil"/>
              <w:right w:val="nil"/>
            </w:tcBorders>
          </w:tcPr>
          <w:p w14:paraId="7A25BDF9"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0.4</w:t>
            </w:r>
          </w:p>
        </w:tc>
        <w:tc>
          <w:tcPr>
            <w:tcW w:w="1809" w:type="dxa"/>
            <w:tcBorders>
              <w:top w:val="single" w:sz="4" w:space="0" w:color="auto"/>
              <w:left w:val="nil"/>
              <w:right w:val="nil"/>
            </w:tcBorders>
          </w:tcPr>
          <w:p w14:paraId="14F5F132" w14:textId="77777777" w:rsidR="00794AFD" w:rsidRPr="00E821CD" w:rsidRDefault="00794AFD" w:rsidP="00794AFD">
            <w:pPr>
              <w:jc w:val="right"/>
              <w:rPr>
                <w:rFonts w:asciiTheme="minorHAnsi" w:hAnsiTheme="minorHAnsi" w:cs="Times New Roman"/>
                <w:bCs/>
                <w:sz w:val="20"/>
                <w:szCs w:val="20"/>
              </w:rPr>
            </w:pPr>
            <w:r w:rsidRPr="00E821CD">
              <w:rPr>
                <w:rFonts w:asciiTheme="minorHAnsi" w:hAnsiTheme="minorHAnsi" w:cs="Times New Roman"/>
                <w:bCs/>
                <w:sz w:val="20"/>
                <w:szCs w:val="20"/>
              </w:rPr>
              <w:t>11.3</w:t>
            </w:r>
          </w:p>
        </w:tc>
      </w:tr>
      <w:tr w:rsidR="00794AFD" w:rsidRPr="001C5950" w14:paraId="1A6858C6" w14:textId="77777777" w:rsidTr="00794AFD">
        <w:tc>
          <w:tcPr>
            <w:tcW w:w="5387" w:type="dxa"/>
            <w:tcBorders>
              <w:left w:val="nil"/>
              <w:bottom w:val="single" w:sz="4" w:space="0" w:color="auto"/>
              <w:right w:val="nil"/>
            </w:tcBorders>
          </w:tcPr>
          <w:p w14:paraId="494F59A9"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Intangible assets</w:t>
            </w:r>
          </w:p>
        </w:tc>
        <w:tc>
          <w:tcPr>
            <w:tcW w:w="1876" w:type="dxa"/>
            <w:tcBorders>
              <w:left w:val="nil"/>
              <w:bottom w:val="single" w:sz="4" w:space="0" w:color="auto"/>
              <w:right w:val="nil"/>
            </w:tcBorders>
          </w:tcPr>
          <w:p w14:paraId="042F90C6"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0.7</w:t>
            </w:r>
          </w:p>
        </w:tc>
        <w:tc>
          <w:tcPr>
            <w:tcW w:w="1809" w:type="dxa"/>
            <w:tcBorders>
              <w:left w:val="nil"/>
              <w:bottom w:val="single" w:sz="4" w:space="0" w:color="auto"/>
              <w:right w:val="nil"/>
            </w:tcBorders>
          </w:tcPr>
          <w:p w14:paraId="2FD1B061" w14:textId="77777777" w:rsidR="00794AFD" w:rsidRPr="00E821CD" w:rsidRDefault="00794AFD" w:rsidP="00794AFD">
            <w:pPr>
              <w:jc w:val="right"/>
              <w:rPr>
                <w:rFonts w:asciiTheme="minorHAnsi" w:hAnsiTheme="minorHAnsi" w:cs="Times New Roman"/>
                <w:bCs/>
                <w:sz w:val="20"/>
                <w:szCs w:val="20"/>
              </w:rPr>
            </w:pPr>
            <w:r w:rsidRPr="00E821CD">
              <w:rPr>
                <w:rFonts w:asciiTheme="minorHAnsi" w:hAnsiTheme="minorHAnsi" w:cs="Times New Roman"/>
                <w:bCs/>
                <w:sz w:val="20"/>
                <w:szCs w:val="20"/>
              </w:rPr>
              <w:t>9.8</w:t>
            </w:r>
          </w:p>
        </w:tc>
      </w:tr>
      <w:tr w:rsidR="00794AFD" w:rsidRPr="001C5950" w14:paraId="6D2D1E11" w14:textId="77777777" w:rsidTr="00794AFD">
        <w:tc>
          <w:tcPr>
            <w:tcW w:w="5387" w:type="dxa"/>
            <w:tcBorders>
              <w:top w:val="single" w:sz="4" w:space="0" w:color="auto"/>
              <w:left w:val="nil"/>
              <w:bottom w:val="single" w:sz="4" w:space="0" w:color="auto"/>
              <w:right w:val="nil"/>
            </w:tcBorders>
          </w:tcPr>
          <w:p w14:paraId="30226E1C" w14:textId="77777777" w:rsidR="00794AFD" w:rsidRPr="001C5950" w:rsidRDefault="00794AFD" w:rsidP="00794AFD">
            <w:pPr>
              <w:ind w:left="-108"/>
              <w:rPr>
                <w:rFonts w:asciiTheme="minorHAnsi" w:hAnsiTheme="minorHAnsi" w:cs="Times New Roman"/>
                <w:sz w:val="20"/>
                <w:szCs w:val="20"/>
              </w:rPr>
            </w:pPr>
            <w:r w:rsidRPr="001C5950">
              <w:rPr>
                <w:rFonts w:asciiTheme="minorHAnsi" w:hAnsiTheme="minorHAnsi" w:cs="Times New Roman"/>
                <w:sz w:val="20"/>
                <w:szCs w:val="20"/>
              </w:rPr>
              <w:t>Total</w:t>
            </w:r>
          </w:p>
        </w:tc>
        <w:tc>
          <w:tcPr>
            <w:tcW w:w="1876" w:type="dxa"/>
            <w:tcBorders>
              <w:top w:val="single" w:sz="4" w:space="0" w:color="auto"/>
              <w:left w:val="nil"/>
              <w:bottom w:val="single" w:sz="4" w:space="0" w:color="auto"/>
              <w:right w:val="nil"/>
            </w:tcBorders>
          </w:tcPr>
          <w:p w14:paraId="33E6FB45" w14:textId="77777777" w:rsidR="00794AFD" w:rsidRPr="000944E4" w:rsidRDefault="00794AFD" w:rsidP="00794AFD">
            <w:pPr>
              <w:jc w:val="right"/>
              <w:rPr>
                <w:rFonts w:asciiTheme="minorHAnsi" w:hAnsiTheme="minorHAnsi" w:cs="Times New Roman"/>
                <w:b/>
                <w:bCs/>
                <w:sz w:val="20"/>
                <w:szCs w:val="20"/>
              </w:rPr>
            </w:pPr>
            <w:r w:rsidRPr="000944E4">
              <w:rPr>
                <w:rFonts w:asciiTheme="minorHAnsi" w:hAnsiTheme="minorHAnsi" w:cs="Times New Roman"/>
                <w:b/>
                <w:bCs/>
                <w:sz w:val="20"/>
                <w:szCs w:val="20"/>
              </w:rPr>
              <w:t>1.1</w:t>
            </w:r>
          </w:p>
        </w:tc>
        <w:tc>
          <w:tcPr>
            <w:tcW w:w="1809" w:type="dxa"/>
            <w:tcBorders>
              <w:top w:val="single" w:sz="4" w:space="0" w:color="auto"/>
              <w:left w:val="nil"/>
              <w:bottom w:val="single" w:sz="4" w:space="0" w:color="auto"/>
              <w:right w:val="nil"/>
            </w:tcBorders>
          </w:tcPr>
          <w:p w14:paraId="3F424A67" w14:textId="77777777" w:rsidR="00794AFD" w:rsidRPr="00E821CD" w:rsidRDefault="00794AFD" w:rsidP="00794AFD">
            <w:pPr>
              <w:jc w:val="right"/>
              <w:rPr>
                <w:rFonts w:asciiTheme="minorHAnsi" w:hAnsiTheme="minorHAnsi" w:cs="Times New Roman"/>
                <w:bCs/>
                <w:sz w:val="20"/>
                <w:szCs w:val="20"/>
              </w:rPr>
            </w:pPr>
            <w:r w:rsidRPr="00E821CD">
              <w:rPr>
                <w:rFonts w:asciiTheme="minorHAnsi" w:hAnsiTheme="minorHAnsi" w:cs="Times New Roman"/>
                <w:bCs/>
                <w:sz w:val="20"/>
                <w:szCs w:val="20"/>
              </w:rPr>
              <w:t>21.1</w:t>
            </w:r>
          </w:p>
        </w:tc>
      </w:tr>
    </w:tbl>
    <w:p w14:paraId="76E76B68" w14:textId="77777777" w:rsidR="00794AFD" w:rsidRDefault="00794AFD" w:rsidP="00794AFD">
      <w:pPr>
        <w:jc w:val="both"/>
        <w:rPr>
          <w:rFonts w:asciiTheme="minorHAnsi" w:hAnsiTheme="minorHAnsi" w:cs="Times New Roman"/>
          <w:sz w:val="20"/>
          <w:szCs w:val="20"/>
        </w:rPr>
      </w:pPr>
    </w:p>
    <w:p w14:paraId="27107117" w14:textId="77777777" w:rsidR="00794AFD" w:rsidRPr="007632FA" w:rsidRDefault="00794AFD" w:rsidP="00794AFD">
      <w:pPr>
        <w:rPr>
          <w:rFonts w:asciiTheme="minorHAnsi" w:hAnsiTheme="minorHAnsi" w:cs="Times New Roman"/>
          <w:i/>
          <w:iCs/>
          <w:sz w:val="20"/>
          <w:szCs w:val="20"/>
        </w:rPr>
      </w:pPr>
      <w:r w:rsidRPr="00070ED0">
        <w:rPr>
          <w:rFonts w:asciiTheme="minorHAnsi" w:hAnsiTheme="minorHAnsi" w:cs="Times New Roman"/>
          <w:i/>
          <w:iCs/>
          <w:sz w:val="20"/>
          <w:szCs w:val="20"/>
        </w:rPr>
        <w:t xml:space="preserve">(d) </w:t>
      </w:r>
      <w:r w:rsidRPr="007632FA">
        <w:rPr>
          <w:rFonts w:asciiTheme="minorHAnsi" w:hAnsiTheme="minorHAnsi" w:cs="Times New Roman"/>
          <w:i/>
          <w:iCs/>
          <w:sz w:val="20"/>
          <w:szCs w:val="20"/>
        </w:rPr>
        <w:t xml:space="preserve">Leases </w:t>
      </w:r>
      <w:r w:rsidRPr="00F16276">
        <w:rPr>
          <w:rFonts w:asciiTheme="minorHAnsi" w:hAnsiTheme="minorHAnsi" w:cs="Times New Roman"/>
          <w:bCs/>
          <w:i/>
          <w:sz w:val="20"/>
          <w:szCs w:val="20"/>
        </w:rPr>
        <w:t>(See Note 2)</w:t>
      </w:r>
    </w:p>
    <w:p w14:paraId="3CCF4005" w14:textId="77777777" w:rsidR="00794AFD" w:rsidRPr="008759D9" w:rsidRDefault="00794AFD" w:rsidP="00794AFD">
      <w:pPr>
        <w:widowControl/>
        <w:rPr>
          <w:rFonts w:asciiTheme="minorHAnsi" w:hAnsiTheme="minorHAnsi" w:cs="Times New Roman"/>
          <w:bCs/>
          <w:sz w:val="20"/>
          <w:szCs w:val="20"/>
        </w:rPr>
      </w:pPr>
      <w:r w:rsidRPr="00070ED0">
        <w:rPr>
          <w:rFonts w:asciiTheme="minorHAnsi" w:hAnsiTheme="minorHAnsi" w:cs="Times New Roman"/>
          <w:sz w:val="20"/>
          <w:szCs w:val="20"/>
        </w:rPr>
        <w:t xml:space="preserve">The Group leases various </w:t>
      </w:r>
      <w:r>
        <w:rPr>
          <w:rFonts w:asciiTheme="minorHAnsi" w:hAnsiTheme="minorHAnsi" w:cs="Times New Roman"/>
          <w:sz w:val="20"/>
          <w:szCs w:val="20"/>
        </w:rPr>
        <w:t>licence</w:t>
      </w:r>
      <w:r w:rsidRPr="00070ED0">
        <w:rPr>
          <w:rFonts w:asciiTheme="minorHAnsi" w:hAnsiTheme="minorHAnsi" w:cs="Times New Roman"/>
          <w:sz w:val="20"/>
          <w:szCs w:val="20"/>
        </w:rPr>
        <w:t xml:space="preserve">d betting and other offices under lease agreements.  The leases have varying terms, escalation clauses and renewal rights.  The leases have, on average, approximately five years left to run (if the Group was to exercise available break options), with a right of renewal after that date.  Lease rentals are typically reviewed every five years to reflect market rental rates or changes in general inflation rates. </w:t>
      </w:r>
      <w:r w:rsidRPr="00070ED0">
        <w:rPr>
          <w:rFonts w:asciiTheme="minorHAnsi" w:hAnsiTheme="minorHAnsi" w:cs="Times New Roman"/>
          <w:bCs/>
          <w:sz w:val="20"/>
          <w:szCs w:val="20"/>
        </w:rPr>
        <w:t xml:space="preserve">Leases for </w:t>
      </w:r>
      <w:r>
        <w:rPr>
          <w:rFonts w:asciiTheme="minorHAnsi" w:hAnsiTheme="minorHAnsi" w:cs="Times New Roman"/>
          <w:bCs/>
          <w:sz w:val="20"/>
          <w:szCs w:val="20"/>
        </w:rPr>
        <w:t>licence</w:t>
      </w:r>
      <w:r w:rsidRPr="00070ED0">
        <w:rPr>
          <w:rFonts w:asciiTheme="minorHAnsi" w:hAnsiTheme="minorHAnsi" w:cs="Times New Roman"/>
          <w:bCs/>
          <w:sz w:val="20"/>
          <w:szCs w:val="20"/>
        </w:rPr>
        <w:t>d betting and other offices are entered into as combined leases of land and buildings.  Since the title to the land does not pass, the rent paid to the landlord of the building is increased to market rent at regular intervals and the Group does not participate in the residual value of the building, it was determined that substantially all the risks and rewards of the offices are with the landlord.  As such, the Group had determined that the leases were operating leases in accordance with IAS 17.</w:t>
      </w:r>
    </w:p>
    <w:p w14:paraId="75D7D049" w14:textId="77777777" w:rsidR="00794AFD" w:rsidRDefault="00794AFD" w:rsidP="00794AFD">
      <w:pPr>
        <w:rPr>
          <w:rFonts w:asciiTheme="minorHAnsi" w:hAnsiTheme="minorHAnsi" w:cs="Times New Roman"/>
          <w:sz w:val="20"/>
          <w:szCs w:val="20"/>
        </w:rPr>
      </w:pPr>
    </w:p>
    <w:p w14:paraId="735E83DE" w14:textId="77777777" w:rsidR="00794AFD" w:rsidRDefault="00794AFD" w:rsidP="00794AFD">
      <w:pPr>
        <w:rPr>
          <w:rFonts w:asciiTheme="minorHAnsi" w:hAnsiTheme="minorHAnsi" w:cs="Times New Roman"/>
          <w:sz w:val="20"/>
          <w:szCs w:val="20"/>
        </w:rPr>
      </w:pPr>
      <w:r>
        <w:rPr>
          <w:rFonts w:asciiTheme="minorHAnsi" w:hAnsiTheme="minorHAnsi" w:cs="Times New Roman"/>
          <w:sz w:val="20"/>
          <w:szCs w:val="20"/>
        </w:rPr>
        <w:t xml:space="preserve">For the accounting treatment of such leases under IFRS 16 as opposed to IAS 17, and for the adjustments required at transition date, refer to the applicable accounting policy. </w:t>
      </w:r>
    </w:p>
    <w:p w14:paraId="0BF5C587" w14:textId="77777777" w:rsidR="00794AFD" w:rsidRPr="00070ED0" w:rsidRDefault="00794AFD" w:rsidP="00794AFD">
      <w:pPr>
        <w:rPr>
          <w:rFonts w:asciiTheme="minorHAnsi" w:hAnsiTheme="minorHAnsi" w:cs="Times New Roman"/>
          <w:sz w:val="20"/>
          <w:szCs w:val="20"/>
        </w:rPr>
      </w:pPr>
    </w:p>
    <w:p w14:paraId="6EA7727B" w14:textId="77777777" w:rsidR="00794AFD" w:rsidRPr="00070ED0" w:rsidRDefault="00794AFD" w:rsidP="00794AFD">
      <w:pPr>
        <w:rPr>
          <w:rFonts w:asciiTheme="minorHAnsi" w:hAnsiTheme="minorHAnsi" w:cs="Times New Roman"/>
          <w:bCs/>
          <w:sz w:val="20"/>
          <w:szCs w:val="20"/>
        </w:rPr>
      </w:pPr>
      <w:r w:rsidRPr="00070ED0">
        <w:rPr>
          <w:rFonts w:asciiTheme="minorHAnsi" w:hAnsiTheme="minorHAnsi" w:cs="Times New Roman"/>
          <w:bCs/>
          <w:sz w:val="20"/>
          <w:szCs w:val="20"/>
        </w:rPr>
        <w:t xml:space="preserve">The Group has a small number of properties that are sublet.  </w:t>
      </w:r>
    </w:p>
    <w:p w14:paraId="28DFB97E" w14:textId="77777777" w:rsidR="00794AFD" w:rsidRPr="00070ED0" w:rsidRDefault="00794AFD" w:rsidP="00794AFD">
      <w:pPr>
        <w:rPr>
          <w:rFonts w:asciiTheme="minorHAnsi" w:hAnsiTheme="minorHAnsi" w:cs="Times New Roman"/>
          <w:sz w:val="20"/>
          <w:szCs w:val="20"/>
        </w:rPr>
      </w:pPr>
    </w:p>
    <w:p w14:paraId="29DBE453" w14:textId="77777777" w:rsidR="00794AFD" w:rsidRPr="00070ED0" w:rsidRDefault="00794AFD" w:rsidP="00794AFD">
      <w:pPr>
        <w:rPr>
          <w:rFonts w:asciiTheme="minorHAnsi" w:hAnsiTheme="minorHAnsi" w:cs="Times New Roman"/>
          <w:b/>
          <w:i/>
          <w:sz w:val="20"/>
          <w:szCs w:val="20"/>
        </w:rPr>
      </w:pPr>
      <w:r w:rsidRPr="00070ED0">
        <w:rPr>
          <w:rFonts w:asciiTheme="minorHAnsi" w:hAnsiTheme="minorHAnsi" w:cs="Times New Roman"/>
          <w:b/>
          <w:i/>
          <w:sz w:val="20"/>
          <w:szCs w:val="20"/>
        </w:rPr>
        <w:t>Right of use assets</w:t>
      </w:r>
    </w:p>
    <w:tbl>
      <w:tblPr>
        <w:tblW w:w="7263" w:type="dxa"/>
        <w:tblInd w:w="108" w:type="dxa"/>
        <w:tblLayout w:type="fixed"/>
        <w:tblLook w:val="0000" w:firstRow="0" w:lastRow="0" w:firstColumn="0" w:lastColumn="0" w:noHBand="0" w:noVBand="0"/>
      </w:tblPr>
      <w:tblGrid>
        <w:gridCol w:w="5421"/>
        <w:gridCol w:w="1842"/>
      </w:tblGrid>
      <w:tr w:rsidR="00794AFD" w:rsidRPr="008759D9" w14:paraId="0BF7357E" w14:textId="77777777" w:rsidTr="00794AFD">
        <w:tc>
          <w:tcPr>
            <w:tcW w:w="5421" w:type="dxa"/>
            <w:tcBorders>
              <w:top w:val="single" w:sz="4" w:space="0" w:color="auto"/>
              <w:left w:val="nil"/>
              <w:bottom w:val="single" w:sz="4" w:space="0" w:color="auto"/>
              <w:right w:val="nil"/>
            </w:tcBorders>
          </w:tcPr>
          <w:p w14:paraId="73D31DEA" w14:textId="77777777" w:rsidR="00794AFD" w:rsidRPr="00070ED0" w:rsidRDefault="00794AFD" w:rsidP="00794AFD">
            <w:pPr>
              <w:jc w:val="both"/>
              <w:rPr>
                <w:rFonts w:asciiTheme="minorHAnsi" w:hAnsiTheme="minorHAnsi" w:cs="Times New Roman"/>
                <w:sz w:val="20"/>
                <w:szCs w:val="20"/>
              </w:rPr>
            </w:pPr>
          </w:p>
        </w:tc>
        <w:tc>
          <w:tcPr>
            <w:tcW w:w="1842" w:type="dxa"/>
            <w:tcBorders>
              <w:top w:val="single" w:sz="4" w:space="0" w:color="auto"/>
              <w:left w:val="nil"/>
              <w:bottom w:val="single" w:sz="4" w:space="0" w:color="auto"/>
              <w:right w:val="nil"/>
            </w:tcBorders>
          </w:tcPr>
          <w:p w14:paraId="052F8B14"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£m</w:t>
            </w:r>
          </w:p>
        </w:tc>
      </w:tr>
      <w:tr w:rsidR="00794AFD" w:rsidRPr="008759D9" w14:paraId="3D5F4E73" w14:textId="77777777" w:rsidTr="00794AFD">
        <w:tc>
          <w:tcPr>
            <w:tcW w:w="5421" w:type="dxa"/>
            <w:tcBorders>
              <w:top w:val="single" w:sz="4" w:space="0" w:color="auto"/>
              <w:left w:val="nil"/>
              <w:bottom w:val="nil"/>
              <w:right w:val="nil"/>
            </w:tcBorders>
          </w:tcPr>
          <w:p w14:paraId="25CBD13B"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Balance at 1 January 2019</w:t>
            </w:r>
          </w:p>
        </w:tc>
        <w:tc>
          <w:tcPr>
            <w:tcW w:w="1842" w:type="dxa"/>
            <w:tcBorders>
              <w:top w:val="single" w:sz="4" w:space="0" w:color="auto"/>
              <w:left w:val="nil"/>
              <w:right w:val="nil"/>
            </w:tcBorders>
          </w:tcPr>
          <w:p w14:paraId="17268F97"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157.2</w:t>
            </w:r>
          </w:p>
        </w:tc>
      </w:tr>
      <w:tr w:rsidR="00794AFD" w:rsidRPr="008759D9" w14:paraId="7924CB85" w14:textId="77777777" w:rsidTr="00794AFD">
        <w:tc>
          <w:tcPr>
            <w:tcW w:w="5421" w:type="dxa"/>
            <w:tcBorders>
              <w:top w:val="nil"/>
              <w:left w:val="nil"/>
              <w:right w:val="nil"/>
            </w:tcBorders>
          </w:tcPr>
          <w:p w14:paraId="0C516D45"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Business combinations</w:t>
            </w:r>
          </w:p>
        </w:tc>
        <w:tc>
          <w:tcPr>
            <w:tcW w:w="1842" w:type="dxa"/>
            <w:tcBorders>
              <w:top w:val="nil"/>
              <w:left w:val="nil"/>
              <w:right w:val="nil"/>
            </w:tcBorders>
          </w:tcPr>
          <w:p w14:paraId="2AD99B3A"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0.9</w:t>
            </w:r>
          </w:p>
        </w:tc>
      </w:tr>
      <w:tr w:rsidR="00794AFD" w:rsidRPr="008759D9" w14:paraId="0BF81DF7" w14:textId="77777777" w:rsidTr="00794AFD">
        <w:tc>
          <w:tcPr>
            <w:tcW w:w="5421" w:type="dxa"/>
            <w:tcBorders>
              <w:top w:val="nil"/>
              <w:left w:val="nil"/>
              <w:right w:val="nil"/>
            </w:tcBorders>
          </w:tcPr>
          <w:p w14:paraId="13A0AA26"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Depreciation charge for the year</w:t>
            </w:r>
          </w:p>
        </w:tc>
        <w:tc>
          <w:tcPr>
            <w:tcW w:w="1842" w:type="dxa"/>
            <w:tcBorders>
              <w:top w:val="nil"/>
              <w:left w:val="nil"/>
              <w:right w:val="nil"/>
            </w:tcBorders>
          </w:tcPr>
          <w:p w14:paraId="15AC3EF6"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(36.7)</w:t>
            </w:r>
          </w:p>
        </w:tc>
      </w:tr>
      <w:tr w:rsidR="00794AFD" w:rsidRPr="008759D9" w14:paraId="11383116" w14:textId="77777777" w:rsidTr="00794AFD">
        <w:tc>
          <w:tcPr>
            <w:tcW w:w="5421" w:type="dxa"/>
            <w:tcBorders>
              <w:top w:val="nil"/>
              <w:left w:val="nil"/>
              <w:right w:val="nil"/>
            </w:tcBorders>
          </w:tcPr>
          <w:p w14:paraId="48A241DB" w14:textId="77777777" w:rsidR="00794AFD" w:rsidRPr="00070ED0" w:rsidRDefault="00794AFD" w:rsidP="00794AFD">
            <w:pPr>
              <w:ind w:left="-108"/>
              <w:rPr>
                <w:rFonts w:asciiTheme="minorHAnsi" w:hAnsiTheme="minorHAnsi" w:cs="Times New Roman"/>
                <w:sz w:val="20"/>
                <w:szCs w:val="20"/>
              </w:rPr>
            </w:pPr>
            <w:r>
              <w:rPr>
                <w:rFonts w:asciiTheme="minorHAnsi" w:hAnsiTheme="minorHAnsi" w:cs="Times New Roman"/>
                <w:sz w:val="20"/>
                <w:szCs w:val="20"/>
              </w:rPr>
              <w:t>Additions – IFRS 16 right-of-use asset</w:t>
            </w:r>
          </w:p>
        </w:tc>
        <w:tc>
          <w:tcPr>
            <w:tcW w:w="1842" w:type="dxa"/>
            <w:tcBorders>
              <w:left w:val="nil"/>
              <w:right w:val="nil"/>
            </w:tcBorders>
          </w:tcPr>
          <w:p w14:paraId="13C54015" w14:textId="77777777" w:rsidR="00794AFD" w:rsidRPr="00070ED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30.9</w:t>
            </w:r>
          </w:p>
        </w:tc>
      </w:tr>
      <w:tr w:rsidR="00794AFD" w:rsidRPr="008759D9" w14:paraId="14881204" w14:textId="77777777" w:rsidTr="00794AFD">
        <w:tc>
          <w:tcPr>
            <w:tcW w:w="5421" w:type="dxa"/>
            <w:tcBorders>
              <w:top w:val="nil"/>
              <w:left w:val="nil"/>
              <w:right w:val="nil"/>
            </w:tcBorders>
          </w:tcPr>
          <w:p w14:paraId="33BFC919" w14:textId="77777777" w:rsidR="00794AFD" w:rsidRPr="00070ED0" w:rsidRDefault="00794AFD" w:rsidP="00794AFD">
            <w:pPr>
              <w:ind w:left="-108"/>
              <w:rPr>
                <w:rFonts w:asciiTheme="minorHAnsi" w:hAnsiTheme="minorHAnsi" w:cs="Times New Roman"/>
                <w:sz w:val="20"/>
                <w:szCs w:val="20"/>
              </w:rPr>
            </w:pPr>
            <w:r>
              <w:rPr>
                <w:rFonts w:asciiTheme="minorHAnsi" w:hAnsiTheme="minorHAnsi" w:cs="Times New Roman"/>
                <w:sz w:val="20"/>
                <w:szCs w:val="20"/>
              </w:rPr>
              <w:t>Remeasurement of lease term</w:t>
            </w:r>
          </w:p>
        </w:tc>
        <w:tc>
          <w:tcPr>
            <w:tcW w:w="1842" w:type="dxa"/>
            <w:tcBorders>
              <w:left w:val="nil"/>
              <w:right w:val="nil"/>
            </w:tcBorders>
          </w:tcPr>
          <w:p w14:paraId="5F928F15" w14:textId="77777777" w:rsidR="00794AFD" w:rsidRPr="00070ED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19.0</w:t>
            </w:r>
          </w:p>
        </w:tc>
      </w:tr>
      <w:tr w:rsidR="00794AFD" w:rsidRPr="008759D9" w14:paraId="57AA9D4F" w14:textId="77777777" w:rsidTr="00794AFD">
        <w:tc>
          <w:tcPr>
            <w:tcW w:w="5421" w:type="dxa"/>
            <w:tcBorders>
              <w:left w:val="nil"/>
              <w:right w:val="nil"/>
            </w:tcBorders>
          </w:tcPr>
          <w:p w14:paraId="4327E0D2"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Derecognition of right-of-use assets</w:t>
            </w:r>
          </w:p>
        </w:tc>
        <w:tc>
          <w:tcPr>
            <w:tcW w:w="1842" w:type="dxa"/>
            <w:tcBorders>
              <w:left w:val="nil"/>
              <w:right w:val="nil"/>
            </w:tcBorders>
          </w:tcPr>
          <w:p w14:paraId="6BE8A90F"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(3.8)</w:t>
            </w:r>
          </w:p>
        </w:tc>
      </w:tr>
      <w:tr w:rsidR="00794AFD" w:rsidRPr="008759D9" w14:paraId="11D9A0E2" w14:textId="77777777" w:rsidTr="00794AFD">
        <w:tc>
          <w:tcPr>
            <w:tcW w:w="5421" w:type="dxa"/>
            <w:tcBorders>
              <w:left w:val="nil"/>
              <w:bottom w:val="single" w:sz="4" w:space="0" w:color="auto"/>
              <w:right w:val="nil"/>
            </w:tcBorders>
          </w:tcPr>
          <w:p w14:paraId="4761B917"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Foreign exchange translation</w:t>
            </w:r>
          </w:p>
        </w:tc>
        <w:tc>
          <w:tcPr>
            <w:tcW w:w="1842" w:type="dxa"/>
            <w:tcBorders>
              <w:left w:val="nil"/>
              <w:bottom w:val="single" w:sz="4" w:space="0" w:color="auto"/>
              <w:right w:val="nil"/>
            </w:tcBorders>
          </w:tcPr>
          <w:p w14:paraId="0B067596"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(1.</w:t>
            </w:r>
            <w:r>
              <w:rPr>
                <w:rFonts w:asciiTheme="minorHAnsi" w:hAnsiTheme="minorHAnsi" w:cs="Times New Roman"/>
                <w:b/>
                <w:bCs/>
                <w:sz w:val="20"/>
                <w:szCs w:val="20"/>
              </w:rPr>
              <w:t>5</w:t>
            </w:r>
            <w:r w:rsidRPr="00070ED0">
              <w:rPr>
                <w:rFonts w:asciiTheme="minorHAnsi" w:hAnsiTheme="minorHAnsi" w:cs="Times New Roman"/>
                <w:b/>
                <w:bCs/>
                <w:sz w:val="20"/>
                <w:szCs w:val="20"/>
              </w:rPr>
              <w:t>)</w:t>
            </w:r>
          </w:p>
        </w:tc>
      </w:tr>
      <w:tr w:rsidR="00794AFD" w:rsidRPr="008759D9" w14:paraId="2A7C8053" w14:textId="77777777" w:rsidTr="00794AFD">
        <w:tc>
          <w:tcPr>
            <w:tcW w:w="5421" w:type="dxa"/>
            <w:tcBorders>
              <w:top w:val="single" w:sz="4" w:space="0" w:color="auto"/>
              <w:left w:val="nil"/>
              <w:bottom w:val="single" w:sz="4" w:space="0" w:color="auto"/>
              <w:right w:val="nil"/>
            </w:tcBorders>
          </w:tcPr>
          <w:p w14:paraId="64FDCA14" w14:textId="77777777" w:rsidR="00794AFD" w:rsidRPr="00070ED0" w:rsidRDefault="00794AFD" w:rsidP="00794AFD">
            <w:pPr>
              <w:ind w:left="-108"/>
              <w:jc w:val="both"/>
              <w:rPr>
                <w:rFonts w:asciiTheme="minorHAnsi" w:hAnsiTheme="minorHAnsi" w:cs="Times New Roman"/>
                <w:sz w:val="20"/>
                <w:szCs w:val="20"/>
              </w:rPr>
            </w:pPr>
            <w:r w:rsidRPr="00070ED0">
              <w:rPr>
                <w:rFonts w:asciiTheme="minorHAnsi" w:hAnsiTheme="minorHAnsi" w:cs="Times New Roman"/>
                <w:sz w:val="20"/>
                <w:szCs w:val="20"/>
              </w:rPr>
              <w:t>Balance at 31 December 2019</w:t>
            </w:r>
          </w:p>
        </w:tc>
        <w:tc>
          <w:tcPr>
            <w:tcW w:w="1842" w:type="dxa"/>
            <w:tcBorders>
              <w:top w:val="single" w:sz="4" w:space="0" w:color="auto"/>
              <w:left w:val="nil"/>
              <w:bottom w:val="single" w:sz="4" w:space="0" w:color="auto"/>
              <w:right w:val="nil"/>
            </w:tcBorders>
          </w:tcPr>
          <w:p w14:paraId="773E4225"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166.0</w:t>
            </w:r>
          </w:p>
        </w:tc>
      </w:tr>
    </w:tbl>
    <w:p w14:paraId="0553C5CD" w14:textId="77777777" w:rsidR="00794AFD" w:rsidRPr="00070ED0" w:rsidRDefault="00794AFD" w:rsidP="00794AFD">
      <w:pPr>
        <w:rPr>
          <w:rFonts w:asciiTheme="minorHAnsi" w:hAnsiTheme="minorHAnsi" w:cs="Times New Roman"/>
          <w:sz w:val="20"/>
          <w:szCs w:val="20"/>
        </w:rPr>
      </w:pPr>
    </w:p>
    <w:p w14:paraId="79D7EE2F" w14:textId="77777777" w:rsidR="00794AFD" w:rsidRPr="00070ED0" w:rsidRDefault="00794AFD" w:rsidP="00794AFD">
      <w:pPr>
        <w:rPr>
          <w:rFonts w:asciiTheme="minorHAnsi" w:hAnsiTheme="minorHAnsi" w:cs="Times New Roman"/>
          <w:sz w:val="20"/>
          <w:szCs w:val="20"/>
        </w:rPr>
      </w:pPr>
      <w:r w:rsidRPr="00070ED0">
        <w:rPr>
          <w:rFonts w:asciiTheme="minorHAnsi" w:hAnsiTheme="minorHAnsi" w:cs="Times New Roman"/>
          <w:sz w:val="20"/>
          <w:szCs w:val="20"/>
        </w:rPr>
        <w:t>Derecognition of right of use assets is as a result of entering into a finance sub-lease and exiting early from an existing lease.</w:t>
      </w:r>
      <w:r>
        <w:rPr>
          <w:rFonts w:asciiTheme="minorHAnsi" w:hAnsiTheme="minorHAnsi" w:cs="Times New Roman"/>
          <w:sz w:val="20"/>
          <w:szCs w:val="20"/>
        </w:rPr>
        <w:t xml:space="preserve"> </w:t>
      </w:r>
    </w:p>
    <w:p w14:paraId="6BD9816D" w14:textId="77777777" w:rsidR="00794AFD" w:rsidRDefault="00794AFD" w:rsidP="00794AFD">
      <w:pPr>
        <w:rPr>
          <w:rFonts w:asciiTheme="minorHAnsi" w:hAnsiTheme="minorHAnsi" w:cs="Times New Roman"/>
          <w:sz w:val="20"/>
          <w:szCs w:val="20"/>
          <w:highlight w:val="yellow"/>
        </w:rPr>
      </w:pPr>
    </w:p>
    <w:p w14:paraId="12471249" w14:textId="77777777" w:rsidR="00794AFD" w:rsidRPr="00070ED0" w:rsidRDefault="00794AFD" w:rsidP="00794AFD">
      <w:pPr>
        <w:rPr>
          <w:rFonts w:asciiTheme="minorHAnsi" w:hAnsiTheme="minorHAnsi" w:cs="Times New Roman"/>
          <w:b/>
          <w:i/>
          <w:sz w:val="20"/>
          <w:szCs w:val="20"/>
        </w:rPr>
      </w:pPr>
      <w:r w:rsidRPr="00070ED0">
        <w:rPr>
          <w:rFonts w:asciiTheme="minorHAnsi" w:hAnsiTheme="minorHAnsi" w:cs="Times New Roman"/>
          <w:b/>
          <w:i/>
          <w:sz w:val="20"/>
          <w:szCs w:val="20"/>
        </w:rPr>
        <w:t>Leases as le</w:t>
      </w:r>
      <w:r>
        <w:rPr>
          <w:rFonts w:asciiTheme="minorHAnsi" w:hAnsiTheme="minorHAnsi" w:cs="Times New Roman"/>
          <w:b/>
          <w:i/>
          <w:sz w:val="20"/>
          <w:szCs w:val="20"/>
        </w:rPr>
        <w:t>s</w:t>
      </w:r>
      <w:r w:rsidRPr="00070ED0">
        <w:rPr>
          <w:rFonts w:asciiTheme="minorHAnsi" w:hAnsiTheme="minorHAnsi" w:cs="Times New Roman"/>
          <w:b/>
          <w:i/>
          <w:sz w:val="20"/>
          <w:szCs w:val="20"/>
        </w:rPr>
        <w:t>se</w:t>
      </w:r>
      <w:r>
        <w:rPr>
          <w:rFonts w:asciiTheme="minorHAnsi" w:hAnsiTheme="minorHAnsi" w:cs="Times New Roman"/>
          <w:b/>
          <w:i/>
          <w:sz w:val="20"/>
          <w:szCs w:val="20"/>
        </w:rPr>
        <w:t>e</w:t>
      </w:r>
    </w:p>
    <w:p w14:paraId="4B952C59" w14:textId="77777777" w:rsidR="00794AFD" w:rsidRPr="00070ED0" w:rsidRDefault="00794AFD" w:rsidP="00794AFD">
      <w:pPr>
        <w:rPr>
          <w:rFonts w:asciiTheme="minorHAnsi" w:hAnsiTheme="minorHAnsi" w:cs="Times New Roman"/>
          <w:sz w:val="20"/>
          <w:szCs w:val="20"/>
        </w:rPr>
      </w:pPr>
      <w:r w:rsidRPr="00070ED0">
        <w:rPr>
          <w:rFonts w:asciiTheme="minorHAnsi" w:hAnsiTheme="minorHAnsi" w:cs="Times New Roman"/>
          <w:sz w:val="20"/>
          <w:szCs w:val="20"/>
        </w:rPr>
        <w:t>Amounts recognised in profit or loss</w:t>
      </w:r>
      <w:r>
        <w:rPr>
          <w:rFonts w:asciiTheme="minorHAnsi" w:hAnsiTheme="minorHAnsi" w:cs="Times New Roman"/>
          <w:sz w:val="20"/>
          <w:szCs w:val="20"/>
        </w:rPr>
        <w:t>:</w:t>
      </w:r>
    </w:p>
    <w:p w14:paraId="34D32428" w14:textId="77777777" w:rsidR="00794AFD" w:rsidRPr="00070ED0" w:rsidRDefault="00794AFD" w:rsidP="00794AFD">
      <w:pPr>
        <w:rPr>
          <w:rFonts w:asciiTheme="minorHAnsi" w:hAnsiTheme="minorHAnsi" w:cs="Times New Roman"/>
          <w:i/>
          <w:sz w:val="20"/>
          <w:szCs w:val="20"/>
        </w:rPr>
      </w:pPr>
    </w:p>
    <w:tbl>
      <w:tblPr>
        <w:tblW w:w="7263" w:type="dxa"/>
        <w:tblInd w:w="108" w:type="dxa"/>
        <w:tblLayout w:type="fixed"/>
        <w:tblLook w:val="0000" w:firstRow="0" w:lastRow="0" w:firstColumn="0" w:lastColumn="0" w:noHBand="0" w:noVBand="0"/>
      </w:tblPr>
      <w:tblGrid>
        <w:gridCol w:w="5421"/>
        <w:gridCol w:w="1842"/>
      </w:tblGrid>
      <w:tr w:rsidR="00794AFD" w:rsidRPr="008759D9" w14:paraId="702DF2C3" w14:textId="77777777" w:rsidTr="00794AFD">
        <w:tc>
          <w:tcPr>
            <w:tcW w:w="5421" w:type="dxa"/>
            <w:tcBorders>
              <w:top w:val="single" w:sz="4" w:space="0" w:color="auto"/>
              <w:left w:val="nil"/>
              <w:bottom w:val="single" w:sz="4" w:space="0" w:color="auto"/>
              <w:right w:val="nil"/>
            </w:tcBorders>
          </w:tcPr>
          <w:p w14:paraId="231ED37F" w14:textId="77777777" w:rsidR="00794AFD" w:rsidRPr="00070ED0" w:rsidRDefault="00794AFD" w:rsidP="00794AFD">
            <w:pPr>
              <w:jc w:val="both"/>
              <w:rPr>
                <w:rFonts w:asciiTheme="minorHAnsi" w:hAnsiTheme="minorHAnsi" w:cs="Times New Roman"/>
                <w:sz w:val="20"/>
                <w:szCs w:val="20"/>
              </w:rPr>
            </w:pPr>
          </w:p>
        </w:tc>
        <w:tc>
          <w:tcPr>
            <w:tcW w:w="1842" w:type="dxa"/>
            <w:tcBorders>
              <w:top w:val="single" w:sz="4" w:space="0" w:color="auto"/>
              <w:left w:val="nil"/>
              <w:bottom w:val="single" w:sz="4" w:space="0" w:color="auto"/>
              <w:right w:val="nil"/>
            </w:tcBorders>
          </w:tcPr>
          <w:p w14:paraId="70A4751E"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£m</w:t>
            </w:r>
          </w:p>
        </w:tc>
      </w:tr>
      <w:tr w:rsidR="00794AFD" w:rsidRPr="008759D9" w14:paraId="67CF11C6" w14:textId="77777777" w:rsidTr="00794AFD">
        <w:trPr>
          <w:trHeight w:val="177"/>
        </w:trPr>
        <w:tc>
          <w:tcPr>
            <w:tcW w:w="5421" w:type="dxa"/>
            <w:tcBorders>
              <w:top w:val="single" w:sz="4" w:space="0" w:color="auto"/>
              <w:left w:val="nil"/>
              <w:right w:val="nil"/>
            </w:tcBorders>
          </w:tcPr>
          <w:p w14:paraId="2DC70E37" w14:textId="77777777" w:rsidR="00794AFD" w:rsidRPr="00070ED0" w:rsidRDefault="00794AFD" w:rsidP="00794AFD">
            <w:pPr>
              <w:ind w:left="-108"/>
              <w:rPr>
                <w:rFonts w:asciiTheme="minorHAnsi" w:hAnsiTheme="minorHAnsi" w:cs="Times New Roman"/>
                <w:b/>
                <w:sz w:val="20"/>
                <w:szCs w:val="20"/>
              </w:rPr>
            </w:pPr>
            <w:r w:rsidRPr="00070ED0">
              <w:rPr>
                <w:rFonts w:asciiTheme="minorHAnsi" w:hAnsiTheme="minorHAnsi" w:cs="Times New Roman"/>
                <w:b/>
                <w:sz w:val="20"/>
                <w:szCs w:val="20"/>
              </w:rPr>
              <w:t>2019 – Leases under IFRS 16</w:t>
            </w:r>
          </w:p>
        </w:tc>
        <w:tc>
          <w:tcPr>
            <w:tcW w:w="1842" w:type="dxa"/>
            <w:tcBorders>
              <w:top w:val="single" w:sz="4" w:space="0" w:color="auto"/>
              <w:left w:val="nil"/>
              <w:right w:val="nil"/>
            </w:tcBorders>
          </w:tcPr>
          <w:p w14:paraId="487912B2" w14:textId="77777777" w:rsidR="00794AFD" w:rsidRPr="00070ED0" w:rsidRDefault="00794AFD" w:rsidP="00794AFD">
            <w:pPr>
              <w:jc w:val="right"/>
              <w:rPr>
                <w:rFonts w:asciiTheme="minorHAnsi" w:hAnsiTheme="minorHAnsi" w:cs="Times New Roman"/>
                <w:b/>
                <w:bCs/>
                <w:sz w:val="20"/>
                <w:szCs w:val="20"/>
              </w:rPr>
            </w:pPr>
          </w:p>
        </w:tc>
      </w:tr>
      <w:tr w:rsidR="00794AFD" w:rsidRPr="008759D9" w14:paraId="0081A992" w14:textId="77777777" w:rsidTr="00794AFD">
        <w:trPr>
          <w:trHeight w:val="177"/>
        </w:trPr>
        <w:tc>
          <w:tcPr>
            <w:tcW w:w="5421" w:type="dxa"/>
            <w:tcBorders>
              <w:left w:val="nil"/>
              <w:bottom w:val="nil"/>
              <w:right w:val="nil"/>
            </w:tcBorders>
          </w:tcPr>
          <w:p w14:paraId="0DE9D457" w14:textId="77777777" w:rsidR="00794AFD" w:rsidRPr="00070ED0" w:rsidRDefault="00794AFD" w:rsidP="00794AFD">
            <w:pPr>
              <w:ind w:left="-108"/>
              <w:rPr>
                <w:rFonts w:asciiTheme="minorHAnsi" w:hAnsiTheme="minorHAnsi" w:cs="Times New Roman"/>
                <w:sz w:val="20"/>
                <w:szCs w:val="20"/>
              </w:rPr>
            </w:pPr>
            <w:r>
              <w:rPr>
                <w:rFonts w:asciiTheme="minorHAnsi" w:hAnsiTheme="minorHAnsi" w:cs="Times New Roman"/>
                <w:sz w:val="20"/>
                <w:szCs w:val="20"/>
              </w:rPr>
              <w:t>Depreciation</w:t>
            </w:r>
          </w:p>
        </w:tc>
        <w:tc>
          <w:tcPr>
            <w:tcW w:w="1842" w:type="dxa"/>
            <w:tcBorders>
              <w:left w:val="nil"/>
              <w:right w:val="nil"/>
            </w:tcBorders>
          </w:tcPr>
          <w:p w14:paraId="5E83C74C" w14:textId="77777777" w:rsidR="00794AFD" w:rsidRPr="00070ED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36.7</w:t>
            </w:r>
          </w:p>
        </w:tc>
      </w:tr>
      <w:tr w:rsidR="00794AFD" w:rsidRPr="008759D9" w14:paraId="17DA42F9" w14:textId="77777777" w:rsidTr="00794AFD">
        <w:trPr>
          <w:trHeight w:val="177"/>
        </w:trPr>
        <w:tc>
          <w:tcPr>
            <w:tcW w:w="5421" w:type="dxa"/>
            <w:tcBorders>
              <w:left w:val="nil"/>
              <w:bottom w:val="nil"/>
              <w:right w:val="nil"/>
            </w:tcBorders>
          </w:tcPr>
          <w:p w14:paraId="0952FC4A"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Interest on lease liabilities</w:t>
            </w:r>
          </w:p>
        </w:tc>
        <w:tc>
          <w:tcPr>
            <w:tcW w:w="1842" w:type="dxa"/>
            <w:tcBorders>
              <w:left w:val="nil"/>
              <w:right w:val="nil"/>
            </w:tcBorders>
          </w:tcPr>
          <w:p w14:paraId="4FA569D7"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5.0</w:t>
            </w:r>
          </w:p>
        </w:tc>
      </w:tr>
      <w:tr w:rsidR="00794AFD" w:rsidRPr="008759D9" w14:paraId="040871EE" w14:textId="77777777" w:rsidTr="00794AFD">
        <w:tc>
          <w:tcPr>
            <w:tcW w:w="5421" w:type="dxa"/>
            <w:tcBorders>
              <w:top w:val="nil"/>
              <w:left w:val="nil"/>
              <w:right w:val="nil"/>
            </w:tcBorders>
          </w:tcPr>
          <w:p w14:paraId="2B480ECB"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Income from sub-leasing right of use assets</w:t>
            </w:r>
          </w:p>
        </w:tc>
        <w:tc>
          <w:tcPr>
            <w:tcW w:w="1842" w:type="dxa"/>
            <w:tcBorders>
              <w:top w:val="nil"/>
              <w:left w:val="nil"/>
              <w:right w:val="nil"/>
            </w:tcBorders>
          </w:tcPr>
          <w:p w14:paraId="066C4E67"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(1.2)</w:t>
            </w:r>
          </w:p>
        </w:tc>
      </w:tr>
      <w:tr w:rsidR="00794AFD" w:rsidRPr="008759D9" w14:paraId="36D05D37" w14:textId="77777777" w:rsidTr="00794AFD">
        <w:tc>
          <w:tcPr>
            <w:tcW w:w="5421" w:type="dxa"/>
            <w:tcBorders>
              <w:top w:val="nil"/>
              <w:left w:val="nil"/>
              <w:right w:val="nil"/>
            </w:tcBorders>
          </w:tcPr>
          <w:p w14:paraId="530766E4"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Expense relating to short- term lease</w:t>
            </w:r>
          </w:p>
        </w:tc>
        <w:tc>
          <w:tcPr>
            <w:tcW w:w="1842" w:type="dxa"/>
            <w:tcBorders>
              <w:left w:val="nil"/>
              <w:right w:val="nil"/>
            </w:tcBorders>
          </w:tcPr>
          <w:p w14:paraId="5E0311D7"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0.1</w:t>
            </w:r>
          </w:p>
        </w:tc>
      </w:tr>
    </w:tbl>
    <w:p w14:paraId="7294E756" w14:textId="77777777" w:rsidR="00794AFD" w:rsidRPr="00070ED0" w:rsidRDefault="00794AFD" w:rsidP="00794AFD">
      <w:pPr>
        <w:rPr>
          <w:rFonts w:asciiTheme="minorHAnsi" w:hAnsiTheme="minorHAnsi" w:cs="Times New Roman"/>
          <w:i/>
          <w:sz w:val="20"/>
          <w:szCs w:val="20"/>
        </w:rPr>
      </w:pPr>
    </w:p>
    <w:tbl>
      <w:tblPr>
        <w:tblW w:w="7263" w:type="dxa"/>
        <w:tblInd w:w="108" w:type="dxa"/>
        <w:tblLayout w:type="fixed"/>
        <w:tblLook w:val="0000" w:firstRow="0" w:lastRow="0" w:firstColumn="0" w:lastColumn="0" w:noHBand="0" w:noVBand="0"/>
      </w:tblPr>
      <w:tblGrid>
        <w:gridCol w:w="5421"/>
        <w:gridCol w:w="1842"/>
      </w:tblGrid>
      <w:tr w:rsidR="00794AFD" w:rsidRPr="008759D9" w14:paraId="26C1D137" w14:textId="77777777" w:rsidTr="00794AFD">
        <w:tc>
          <w:tcPr>
            <w:tcW w:w="5421" w:type="dxa"/>
            <w:tcBorders>
              <w:top w:val="single" w:sz="4" w:space="0" w:color="auto"/>
              <w:left w:val="nil"/>
              <w:bottom w:val="single" w:sz="4" w:space="0" w:color="auto"/>
              <w:right w:val="nil"/>
            </w:tcBorders>
          </w:tcPr>
          <w:p w14:paraId="557BBEB5" w14:textId="77777777" w:rsidR="00794AFD" w:rsidRPr="00070ED0" w:rsidRDefault="00794AFD" w:rsidP="00794AFD">
            <w:pPr>
              <w:jc w:val="both"/>
              <w:rPr>
                <w:rFonts w:asciiTheme="minorHAnsi" w:hAnsiTheme="minorHAnsi" w:cs="Times New Roman"/>
                <w:sz w:val="20"/>
                <w:szCs w:val="20"/>
              </w:rPr>
            </w:pPr>
          </w:p>
        </w:tc>
        <w:tc>
          <w:tcPr>
            <w:tcW w:w="1842" w:type="dxa"/>
            <w:tcBorders>
              <w:top w:val="single" w:sz="4" w:space="0" w:color="auto"/>
              <w:left w:val="nil"/>
              <w:bottom w:val="single" w:sz="4" w:space="0" w:color="auto"/>
              <w:right w:val="nil"/>
            </w:tcBorders>
          </w:tcPr>
          <w:p w14:paraId="07501853"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£m</w:t>
            </w:r>
          </w:p>
        </w:tc>
      </w:tr>
      <w:tr w:rsidR="00794AFD" w:rsidRPr="008759D9" w14:paraId="52CFC1B6" w14:textId="77777777" w:rsidTr="00794AFD">
        <w:trPr>
          <w:trHeight w:val="177"/>
        </w:trPr>
        <w:tc>
          <w:tcPr>
            <w:tcW w:w="5421" w:type="dxa"/>
            <w:tcBorders>
              <w:top w:val="single" w:sz="4" w:space="0" w:color="auto"/>
              <w:left w:val="nil"/>
              <w:right w:val="nil"/>
            </w:tcBorders>
          </w:tcPr>
          <w:p w14:paraId="7483F322" w14:textId="77777777" w:rsidR="00794AFD" w:rsidRPr="00070ED0" w:rsidRDefault="00794AFD" w:rsidP="00794AFD">
            <w:pPr>
              <w:ind w:left="-108"/>
              <w:rPr>
                <w:rFonts w:asciiTheme="minorHAnsi" w:hAnsiTheme="minorHAnsi" w:cs="Times New Roman"/>
                <w:b/>
                <w:sz w:val="20"/>
                <w:szCs w:val="20"/>
              </w:rPr>
            </w:pPr>
            <w:r w:rsidRPr="00070ED0">
              <w:rPr>
                <w:rFonts w:asciiTheme="minorHAnsi" w:hAnsiTheme="minorHAnsi" w:cs="Times New Roman"/>
                <w:b/>
                <w:sz w:val="20"/>
                <w:szCs w:val="20"/>
              </w:rPr>
              <w:t>2018 – Leases under IAS 17</w:t>
            </w:r>
          </w:p>
        </w:tc>
        <w:tc>
          <w:tcPr>
            <w:tcW w:w="1842" w:type="dxa"/>
            <w:tcBorders>
              <w:top w:val="single" w:sz="4" w:space="0" w:color="auto"/>
              <w:left w:val="nil"/>
              <w:right w:val="nil"/>
            </w:tcBorders>
          </w:tcPr>
          <w:p w14:paraId="05135C7C" w14:textId="77777777" w:rsidR="00794AFD" w:rsidRPr="00070ED0" w:rsidRDefault="00794AFD" w:rsidP="00794AFD">
            <w:pPr>
              <w:jc w:val="right"/>
              <w:rPr>
                <w:rFonts w:asciiTheme="minorHAnsi" w:hAnsiTheme="minorHAnsi" w:cs="Times New Roman"/>
                <w:b/>
                <w:bCs/>
                <w:sz w:val="20"/>
                <w:szCs w:val="20"/>
              </w:rPr>
            </w:pPr>
          </w:p>
        </w:tc>
      </w:tr>
      <w:tr w:rsidR="00794AFD" w:rsidRPr="008759D9" w14:paraId="102D95E8" w14:textId="77777777" w:rsidTr="00794AFD">
        <w:trPr>
          <w:trHeight w:val="177"/>
        </w:trPr>
        <w:tc>
          <w:tcPr>
            <w:tcW w:w="5421" w:type="dxa"/>
            <w:tcBorders>
              <w:left w:val="nil"/>
              <w:bottom w:val="nil"/>
              <w:right w:val="nil"/>
            </w:tcBorders>
          </w:tcPr>
          <w:p w14:paraId="07473398"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Lease expense</w:t>
            </w:r>
          </w:p>
        </w:tc>
        <w:tc>
          <w:tcPr>
            <w:tcW w:w="1842" w:type="dxa"/>
            <w:tcBorders>
              <w:left w:val="nil"/>
              <w:right w:val="nil"/>
            </w:tcBorders>
          </w:tcPr>
          <w:p w14:paraId="519304D7"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39.1</w:t>
            </w:r>
          </w:p>
        </w:tc>
      </w:tr>
      <w:tr w:rsidR="00794AFD" w:rsidRPr="008759D9" w14:paraId="34AAA484" w14:textId="77777777" w:rsidTr="00794AFD">
        <w:tc>
          <w:tcPr>
            <w:tcW w:w="5421" w:type="dxa"/>
            <w:tcBorders>
              <w:top w:val="nil"/>
              <w:left w:val="nil"/>
              <w:right w:val="nil"/>
            </w:tcBorders>
          </w:tcPr>
          <w:p w14:paraId="3FDCAB0A"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Contingent rent expense</w:t>
            </w:r>
          </w:p>
        </w:tc>
        <w:tc>
          <w:tcPr>
            <w:tcW w:w="1842" w:type="dxa"/>
            <w:tcBorders>
              <w:top w:val="nil"/>
              <w:left w:val="nil"/>
              <w:right w:val="nil"/>
            </w:tcBorders>
          </w:tcPr>
          <w:p w14:paraId="0F9A7C99"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0.1</w:t>
            </w:r>
          </w:p>
        </w:tc>
      </w:tr>
      <w:tr w:rsidR="00794AFD" w:rsidRPr="00E72E3D" w14:paraId="14179DC8" w14:textId="77777777" w:rsidTr="00794AFD">
        <w:tc>
          <w:tcPr>
            <w:tcW w:w="5421" w:type="dxa"/>
            <w:tcBorders>
              <w:top w:val="nil"/>
              <w:left w:val="nil"/>
              <w:right w:val="nil"/>
            </w:tcBorders>
          </w:tcPr>
          <w:p w14:paraId="117638DE"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Sub-lease income</w:t>
            </w:r>
          </w:p>
        </w:tc>
        <w:tc>
          <w:tcPr>
            <w:tcW w:w="1842" w:type="dxa"/>
            <w:tcBorders>
              <w:left w:val="nil"/>
              <w:right w:val="nil"/>
            </w:tcBorders>
          </w:tcPr>
          <w:p w14:paraId="7F70591D" w14:textId="77777777" w:rsidR="00794AFD" w:rsidRPr="00070ED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w:t>
            </w:r>
            <w:r w:rsidRPr="00070ED0">
              <w:rPr>
                <w:rFonts w:asciiTheme="minorHAnsi" w:hAnsiTheme="minorHAnsi" w:cs="Times New Roman"/>
                <w:b/>
                <w:bCs/>
                <w:sz w:val="20"/>
                <w:szCs w:val="20"/>
              </w:rPr>
              <w:t>1.8</w:t>
            </w:r>
            <w:r>
              <w:rPr>
                <w:rFonts w:asciiTheme="minorHAnsi" w:hAnsiTheme="minorHAnsi" w:cs="Times New Roman"/>
                <w:b/>
                <w:bCs/>
                <w:sz w:val="20"/>
                <w:szCs w:val="20"/>
              </w:rPr>
              <w:t>)</w:t>
            </w:r>
          </w:p>
        </w:tc>
      </w:tr>
    </w:tbl>
    <w:p w14:paraId="690CB907" w14:textId="77777777" w:rsidR="00794AFD" w:rsidRDefault="00794AFD" w:rsidP="00794AFD">
      <w:pPr>
        <w:rPr>
          <w:rFonts w:asciiTheme="minorHAnsi" w:hAnsiTheme="minorHAnsi" w:cs="Times New Roman"/>
          <w:sz w:val="20"/>
          <w:szCs w:val="20"/>
          <w:highlight w:val="yellow"/>
        </w:rPr>
      </w:pPr>
    </w:p>
    <w:p w14:paraId="2823244D" w14:textId="77777777" w:rsidR="00794AFD" w:rsidRPr="001C5950" w:rsidRDefault="00794AFD" w:rsidP="00794AFD">
      <w:pPr>
        <w:widowControl/>
        <w:rPr>
          <w:rFonts w:asciiTheme="minorHAnsi" w:hAnsiTheme="minorHAnsi" w:cs="Times New Roman"/>
          <w:b/>
          <w:bCs/>
          <w:sz w:val="20"/>
          <w:szCs w:val="20"/>
        </w:rPr>
      </w:pPr>
      <w:r>
        <w:rPr>
          <w:rFonts w:asciiTheme="minorHAnsi" w:hAnsiTheme="minorHAnsi" w:cs="Times New Roman"/>
          <w:b/>
          <w:bCs/>
          <w:sz w:val="20"/>
          <w:szCs w:val="20"/>
        </w:rPr>
        <w:lastRenderedPageBreak/>
        <w:t>15</w:t>
      </w:r>
      <w:r w:rsidRPr="001C5950">
        <w:rPr>
          <w:rFonts w:asciiTheme="minorHAnsi" w:hAnsiTheme="minorHAnsi" w:cs="Times New Roman"/>
          <w:b/>
          <w:bCs/>
          <w:sz w:val="20"/>
          <w:szCs w:val="20"/>
        </w:rPr>
        <w:t>.  Commitments and contingencies (continued)</w:t>
      </w:r>
    </w:p>
    <w:p w14:paraId="673460E2" w14:textId="77777777" w:rsidR="00794AFD" w:rsidRPr="001C5950" w:rsidRDefault="00794AFD" w:rsidP="00794AFD">
      <w:pPr>
        <w:widowControl/>
        <w:rPr>
          <w:rFonts w:asciiTheme="minorHAnsi" w:hAnsiTheme="minorHAnsi" w:cs="Times New Roman"/>
          <w:sz w:val="20"/>
          <w:szCs w:val="20"/>
          <w:lang w:val="en-IE"/>
        </w:rPr>
      </w:pPr>
    </w:p>
    <w:p w14:paraId="5F759FCE" w14:textId="77777777" w:rsidR="00794AFD" w:rsidRPr="007D7976" w:rsidRDefault="00794AFD" w:rsidP="00794AFD">
      <w:pPr>
        <w:rPr>
          <w:rFonts w:asciiTheme="minorHAnsi" w:hAnsiTheme="minorHAnsi" w:cs="Times New Roman"/>
          <w:b/>
          <w:bCs/>
          <w:i/>
          <w:sz w:val="20"/>
          <w:szCs w:val="20"/>
        </w:rPr>
      </w:pPr>
      <w:r w:rsidRPr="009D1AF0">
        <w:rPr>
          <w:rFonts w:asciiTheme="minorHAnsi" w:hAnsiTheme="minorHAnsi" w:cs="Times New Roman"/>
          <w:b/>
          <w:bCs/>
          <w:i/>
          <w:sz w:val="20"/>
          <w:szCs w:val="20"/>
        </w:rPr>
        <w:t>Lease</w:t>
      </w:r>
      <w:r w:rsidRPr="00C340F7">
        <w:rPr>
          <w:rFonts w:asciiTheme="minorHAnsi" w:hAnsiTheme="minorHAnsi" w:cs="Times New Roman"/>
          <w:b/>
          <w:bCs/>
          <w:i/>
          <w:sz w:val="20"/>
          <w:szCs w:val="20"/>
        </w:rPr>
        <w:t xml:space="preserve"> </w:t>
      </w:r>
      <w:r>
        <w:rPr>
          <w:rFonts w:asciiTheme="minorHAnsi" w:hAnsiTheme="minorHAnsi" w:cs="Times New Roman"/>
          <w:b/>
          <w:bCs/>
          <w:i/>
          <w:sz w:val="20"/>
          <w:szCs w:val="20"/>
        </w:rPr>
        <w:t>options</w:t>
      </w:r>
      <w:r w:rsidRPr="00C340F7">
        <w:rPr>
          <w:rFonts w:asciiTheme="minorHAnsi" w:hAnsiTheme="minorHAnsi" w:cs="Times New Roman"/>
          <w:b/>
          <w:bCs/>
          <w:i/>
          <w:sz w:val="20"/>
          <w:szCs w:val="20"/>
        </w:rPr>
        <w:t xml:space="preserve"> (</w:t>
      </w:r>
      <w:r w:rsidRPr="007D7976">
        <w:rPr>
          <w:rFonts w:asciiTheme="minorHAnsi" w:hAnsiTheme="minorHAnsi" w:cs="Times New Roman"/>
          <w:b/>
          <w:bCs/>
          <w:i/>
          <w:sz w:val="20"/>
          <w:szCs w:val="20"/>
        </w:rPr>
        <w:t>See Note 2)</w:t>
      </w:r>
    </w:p>
    <w:p w14:paraId="3E809CA5" w14:textId="77777777" w:rsidR="00794AFD" w:rsidRPr="007D7976" w:rsidRDefault="00794AFD" w:rsidP="00794AFD">
      <w:pPr>
        <w:rPr>
          <w:rFonts w:asciiTheme="minorHAnsi" w:hAnsiTheme="minorHAnsi" w:cs="Times New Roman"/>
          <w:bCs/>
          <w:sz w:val="12"/>
          <w:szCs w:val="12"/>
        </w:rPr>
      </w:pPr>
    </w:p>
    <w:p w14:paraId="6706349D" w14:textId="77777777" w:rsidR="00794AFD" w:rsidRPr="00ED4778" w:rsidRDefault="00794AFD" w:rsidP="00794AFD">
      <w:pPr>
        <w:rPr>
          <w:rFonts w:asciiTheme="minorHAnsi" w:hAnsiTheme="minorHAnsi" w:cs="Times New Roman"/>
          <w:bCs/>
          <w:sz w:val="20"/>
          <w:szCs w:val="20"/>
        </w:rPr>
      </w:pPr>
      <w:r w:rsidRPr="00CD207B">
        <w:rPr>
          <w:rFonts w:asciiTheme="minorHAnsi" w:hAnsiTheme="minorHAnsi" w:cs="Times New Roman"/>
          <w:bCs/>
          <w:sz w:val="20"/>
          <w:szCs w:val="20"/>
        </w:rPr>
        <w:t>Some property leases</w:t>
      </w:r>
      <w:r w:rsidRPr="00ED4778">
        <w:rPr>
          <w:rFonts w:asciiTheme="minorHAnsi" w:hAnsiTheme="minorHAnsi" w:cs="Times New Roman"/>
          <w:bCs/>
          <w:sz w:val="20"/>
          <w:szCs w:val="20"/>
        </w:rPr>
        <w:t xml:space="preserve"> particularly in our retail business contain extension</w:t>
      </w:r>
      <w:r>
        <w:rPr>
          <w:rFonts w:asciiTheme="minorHAnsi" w:hAnsiTheme="minorHAnsi" w:cs="Times New Roman"/>
          <w:bCs/>
          <w:sz w:val="20"/>
          <w:szCs w:val="20"/>
        </w:rPr>
        <w:t xml:space="preserve"> and break</w:t>
      </w:r>
      <w:r w:rsidRPr="00ED4778">
        <w:rPr>
          <w:rFonts w:asciiTheme="minorHAnsi" w:hAnsiTheme="minorHAnsi" w:cs="Times New Roman"/>
          <w:bCs/>
          <w:sz w:val="20"/>
          <w:szCs w:val="20"/>
        </w:rPr>
        <w:t xml:space="preserve"> options to provide operational flexibility. These options are held by the Group and not by the lessors. The Group assesses whether it is reasonably certain to exercise these options at lease commencement date. When assessing these options at the date of transition, the Group was mindful of the regulatory changes in 2019 particularly in the UK and the impact it would have on future shop profitability and whether it could state with reasonable certainty that these options would be ex</w:t>
      </w:r>
      <w:r>
        <w:rPr>
          <w:rFonts w:asciiTheme="minorHAnsi" w:hAnsiTheme="minorHAnsi" w:cs="Times New Roman"/>
          <w:bCs/>
          <w:sz w:val="20"/>
          <w:szCs w:val="20"/>
        </w:rPr>
        <w:t>ercised</w:t>
      </w:r>
      <w:r w:rsidRPr="00ED4778">
        <w:rPr>
          <w:rFonts w:asciiTheme="minorHAnsi" w:hAnsiTheme="minorHAnsi" w:cs="Times New Roman"/>
          <w:bCs/>
          <w:sz w:val="20"/>
          <w:szCs w:val="20"/>
        </w:rPr>
        <w:t>. The Group is of the view that other than the underlying trading of the shop, there is no economic incentive to extend a particular lease. For example, the rents are at market rates, there are no significant leasehold improvements and there are no significant costs relating to exiting or relocating.</w:t>
      </w:r>
    </w:p>
    <w:p w14:paraId="741D6098" w14:textId="77777777" w:rsidR="00794AFD" w:rsidRPr="00ED4778" w:rsidRDefault="00794AFD" w:rsidP="00794AFD">
      <w:pPr>
        <w:rPr>
          <w:rFonts w:asciiTheme="minorHAnsi" w:hAnsiTheme="minorHAnsi" w:cs="Times New Roman"/>
          <w:bCs/>
          <w:sz w:val="20"/>
          <w:szCs w:val="20"/>
        </w:rPr>
      </w:pPr>
    </w:p>
    <w:p w14:paraId="260FA733" w14:textId="77777777" w:rsidR="00794AFD" w:rsidRPr="00ED4778" w:rsidRDefault="00794AFD" w:rsidP="00794AFD">
      <w:pPr>
        <w:rPr>
          <w:rFonts w:asciiTheme="minorHAnsi" w:hAnsiTheme="minorHAnsi" w:cs="Times New Roman"/>
          <w:bCs/>
          <w:sz w:val="20"/>
          <w:szCs w:val="20"/>
        </w:rPr>
      </w:pPr>
      <w:r w:rsidRPr="00ED4778">
        <w:rPr>
          <w:rFonts w:asciiTheme="minorHAnsi" w:hAnsiTheme="minorHAnsi" w:cs="Times New Roman"/>
          <w:bCs/>
          <w:sz w:val="20"/>
          <w:szCs w:val="20"/>
        </w:rPr>
        <w:t>During 2019, as these regulatory changes have been implemented and the Group has obtained greater knowledge of the potential impact on profitability, it has reassessed the likelihood of lease</w:t>
      </w:r>
      <w:r>
        <w:rPr>
          <w:rFonts w:asciiTheme="minorHAnsi" w:hAnsiTheme="minorHAnsi" w:cs="Times New Roman"/>
          <w:bCs/>
          <w:sz w:val="20"/>
          <w:szCs w:val="20"/>
        </w:rPr>
        <w:t xml:space="preserve"> terms</w:t>
      </w:r>
      <w:r w:rsidRPr="00ED4778">
        <w:rPr>
          <w:rFonts w:asciiTheme="minorHAnsi" w:hAnsiTheme="minorHAnsi" w:cs="Times New Roman"/>
          <w:bCs/>
          <w:sz w:val="20"/>
          <w:szCs w:val="20"/>
        </w:rPr>
        <w:t xml:space="preserve"> be</w:t>
      </w:r>
      <w:r>
        <w:rPr>
          <w:rFonts w:asciiTheme="minorHAnsi" w:hAnsiTheme="minorHAnsi" w:cs="Times New Roman"/>
          <w:bCs/>
          <w:sz w:val="20"/>
          <w:szCs w:val="20"/>
        </w:rPr>
        <w:t>ing</w:t>
      </w:r>
      <w:r w:rsidRPr="00ED4778">
        <w:rPr>
          <w:rFonts w:asciiTheme="minorHAnsi" w:hAnsiTheme="minorHAnsi" w:cs="Times New Roman"/>
          <w:bCs/>
          <w:sz w:val="20"/>
          <w:szCs w:val="20"/>
        </w:rPr>
        <w:t xml:space="preserve"> extended</w:t>
      </w:r>
      <w:r>
        <w:rPr>
          <w:rFonts w:asciiTheme="minorHAnsi" w:hAnsiTheme="minorHAnsi" w:cs="Times New Roman"/>
          <w:bCs/>
          <w:sz w:val="20"/>
          <w:szCs w:val="20"/>
        </w:rPr>
        <w:t xml:space="preserve"> and revised its lease term assumptions</w:t>
      </w:r>
      <w:r w:rsidRPr="00ED4778">
        <w:rPr>
          <w:rFonts w:asciiTheme="minorHAnsi" w:hAnsiTheme="minorHAnsi" w:cs="Times New Roman"/>
          <w:bCs/>
          <w:sz w:val="20"/>
          <w:szCs w:val="20"/>
        </w:rPr>
        <w:t>.</w:t>
      </w:r>
    </w:p>
    <w:p w14:paraId="418E0C4B" w14:textId="77777777" w:rsidR="00794AFD" w:rsidRPr="00CD207B" w:rsidRDefault="00794AFD" w:rsidP="00794AFD">
      <w:pPr>
        <w:rPr>
          <w:rFonts w:asciiTheme="minorHAnsi" w:hAnsiTheme="minorHAnsi" w:cs="Times New Roman"/>
          <w:bCs/>
          <w:sz w:val="20"/>
          <w:szCs w:val="20"/>
        </w:rPr>
      </w:pPr>
    </w:p>
    <w:p w14:paraId="017A7F01" w14:textId="77777777" w:rsidR="00794AFD" w:rsidRPr="001C5950" w:rsidRDefault="00794AFD" w:rsidP="00794AFD">
      <w:pPr>
        <w:rPr>
          <w:rFonts w:asciiTheme="minorHAnsi" w:hAnsiTheme="minorHAnsi" w:cs="Times New Roman"/>
          <w:bCs/>
          <w:sz w:val="20"/>
          <w:szCs w:val="20"/>
        </w:rPr>
      </w:pPr>
      <w:r w:rsidRPr="00CD207B">
        <w:rPr>
          <w:rFonts w:asciiTheme="minorHAnsi" w:hAnsiTheme="minorHAnsi" w:cs="Times New Roman"/>
          <w:bCs/>
          <w:sz w:val="20"/>
          <w:szCs w:val="20"/>
        </w:rPr>
        <w:t xml:space="preserve">The Group has estimated that the potential future lease payments should it exercise </w:t>
      </w:r>
      <w:r w:rsidRPr="00ED4778">
        <w:rPr>
          <w:rFonts w:asciiTheme="minorHAnsi" w:hAnsiTheme="minorHAnsi" w:cs="Times New Roman"/>
          <w:bCs/>
          <w:sz w:val="20"/>
          <w:szCs w:val="20"/>
        </w:rPr>
        <w:t>all</w:t>
      </w:r>
      <w:r w:rsidRPr="00CD207B">
        <w:rPr>
          <w:rFonts w:asciiTheme="minorHAnsi" w:hAnsiTheme="minorHAnsi" w:cs="Times New Roman"/>
          <w:bCs/>
          <w:sz w:val="20"/>
          <w:szCs w:val="20"/>
        </w:rPr>
        <w:t xml:space="preserve"> options</w:t>
      </w:r>
      <w:r>
        <w:rPr>
          <w:rFonts w:asciiTheme="minorHAnsi" w:hAnsiTheme="minorHAnsi" w:cs="Times New Roman"/>
          <w:bCs/>
          <w:sz w:val="20"/>
          <w:szCs w:val="20"/>
        </w:rPr>
        <w:t xml:space="preserve"> or not exercise any break clauses</w:t>
      </w:r>
      <w:r w:rsidRPr="00CD207B">
        <w:rPr>
          <w:rFonts w:asciiTheme="minorHAnsi" w:hAnsiTheme="minorHAnsi" w:cs="Times New Roman"/>
          <w:bCs/>
          <w:sz w:val="20"/>
          <w:szCs w:val="20"/>
        </w:rPr>
        <w:t xml:space="preserve"> would result in an increase in the leas</w:t>
      </w:r>
      <w:r>
        <w:rPr>
          <w:rFonts w:asciiTheme="minorHAnsi" w:hAnsiTheme="minorHAnsi" w:cs="Times New Roman"/>
          <w:bCs/>
          <w:sz w:val="20"/>
          <w:szCs w:val="20"/>
        </w:rPr>
        <w:t>e asset and</w:t>
      </w:r>
      <w:r w:rsidRPr="00CD207B">
        <w:rPr>
          <w:rFonts w:asciiTheme="minorHAnsi" w:hAnsiTheme="minorHAnsi" w:cs="Times New Roman"/>
          <w:bCs/>
          <w:sz w:val="20"/>
          <w:szCs w:val="20"/>
        </w:rPr>
        <w:t xml:space="preserve"> </w:t>
      </w:r>
      <w:r w:rsidRPr="00E37505">
        <w:rPr>
          <w:rFonts w:asciiTheme="minorHAnsi" w:hAnsiTheme="minorHAnsi" w:cs="Times New Roman"/>
          <w:bCs/>
          <w:sz w:val="20"/>
          <w:szCs w:val="20"/>
        </w:rPr>
        <w:t xml:space="preserve">liability of </w:t>
      </w:r>
      <w:r w:rsidRPr="000944E4">
        <w:rPr>
          <w:rFonts w:asciiTheme="minorHAnsi" w:hAnsiTheme="minorHAnsi" w:cs="Times New Roman"/>
          <w:bCs/>
          <w:sz w:val="20"/>
          <w:szCs w:val="20"/>
        </w:rPr>
        <w:t>£19m.</w:t>
      </w:r>
      <w:r>
        <w:rPr>
          <w:rFonts w:asciiTheme="minorHAnsi" w:hAnsiTheme="minorHAnsi" w:cs="Times New Roman"/>
          <w:bCs/>
          <w:sz w:val="20"/>
          <w:szCs w:val="20"/>
        </w:rPr>
        <w:t xml:space="preserve"> </w:t>
      </w:r>
    </w:p>
    <w:p w14:paraId="5366F01A" w14:textId="77777777" w:rsidR="00794AFD" w:rsidRDefault="00794AFD" w:rsidP="00794AFD">
      <w:pPr>
        <w:rPr>
          <w:rFonts w:asciiTheme="minorHAnsi" w:hAnsiTheme="minorHAnsi" w:cs="Times New Roman"/>
          <w:sz w:val="20"/>
          <w:szCs w:val="20"/>
          <w:highlight w:val="yellow"/>
        </w:rPr>
      </w:pPr>
    </w:p>
    <w:p w14:paraId="2F15EBC4" w14:textId="77777777" w:rsidR="00794AFD" w:rsidRPr="00070ED0" w:rsidRDefault="00794AFD" w:rsidP="00794AFD">
      <w:pPr>
        <w:rPr>
          <w:rFonts w:asciiTheme="minorHAnsi" w:hAnsiTheme="minorHAnsi" w:cs="Times New Roman"/>
          <w:b/>
          <w:i/>
          <w:sz w:val="20"/>
          <w:szCs w:val="20"/>
        </w:rPr>
      </w:pPr>
      <w:r w:rsidRPr="00070ED0">
        <w:rPr>
          <w:rFonts w:asciiTheme="minorHAnsi" w:hAnsiTheme="minorHAnsi" w:cs="Times New Roman"/>
          <w:b/>
          <w:i/>
          <w:sz w:val="20"/>
          <w:szCs w:val="20"/>
        </w:rPr>
        <w:t>Leases as lessor</w:t>
      </w:r>
    </w:p>
    <w:p w14:paraId="770286BB" w14:textId="77777777" w:rsidR="00794AFD" w:rsidRDefault="00794AFD" w:rsidP="00794AFD">
      <w:pPr>
        <w:rPr>
          <w:rFonts w:asciiTheme="minorHAnsi" w:hAnsiTheme="minorHAnsi" w:cs="Times New Roman"/>
          <w:sz w:val="20"/>
          <w:szCs w:val="20"/>
          <w:highlight w:val="yellow"/>
        </w:rPr>
      </w:pPr>
    </w:p>
    <w:p w14:paraId="36F7AD8B" w14:textId="77777777" w:rsidR="00794AFD" w:rsidRPr="00070ED0" w:rsidRDefault="00794AFD" w:rsidP="00794AFD">
      <w:pPr>
        <w:rPr>
          <w:rFonts w:asciiTheme="minorHAnsi" w:hAnsiTheme="minorHAnsi" w:cs="Times New Roman"/>
          <w:i/>
          <w:sz w:val="20"/>
          <w:szCs w:val="20"/>
        </w:rPr>
      </w:pPr>
      <w:r w:rsidRPr="00070ED0">
        <w:rPr>
          <w:rFonts w:asciiTheme="minorHAnsi" w:hAnsiTheme="minorHAnsi" w:cs="Times New Roman"/>
          <w:i/>
          <w:sz w:val="20"/>
          <w:szCs w:val="20"/>
        </w:rPr>
        <w:t>Finance lease</w:t>
      </w:r>
    </w:p>
    <w:p w14:paraId="56C97FD7" w14:textId="77777777" w:rsidR="00794AFD" w:rsidRPr="00070ED0" w:rsidRDefault="00794AFD" w:rsidP="00794AFD">
      <w:pPr>
        <w:rPr>
          <w:rFonts w:asciiTheme="minorHAnsi" w:hAnsiTheme="minorHAnsi" w:cs="Times New Roman"/>
          <w:bCs/>
          <w:sz w:val="20"/>
          <w:szCs w:val="20"/>
        </w:rPr>
      </w:pPr>
      <w:r w:rsidRPr="00070ED0">
        <w:rPr>
          <w:rFonts w:asciiTheme="minorHAnsi" w:hAnsiTheme="minorHAnsi" w:cs="Times New Roman"/>
          <w:bCs/>
          <w:sz w:val="20"/>
          <w:szCs w:val="20"/>
        </w:rPr>
        <w:t xml:space="preserve">The Group has a small number of properties that are sublet. </w:t>
      </w:r>
      <w:r w:rsidRPr="00070ED0">
        <w:rPr>
          <w:rFonts w:asciiTheme="minorHAnsi" w:hAnsiTheme="minorHAnsi" w:cs="Times New Roman"/>
          <w:sz w:val="20"/>
          <w:szCs w:val="20"/>
        </w:rPr>
        <w:t>The following table sets out a maturity analysis of lease receivables showing the undiscounted lease payments to be received after the reporting date. Under IAS 17, the Group did not have any finance leases as a lessor.</w:t>
      </w:r>
    </w:p>
    <w:p w14:paraId="0B3A4CDA" w14:textId="77777777" w:rsidR="00794AFD" w:rsidRDefault="00794AFD" w:rsidP="00794AFD">
      <w:pPr>
        <w:rPr>
          <w:rFonts w:asciiTheme="minorHAnsi" w:hAnsiTheme="minorHAnsi" w:cs="Times New Roman"/>
          <w:sz w:val="20"/>
          <w:szCs w:val="20"/>
          <w:highlight w:val="yellow"/>
        </w:rPr>
      </w:pPr>
    </w:p>
    <w:tbl>
      <w:tblPr>
        <w:tblW w:w="7263" w:type="dxa"/>
        <w:tblInd w:w="108" w:type="dxa"/>
        <w:tblLayout w:type="fixed"/>
        <w:tblLook w:val="0000" w:firstRow="0" w:lastRow="0" w:firstColumn="0" w:lastColumn="0" w:noHBand="0" w:noVBand="0"/>
      </w:tblPr>
      <w:tblGrid>
        <w:gridCol w:w="5421"/>
        <w:gridCol w:w="1842"/>
      </w:tblGrid>
      <w:tr w:rsidR="00794AFD" w:rsidRPr="008759D9" w14:paraId="1F3B4503" w14:textId="77777777" w:rsidTr="00794AFD">
        <w:tc>
          <w:tcPr>
            <w:tcW w:w="5421" w:type="dxa"/>
            <w:tcBorders>
              <w:left w:val="nil"/>
              <w:right w:val="nil"/>
            </w:tcBorders>
          </w:tcPr>
          <w:p w14:paraId="56A2F054" w14:textId="77777777" w:rsidR="00794AFD" w:rsidRPr="00070ED0" w:rsidRDefault="00794AFD" w:rsidP="00794AFD">
            <w:pPr>
              <w:jc w:val="both"/>
              <w:rPr>
                <w:rFonts w:asciiTheme="minorHAnsi" w:hAnsiTheme="minorHAnsi" w:cs="Times New Roman"/>
                <w:sz w:val="20"/>
                <w:szCs w:val="20"/>
              </w:rPr>
            </w:pPr>
          </w:p>
        </w:tc>
        <w:tc>
          <w:tcPr>
            <w:tcW w:w="1842" w:type="dxa"/>
            <w:tcBorders>
              <w:left w:val="nil"/>
              <w:right w:val="nil"/>
            </w:tcBorders>
          </w:tcPr>
          <w:p w14:paraId="43EABC01" w14:textId="77777777" w:rsidR="00794AFD" w:rsidRPr="00070ED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31 December 2019</w:t>
            </w:r>
          </w:p>
        </w:tc>
      </w:tr>
      <w:tr w:rsidR="00794AFD" w:rsidRPr="008759D9" w14:paraId="481C4526" w14:textId="77777777" w:rsidTr="00794AFD">
        <w:tc>
          <w:tcPr>
            <w:tcW w:w="5421" w:type="dxa"/>
            <w:tcBorders>
              <w:left w:val="nil"/>
              <w:bottom w:val="single" w:sz="4" w:space="0" w:color="auto"/>
              <w:right w:val="nil"/>
            </w:tcBorders>
          </w:tcPr>
          <w:p w14:paraId="3FD344FA" w14:textId="77777777" w:rsidR="00794AFD" w:rsidRPr="00070ED0" w:rsidRDefault="00794AFD" w:rsidP="00794AFD">
            <w:pPr>
              <w:jc w:val="both"/>
              <w:rPr>
                <w:rFonts w:asciiTheme="minorHAnsi" w:hAnsiTheme="minorHAnsi" w:cs="Times New Roman"/>
                <w:sz w:val="20"/>
                <w:szCs w:val="20"/>
              </w:rPr>
            </w:pPr>
          </w:p>
        </w:tc>
        <w:tc>
          <w:tcPr>
            <w:tcW w:w="1842" w:type="dxa"/>
            <w:tcBorders>
              <w:left w:val="nil"/>
              <w:bottom w:val="single" w:sz="4" w:space="0" w:color="auto"/>
              <w:right w:val="nil"/>
            </w:tcBorders>
          </w:tcPr>
          <w:p w14:paraId="270A1033"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£m</w:t>
            </w:r>
          </w:p>
        </w:tc>
      </w:tr>
      <w:tr w:rsidR="00794AFD" w:rsidRPr="008759D9" w14:paraId="45C3AAA5" w14:textId="77777777" w:rsidTr="00794AFD">
        <w:trPr>
          <w:trHeight w:val="177"/>
        </w:trPr>
        <w:tc>
          <w:tcPr>
            <w:tcW w:w="5421" w:type="dxa"/>
            <w:tcBorders>
              <w:left w:val="nil"/>
              <w:right w:val="nil"/>
            </w:tcBorders>
          </w:tcPr>
          <w:p w14:paraId="7F95ADB9"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Less than one year</w:t>
            </w:r>
          </w:p>
        </w:tc>
        <w:tc>
          <w:tcPr>
            <w:tcW w:w="1842" w:type="dxa"/>
            <w:tcBorders>
              <w:left w:val="nil"/>
              <w:right w:val="nil"/>
            </w:tcBorders>
          </w:tcPr>
          <w:p w14:paraId="2C369A21" w14:textId="77777777" w:rsidR="00794AFD" w:rsidRPr="00070ED0" w:rsidRDefault="00794AFD" w:rsidP="00794AFD">
            <w:pPr>
              <w:jc w:val="right"/>
              <w:rPr>
                <w:rFonts w:asciiTheme="minorHAnsi" w:hAnsiTheme="minorHAnsi" w:cs="Times New Roman"/>
                <w:b/>
                <w:bCs/>
                <w:sz w:val="20"/>
                <w:szCs w:val="20"/>
              </w:rPr>
            </w:pPr>
            <w:r w:rsidRPr="00070ED0">
              <w:rPr>
                <w:rFonts w:asciiTheme="minorHAnsi" w:hAnsiTheme="minorHAnsi" w:cs="Times New Roman"/>
                <w:b/>
                <w:bCs/>
                <w:sz w:val="20"/>
                <w:szCs w:val="20"/>
              </w:rPr>
              <w:t>0.</w:t>
            </w:r>
            <w:r>
              <w:rPr>
                <w:rFonts w:asciiTheme="minorHAnsi" w:hAnsiTheme="minorHAnsi" w:cs="Times New Roman"/>
                <w:b/>
                <w:bCs/>
                <w:sz w:val="20"/>
                <w:szCs w:val="20"/>
              </w:rPr>
              <w:t>8</w:t>
            </w:r>
          </w:p>
        </w:tc>
      </w:tr>
      <w:tr w:rsidR="00794AFD" w:rsidRPr="008759D9" w14:paraId="38B95CE9" w14:textId="77777777" w:rsidTr="00794AFD">
        <w:tc>
          <w:tcPr>
            <w:tcW w:w="5421" w:type="dxa"/>
            <w:tcBorders>
              <w:top w:val="nil"/>
              <w:left w:val="nil"/>
              <w:bottom w:val="single" w:sz="4" w:space="0" w:color="auto"/>
              <w:right w:val="nil"/>
            </w:tcBorders>
          </w:tcPr>
          <w:p w14:paraId="7E7660CB"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Between two and five years</w:t>
            </w:r>
          </w:p>
        </w:tc>
        <w:tc>
          <w:tcPr>
            <w:tcW w:w="1842" w:type="dxa"/>
            <w:tcBorders>
              <w:top w:val="nil"/>
              <w:left w:val="nil"/>
              <w:bottom w:val="single" w:sz="4" w:space="0" w:color="auto"/>
              <w:right w:val="nil"/>
            </w:tcBorders>
          </w:tcPr>
          <w:p w14:paraId="1E6C3852" w14:textId="77777777" w:rsidR="00794AFD" w:rsidRPr="00070ED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2</w:t>
            </w:r>
            <w:r w:rsidRPr="00070ED0">
              <w:rPr>
                <w:rFonts w:asciiTheme="minorHAnsi" w:hAnsiTheme="minorHAnsi" w:cs="Times New Roman"/>
                <w:b/>
                <w:bCs/>
                <w:sz w:val="20"/>
                <w:szCs w:val="20"/>
              </w:rPr>
              <w:t>.</w:t>
            </w:r>
            <w:r>
              <w:rPr>
                <w:rFonts w:asciiTheme="minorHAnsi" w:hAnsiTheme="minorHAnsi" w:cs="Times New Roman"/>
                <w:b/>
                <w:bCs/>
                <w:sz w:val="20"/>
                <w:szCs w:val="20"/>
              </w:rPr>
              <w:t>5</w:t>
            </w:r>
          </w:p>
        </w:tc>
      </w:tr>
      <w:tr w:rsidR="00794AFD" w:rsidRPr="008759D9" w14:paraId="03DCFA9D" w14:textId="77777777" w:rsidTr="00794AFD">
        <w:tc>
          <w:tcPr>
            <w:tcW w:w="5421" w:type="dxa"/>
            <w:tcBorders>
              <w:top w:val="single" w:sz="4" w:space="0" w:color="auto"/>
              <w:left w:val="nil"/>
              <w:bottom w:val="single" w:sz="4" w:space="0" w:color="auto"/>
              <w:right w:val="nil"/>
            </w:tcBorders>
          </w:tcPr>
          <w:p w14:paraId="3A2E162F"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Total undiscounted lease receivable</w:t>
            </w:r>
          </w:p>
        </w:tc>
        <w:tc>
          <w:tcPr>
            <w:tcW w:w="1842" w:type="dxa"/>
            <w:tcBorders>
              <w:top w:val="single" w:sz="4" w:space="0" w:color="auto"/>
              <w:left w:val="nil"/>
              <w:bottom w:val="single" w:sz="4" w:space="0" w:color="auto"/>
              <w:right w:val="nil"/>
            </w:tcBorders>
          </w:tcPr>
          <w:p w14:paraId="1515E41D" w14:textId="77777777" w:rsidR="00794AFD" w:rsidRPr="00070ED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3</w:t>
            </w:r>
            <w:r w:rsidRPr="00070ED0">
              <w:rPr>
                <w:rFonts w:asciiTheme="minorHAnsi" w:hAnsiTheme="minorHAnsi" w:cs="Times New Roman"/>
                <w:b/>
                <w:bCs/>
                <w:sz w:val="20"/>
                <w:szCs w:val="20"/>
              </w:rPr>
              <w:t>.3</w:t>
            </w:r>
          </w:p>
        </w:tc>
      </w:tr>
      <w:tr w:rsidR="00794AFD" w:rsidRPr="008759D9" w14:paraId="51CC2BA4" w14:textId="77777777" w:rsidTr="00794AFD">
        <w:tc>
          <w:tcPr>
            <w:tcW w:w="5421" w:type="dxa"/>
            <w:tcBorders>
              <w:top w:val="single" w:sz="4" w:space="0" w:color="auto"/>
              <w:left w:val="nil"/>
              <w:bottom w:val="single" w:sz="4" w:space="0" w:color="auto"/>
              <w:right w:val="nil"/>
            </w:tcBorders>
          </w:tcPr>
          <w:p w14:paraId="4F8716DA"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Unearned finance income</w:t>
            </w:r>
          </w:p>
        </w:tc>
        <w:tc>
          <w:tcPr>
            <w:tcW w:w="1842" w:type="dxa"/>
            <w:tcBorders>
              <w:top w:val="single" w:sz="4" w:space="0" w:color="auto"/>
              <w:left w:val="nil"/>
              <w:bottom w:val="single" w:sz="4" w:space="0" w:color="auto"/>
              <w:right w:val="nil"/>
            </w:tcBorders>
          </w:tcPr>
          <w:p w14:paraId="0C847D6B" w14:textId="77777777" w:rsidR="00794AFD" w:rsidRPr="00070ED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w:t>
            </w:r>
            <w:r w:rsidRPr="00070ED0">
              <w:rPr>
                <w:rFonts w:asciiTheme="minorHAnsi" w:hAnsiTheme="minorHAnsi" w:cs="Times New Roman"/>
                <w:b/>
                <w:bCs/>
                <w:sz w:val="20"/>
                <w:szCs w:val="20"/>
              </w:rPr>
              <w:t>0.</w:t>
            </w:r>
            <w:r>
              <w:rPr>
                <w:rFonts w:asciiTheme="minorHAnsi" w:hAnsiTheme="minorHAnsi" w:cs="Times New Roman"/>
                <w:b/>
                <w:bCs/>
                <w:sz w:val="20"/>
                <w:szCs w:val="20"/>
              </w:rPr>
              <w:t>3)</w:t>
            </w:r>
          </w:p>
        </w:tc>
      </w:tr>
      <w:tr w:rsidR="00794AFD" w:rsidRPr="008759D9" w14:paraId="75BCCF5E" w14:textId="77777777" w:rsidTr="00794AFD">
        <w:trPr>
          <w:trHeight w:val="80"/>
        </w:trPr>
        <w:tc>
          <w:tcPr>
            <w:tcW w:w="5421" w:type="dxa"/>
            <w:tcBorders>
              <w:top w:val="single" w:sz="4" w:space="0" w:color="auto"/>
              <w:left w:val="nil"/>
              <w:bottom w:val="single" w:sz="4" w:space="0" w:color="auto"/>
              <w:right w:val="nil"/>
            </w:tcBorders>
          </w:tcPr>
          <w:p w14:paraId="20B30E25" w14:textId="77777777" w:rsidR="00794AFD" w:rsidRPr="00070ED0" w:rsidRDefault="00794AFD" w:rsidP="00794AFD">
            <w:pPr>
              <w:ind w:left="-108"/>
              <w:rPr>
                <w:rFonts w:asciiTheme="minorHAnsi" w:hAnsiTheme="minorHAnsi" w:cs="Times New Roman"/>
                <w:sz w:val="20"/>
                <w:szCs w:val="20"/>
              </w:rPr>
            </w:pPr>
            <w:r w:rsidRPr="00070ED0">
              <w:rPr>
                <w:rFonts w:asciiTheme="minorHAnsi" w:hAnsiTheme="minorHAnsi" w:cs="Times New Roman"/>
                <w:sz w:val="20"/>
                <w:szCs w:val="20"/>
              </w:rPr>
              <w:t>Net Investment in finance lease</w:t>
            </w:r>
          </w:p>
        </w:tc>
        <w:tc>
          <w:tcPr>
            <w:tcW w:w="1842" w:type="dxa"/>
            <w:tcBorders>
              <w:top w:val="single" w:sz="4" w:space="0" w:color="auto"/>
              <w:left w:val="nil"/>
              <w:bottom w:val="single" w:sz="4" w:space="0" w:color="auto"/>
              <w:right w:val="nil"/>
            </w:tcBorders>
          </w:tcPr>
          <w:p w14:paraId="10325392" w14:textId="77777777" w:rsidR="00794AFD" w:rsidRPr="00070ED0" w:rsidRDefault="00794AFD" w:rsidP="00794AFD">
            <w:pPr>
              <w:jc w:val="right"/>
              <w:rPr>
                <w:rFonts w:asciiTheme="minorHAnsi" w:hAnsiTheme="minorHAnsi" w:cs="Times New Roman"/>
                <w:b/>
                <w:bCs/>
                <w:sz w:val="20"/>
                <w:szCs w:val="20"/>
              </w:rPr>
            </w:pPr>
            <w:r>
              <w:rPr>
                <w:rFonts w:asciiTheme="minorHAnsi" w:hAnsiTheme="minorHAnsi" w:cs="Times New Roman"/>
                <w:b/>
                <w:bCs/>
                <w:sz w:val="20"/>
                <w:szCs w:val="20"/>
              </w:rPr>
              <w:t>3</w:t>
            </w:r>
            <w:r w:rsidRPr="00070ED0">
              <w:rPr>
                <w:rFonts w:asciiTheme="minorHAnsi" w:hAnsiTheme="minorHAnsi" w:cs="Times New Roman"/>
                <w:b/>
                <w:bCs/>
                <w:sz w:val="20"/>
                <w:szCs w:val="20"/>
              </w:rPr>
              <w:t>.</w:t>
            </w:r>
            <w:r>
              <w:rPr>
                <w:rFonts w:asciiTheme="minorHAnsi" w:hAnsiTheme="minorHAnsi" w:cs="Times New Roman"/>
                <w:b/>
                <w:bCs/>
                <w:sz w:val="20"/>
                <w:szCs w:val="20"/>
              </w:rPr>
              <w:t>0</w:t>
            </w:r>
          </w:p>
        </w:tc>
      </w:tr>
    </w:tbl>
    <w:p w14:paraId="676C465A" w14:textId="77777777" w:rsidR="00794AFD" w:rsidRPr="00070ED0" w:rsidRDefault="00794AFD" w:rsidP="00794AFD">
      <w:pPr>
        <w:rPr>
          <w:rFonts w:asciiTheme="minorHAnsi" w:hAnsiTheme="minorHAnsi" w:cs="Times New Roman"/>
          <w:sz w:val="20"/>
          <w:szCs w:val="20"/>
        </w:rPr>
      </w:pPr>
    </w:p>
    <w:p w14:paraId="3FD3D89E" w14:textId="77777777" w:rsidR="00794AFD" w:rsidRPr="00070ED0" w:rsidRDefault="00794AFD" w:rsidP="00794AFD">
      <w:pPr>
        <w:rPr>
          <w:rFonts w:asciiTheme="minorHAnsi" w:hAnsiTheme="minorHAnsi" w:cs="Times New Roman"/>
          <w:i/>
          <w:sz w:val="20"/>
          <w:szCs w:val="20"/>
        </w:rPr>
      </w:pPr>
      <w:r w:rsidRPr="00070ED0">
        <w:rPr>
          <w:rFonts w:asciiTheme="minorHAnsi" w:hAnsiTheme="minorHAnsi" w:cs="Times New Roman"/>
          <w:i/>
          <w:sz w:val="20"/>
          <w:szCs w:val="20"/>
        </w:rPr>
        <w:t>Operating lease</w:t>
      </w:r>
    </w:p>
    <w:p w14:paraId="3D29EAC8" w14:textId="77777777" w:rsidR="00794AFD" w:rsidRPr="00070ED0" w:rsidRDefault="00794AFD" w:rsidP="00794AFD">
      <w:pPr>
        <w:rPr>
          <w:rFonts w:asciiTheme="minorHAnsi" w:hAnsiTheme="minorHAnsi" w:cs="Times New Roman"/>
          <w:bCs/>
          <w:sz w:val="20"/>
          <w:szCs w:val="20"/>
        </w:rPr>
      </w:pPr>
      <w:r w:rsidRPr="00070ED0">
        <w:rPr>
          <w:rFonts w:asciiTheme="minorHAnsi" w:hAnsiTheme="minorHAnsi" w:cs="Times New Roman"/>
          <w:bCs/>
          <w:sz w:val="20"/>
          <w:szCs w:val="20"/>
        </w:rPr>
        <w:t>The Group has a small number of properties that are sublet.  Sublease payments of £1.2m (2018: £</w:t>
      </w:r>
      <w:r>
        <w:rPr>
          <w:rFonts w:asciiTheme="minorHAnsi" w:hAnsiTheme="minorHAnsi" w:cs="Times New Roman"/>
          <w:bCs/>
          <w:sz w:val="20"/>
          <w:szCs w:val="20"/>
        </w:rPr>
        <w:t>2</w:t>
      </w:r>
      <w:r w:rsidRPr="00070ED0">
        <w:rPr>
          <w:rFonts w:asciiTheme="minorHAnsi" w:hAnsiTheme="minorHAnsi" w:cs="Times New Roman"/>
          <w:bCs/>
          <w:sz w:val="20"/>
          <w:szCs w:val="20"/>
        </w:rPr>
        <w:t>.</w:t>
      </w:r>
      <w:r>
        <w:rPr>
          <w:rFonts w:asciiTheme="minorHAnsi" w:hAnsiTheme="minorHAnsi" w:cs="Times New Roman"/>
          <w:bCs/>
          <w:sz w:val="20"/>
          <w:szCs w:val="20"/>
        </w:rPr>
        <w:t>2</w:t>
      </w:r>
      <w:r w:rsidRPr="00070ED0">
        <w:rPr>
          <w:rFonts w:asciiTheme="minorHAnsi" w:hAnsiTheme="minorHAnsi" w:cs="Times New Roman"/>
          <w:bCs/>
          <w:sz w:val="20"/>
          <w:szCs w:val="20"/>
        </w:rPr>
        <w:t>m) are expected to be received during the year ended 31 December 2020.</w:t>
      </w:r>
    </w:p>
    <w:p w14:paraId="0C20DC24" w14:textId="77777777" w:rsidR="00794AFD" w:rsidRPr="00E72E3D" w:rsidRDefault="00794AFD" w:rsidP="00794AFD">
      <w:pPr>
        <w:widowControl/>
        <w:rPr>
          <w:rFonts w:asciiTheme="minorHAnsi" w:hAnsiTheme="minorHAnsi" w:cs="Times New Roman"/>
          <w:bCs/>
          <w:sz w:val="20"/>
          <w:szCs w:val="20"/>
          <w:highlight w:val="yellow"/>
        </w:rPr>
      </w:pPr>
    </w:p>
    <w:p w14:paraId="63AA109E" w14:textId="77777777" w:rsidR="00794AFD" w:rsidRPr="001C5950" w:rsidRDefault="00794AFD" w:rsidP="00794AFD">
      <w:pPr>
        <w:rPr>
          <w:rFonts w:asciiTheme="minorHAnsi" w:hAnsiTheme="minorHAnsi" w:cs="Times New Roman"/>
          <w:b/>
          <w:bCs/>
          <w:sz w:val="20"/>
          <w:szCs w:val="20"/>
        </w:rPr>
      </w:pPr>
      <w:r>
        <w:rPr>
          <w:rFonts w:asciiTheme="minorHAnsi" w:hAnsiTheme="minorHAnsi" w:cs="Times New Roman"/>
          <w:b/>
          <w:bCs/>
          <w:sz w:val="20"/>
          <w:szCs w:val="20"/>
        </w:rPr>
        <w:t>16</w:t>
      </w:r>
      <w:r w:rsidRPr="001C5950">
        <w:rPr>
          <w:rFonts w:asciiTheme="minorHAnsi" w:hAnsiTheme="minorHAnsi" w:cs="Times New Roman"/>
          <w:b/>
          <w:bCs/>
          <w:sz w:val="20"/>
          <w:szCs w:val="20"/>
        </w:rPr>
        <w:t>.  Related parties</w:t>
      </w:r>
    </w:p>
    <w:p w14:paraId="0E4C5871" w14:textId="77777777" w:rsidR="00794AFD" w:rsidRPr="001C5950" w:rsidRDefault="00794AFD" w:rsidP="00794AFD">
      <w:pPr>
        <w:jc w:val="both"/>
        <w:rPr>
          <w:rFonts w:asciiTheme="minorHAnsi" w:hAnsiTheme="minorHAnsi" w:cs="Times New Roman"/>
          <w:b/>
          <w:bCs/>
          <w:sz w:val="20"/>
          <w:szCs w:val="20"/>
        </w:rPr>
      </w:pPr>
    </w:p>
    <w:p w14:paraId="21E98EC4" w14:textId="77777777" w:rsidR="00794AFD" w:rsidRDefault="00794AFD" w:rsidP="00794AFD">
      <w:pPr>
        <w:widowControl/>
        <w:rPr>
          <w:rFonts w:asciiTheme="minorHAnsi" w:hAnsiTheme="minorHAnsi"/>
          <w:bCs/>
          <w:sz w:val="20"/>
          <w:szCs w:val="20"/>
        </w:rPr>
      </w:pPr>
      <w:r>
        <w:rPr>
          <w:rFonts w:asciiTheme="minorHAnsi" w:hAnsiTheme="minorHAnsi"/>
          <w:bCs/>
          <w:sz w:val="20"/>
          <w:szCs w:val="20"/>
        </w:rPr>
        <w:t>There were no transactions with related parties during the years ended 31 December 2019 and 2018 that materially impacted the financial position or performance of the Group</w:t>
      </w:r>
    </w:p>
    <w:p w14:paraId="1816B306" w14:textId="77777777" w:rsidR="00794AFD" w:rsidRDefault="00794AFD" w:rsidP="00794AFD">
      <w:pPr>
        <w:widowControl/>
        <w:rPr>
          <w:rFonts w:asciiTheme="minorHAnsi" w:hAnsiTheme="minorHAnsi"/>
          <w:bCs/>
          <w:sz w:val="20"/>
          <w:szCs w:val="20"/>
        </w:rPr>
      </w:pPr>
    </w:p>
    <w:p w14:paraId="39DE9B09" w14:textId="77777777" w:rsidR="00794AFD" w:rsidRDefault="00794AFD" w:rsidP="00794AFD">
      <w:pPr>
        <w:widowControl/>
        <w:rPr>
          <w:rFonts w:asciiTheme="minorHAnsi" w:hAnsiTheme="minorHAnsi"/>
          <w:bCs/>
          <w:sz w:val="20"/>
          <w:szCs w:val="20"/>
        </w:rPr>
      </w:pPr>
      <w:r>
        <w:rPr>
          <w:rFonts w:asciiTheme="minorHAnsi" w:hAnsiTheme="minorHAnsi"/>
          <w:bCs/>
          <w:sz w:val="20"/>
          <w:szCs w:val="20"/>
        </w:rPr>
        <w:t>Transactions between the Company and its subsidiaries, which are related parties, have been eliminated on consolidation and are not disclosed in this note.</w:t>
      </w:r>
    </w:p>
    <w:p w14:paraId="2BEE8867" w14:textId="77777777" w:rsidR="00794AFD" w:rsidRPr="00FC3D06" w:rsidRDefault="00794AFD" w:rsidP="00794AFD">
      <w:pPr>
        <w:rPr>
          <w:rFonts w:asciiTheme="minorHAnsi" w:hAnsiTheme="minorHAnsi" w:cs="Times New Roman"/>
          <w:b/>
          <w:bCs/>
          <w:sz w:val="20"/>
          <w:szCs w:val="20"/>
        </w:rPr>
      </w:pPr>
    </w:p>
    <w:p w14:paraId="78F3B2FA" w14:textId="77777777" w:rsidR="00794AFD" w:rsidRPr="001C5950" w:rsidRDefault="00794AFD" w:rsidP="00794AFD">
      <w:pPr>
        <w:rPr>
          <w:rFonts w:asciiTheme="minorHAnsi" w:hAnsiTheme="minorHAnsi" w:cs="Times New Roman"/>
          <w:b/>
          <w:bCs/>
          <w:sz w:val="20"/>
          <w:szCs w:val="20"/>
        </w:rPr>
      </w:pPr>
      <w:r>
        <w:rPr>
          <w:rFonts w:asciiTheme="minorHAnsi" w:hAnsiTheme="minorHAnsi" w:cs="Times New Roman"/>
          <w:b/>
          <w:bCs/>
          <w:sz w:val="20"/>
          <w:szCs w:val="20"/>
        </w:rPr>
        <w:t>17</w:t>
      </w:r>
      <w:r w:rsidRPr="001C5950">
        <w:rPr>
          <w:rFonts w:asciiTheme="minorHAnsi" w:hAnsiTheme="minorHAnsi" w:cs="Times New Roman"/>
          <w:b/>
          <w:bCs/>
          <w:sz w:val="20"/>
          <w:szCs w:val="20"/>
        </w:rPr>
        <w:t>.  Events after the reporting date</w:t>
      </w:r>
    </w:p>
    <w:p w14:paraId="38261FAD" w14:textId="77777777" w:rsidR="00794AFD" w:rsidRPr="00FC3D06" w:rsidRDefault="00794AFD" w:rsidP="00794AFD">
      <w:pPr>
        <w:rPr>
          <w:rStyle w:val="HTMLTypewriter"/>
          <w:rFonts w:asciiTheme="minorHAnsi" w:hAnsiTheme="minorHAnsi" w:cs="Times New Roman"/>
        </w:rPr>
      </w:pPr>
    </w:p>
    <w:p w14:paraId="2999F742" w14:textId="77777777" w:rsidR="00794AFD" w:rsidRPr="00070ED0" w:rsidRDefault="00794AFD" w:rsidP="00794AFD">
      <w:pPr>
        <w:rPr>
          <w:rFonts w:asciiTheme="minorHAnsi" w:hAnsiTheme="minorHAnsi" w:cs="Times New Roman"/>
          <w:b/>
          <w:i/>
          <w:sz w:val="20"/>
          <w:szCs w:val="20"/>
        </w:rPr>
      </w:pPr>
      <w:r w:rsidRPr="00070ED0">
        <w:rPr>
          <w:rFonts w:asciiTheme="minorHAnsi" w:hAnsiTheme="minorHAnsi" w:cs="Times New Roman"/>
          <w:b/>
          <w:i/>
          <w:sz w:val="20"/>
          <w:szCs w:val="20"/>
        </w:rPr>
        <w:t>Dividend</w:t>
      </w:r>
    </w:p>
    <w:p w14:paraId="12AF566D" w14:textId="77777777" w:rsidR="00794AFD" w:rsidRPr="00E31241" w:rsidRDefault="00794AFD" w:rsidP="00794AFD">
      <w:pPr>
        <w:rPr>
          <w:rFonts w:asciiTheme="minorHAnsi" w:hAnsiTheme="minorHAnsi" w:cs="Times New Roman"/>
          <w:sz w:val="20"/>
          <w:szCs w:val="20"/>
        </w:rPr>
      </w:pPr>
      <w:r w:rsidRPr="007E5B28">
        <w:rPr>
          <w:rFonts w:asciiTheme="minorHAnsi" w:hAnsiTheme="minorHAnsi" w:cs="Times New Roman"/>
          <w:sz w:val="20"/>
          <w:szCs w:val="20"/>
        </w:rPr>
        <w:t xml:space="preserve">In respect of the current year, the Directors propose that a final dividend of </w:t>
      </w:r>
      <w:r w:rsidRPr="00E31241">
        <w:rPr>
          <w:rFonts w:asciiTheme="minorHAnsi" w:hAnsiTheme="minorHAnsi" w:cs="Times New Roman"/>
          <w:sz w:val="20"/>
          <w:szCs w:val="20"/>
        </w:rPr>
        <w:t xml:space="preserve">133.0 pence per share </w:t>
      </w:r>
      <w:r w:rsidRPr="007E5B28">
        <w:rPr>
          <w:rFonts w:asciiTheme="minorHAnsi" w:hAnsiTheme="minorHAnsi" w:cs="Times New Roman"/>
          <w:sz w:val="20"/>
          <w:szCs w:val="20"/>
        </w:rPr>
        <w:t xml:space="preserve">will be paid to shareholders on </w:t>
      </w:r>
      <w:r w:rsidRPr="00E31241">
        <w:rPr>
          <w:rFonts w:asciiTheme="minorHAnsi" w:hAnsiTheme="minorHAnsi" w:cs="Times New Roman"/>
          <w:sz w:val="20"/>
          <w:szCs w:val="20"/>
        </w:rPr>
        <w:t xml:space="preserve">22 May 2020.  This </w:t>
      </w:r>
      <w:r w:rsidRPr="007E5B28">
        <w:rPr>
          <w:rFonts w:asciiTheme="minorHAnsi" w:hAnsiTheme="minorHAnsi" w:cs="Times New Roman"/>
          <w:sz w:val="20"/>
          <w:szCs w:val="20"/>
        </w:rPr>
        <w:t xml:space="preserve">dividend is subject to approval by shareholders at the Annual General Meeting and has not been included as a liability in these financial statements.  The proposed dividend is payable to all shareholders on the register of members on </w:t>
      </w:r>
      <w:r w:rsidRPr="00E31241">
        <w:rPr>
          <w:rFonts w:asciiTheme="minorHAnsi" w:hAnsiTheme="minorHAnsi" w:cs="Times New Roman"/>
          <w:sz w:val="20"/>
          <w:szCs w:val="20"/>
        </w:rPr>
        <w:t xml:space="preserve">14 April 2020.  </w:t>
      </w:r>
      <w:r w:rsidRPr="007E5B28">
        <w:rPr>
          <w:rFonts w:asciiTheme="minorHAnsi" w:hAnsiTheme="minorHAnsi" w:cs="Times New Roman"/>
          <w:sz w:val="20"/>
          <w:szCs w:val="20"/>
        </w:rPr>
        <w:t xml:space="preserve">The total estimated dividend to be paid amounts </w:t>
      </w:r>
      <w:r w:rsidRPr="00E31241">
        <w:rPr>
          <w:rFonts w:asciiTheme="minorHAnsi" w:hAnsiTheme="minorHAnsi" w:cs="Times New Roman"/>
          <w:sz w:val="20"/>
          <w:szCs w:val="20"/>
        </w:rPr>
        <w:t>to £104m.</w:t>
      </w:r>
    </w:p>
    <w:p w14:paraId="6B9356F5" w14:textId="77777777" w:rsidR="00794AFD" w:rsidRPr="00E72E3D" w:rsidRDefault="00794AFD" w:rsidP="00794AFD">
      <w:pPr>
        <w:rPr>
          <w:rFonts w:asciiTheme="minorHAnsi" w:hAnsiTheme="minorHAnsi" w:cs="Times New Roman"/>
          <w:sz w:val="20"/>
          <w:szCs w:val="20"/>
          <w:highlight w:val="yellow"/>
        </w:rPr>
      </w:pPr>
    </w:p>
    <w:p w14:paraId="0E7BDA29" w14:textId="77777777" w:rsidR="00794AFD" w:rsidRPr="001C5950" w:rsidRDefault="00794AFD" w:rsidP="00794AFD">
      <w:pPr>
        <w:rPr>
          <w:rFonts w:asciiTheme="minorHAnsi" w:hAnsiTheme="minorHAnsi" w:cs="Times New Roman"/>
          <w:sz w:val="20"/>
          <w:szCs w:val="20"/>
        </w:rPr>
      </w:pPr>
    </w:p>
    <w:p w14:paraId="406D12C3" w14:textId="77777777" w:rsidR="00794AFD" w:rsidRPr="001C5950" w:rsidRDefault="00794AFD" w:rsidP="00794AFD">
      <w:pPr>
        <w:pStyle w:val="a"/>
        <w:rPr>
          <w:rFonts w:asciiTheme="minorHAnsi" w:hAnsiTheme="minorHAnsi" w:cstheme="minorHAnsi"/>
          <w:bCs/>
          <w:sz w:val="20"/>
          <w:szCs w:val="20"/>
        </w:rPr>
      </w:pPr>
    </w:p>
    <w:p w14:paraId="3375A1B3" w14:textId="77777777" w:rsidR="00794AFD" w:rsidRDefault="00794AFD" w:rsidP="00794AFD">
      <w:pPr>
        <w:widowControl/>
        <w:autoSpaceDE/>
        <w:autoSpaceDN/>
        <w:adjustRightInd/>
        <w:rPr>
          <w:rFonts w:asciiTheme="minorHAnsi" w:hAnsiTheme="minorHAnsi" w:cs="Times New Roman"/>
          <w:b/>
          <w:bCs/>
          <w:sz w:val="20"/>
          <w:szCs w:val="20"/>
        </w:rPr>
      </w:pPr>
      <w:r>
        <w:rPr>
          <w:rFonts w:asciiTheme="minorHAnsi" w:hAnsiTheme="minorHAnsi" w:cs="Times New Roman"/>
          <w:b/>
          <w:bCs/>
          <w:sz w:val="20"/>
          <w:szCs w:val="20"/>
        </w:rPr>
        <w:br w:type="page"/>
      </w:r>
    </w:p>
    <w:p w14:paraId="42C92838" w14:textId="77777777" w:rsidR="00794AFD" w:rsidRPr="001C5950" w:rsidRDefault="00794AFD" w:rsidP="00794AFD">
      <w:pPr>
        <w:rPr>
          <w:rFonts w:asciiTheme="minorHAnsi" w:hAnsiTheme="minorHAnsi" w:cs="Times New Roman"/>
          <w:b/>
          <w:bCs/>
          <w:sz w:val="20"/>
          <w:szCs w:val="20"/>
        </w:rPr>
      </w:pPr>
      <w:r>
        <w:rPr>
          <w:rFonts w:asciiTheme="minorHAnsi" w:hAnsiTheme="minorHAnsi" w:cs="Times New Roman"/>
          <w:b/>
          <w:bCs/>
          <w:sz w:val="20"/>
          <w:szCs w:val="20"/>
        </w:rPr>
        <w:lastRenderedPageBreak/>
        <w:t>17</w:t>
      </w:r>
      <w:r w:rsidRPr="001C5950">
        <w:rPr>
          <w:rFonts w:asciiTheme="minorHAnsi" w:hAnsiTheme="minorHAnsi" w:cs="Times New Roman"/>
          <w:b/>
          <w:bCs/>
          <w:sz w:val="20"/>
          <w:szCs w:val="20"/>
        </w:rPr>
        <w:t>.  Events after the reporting date</w:t>
      </w:r>
      <w:r>
        <w:rPr>
          <w:rFonts w:asciiTheme="minorHAnsi" w:hAnsiTheme="minorHAnsi" w:cs="Times New Roman"/>
          <w:b/>
          <w:bCs/>
          <w:sz w:val="20"/>
          <w:szCs w:val="20"/>
        </w:rPr>
        <w:t xml:space="preserve"> (continued)</w:t>
      </w:r>
    </w:p>
    <w:p w14:paraId="3A18BE2B" w14:textId="77777777" w:rsidR="00794AFD" w:rsidRDefault="00794AFD" w:rsidP="00794AFD">
      <w:pPr>
        <w:widowControl/>
        <w:autoSpaceDE/>
        <w:autoSpaceDN/>
        <w:adjustRightInd/>
        <w:rPr>
          <w:rFonts w:asciiTheme="minorHAnsi" w:hAnsiTheme="minorHAnsi" w:cs="Times New Roman"/>
          <w:b/>
          <w:sz w:val="20"/>
          <w:szCs w:val="20"/>
        </w:rPr>
      </w:pPr>
    </w:p>
    <w:p w14:paraId="62443895" w14:textId="77777777" w:rsidR="00794AFD" w:rsidRPr="001E1392" w:rsidRDefault="00794AFD" w:rsidP="00794AFD">
      <w:pPr>
        <w:adjustRightInd/>
        <w:rPr>
          <w:rFonts w:asciiTheme="minorHAnsi" w:hAnsiTheme="minorHAnsi"/>
          <w:b/>
          <w:i/>
          <w:sz w:val="20"/>
          <w:szCs w:val="20"/>
        </w:rPr>
      </w:pPr>
      <w:r w:rsidRPr="001E1392">
        <w:rPr>
          <w:rFonts w:asciiTheme="minorHAnsi" w:hAnsiTheme="minorHAnsi"/>
          <w:b/>
          <w:i/>
          <w:sz w:val="20"/>
          <w:szCs w:val="20"/>
        </w:rPr>
        <w:t xml:space="preserve">Proposed combination with </w:t>
      </w:r>
      <w:r>
        <w:rPr>
          <w:rFonts w:asciiTheme="minorHAnsi" w:hAnsiTheme="minorHAnsi"/>
          <w:b/>
          <w:i/>
          <w:sz w:val="20"/>
          <w:szCs w:val="20"/>
        </w:rPr>
        <w:t>T</w:t>
      </w:r>
      <w:r w:rsidRPr="001E1392">
        <w:rPr>
          <w:rFonts w:asciiTheme="minorHAnsi" w:hAnsiTheme="minorHAnsi"/>
          <w:b/>
          <w:i/>
          <w:sz w:val="20"/>
          <w:szCs w:val="20"/>
        </w:rPr>
        <w:t>he Stars Group</w:t>
      </w:r>
      <w:r>
        <w:rPr>
          <w:rFonts w:asciiTheme="minorHAnsi" w:hAnsiTheme="minorHAnsi"/>
          <w:b/>
          <w:i/>
          <w:sz w:val="20"/>
          <w:szCs w:val="20"/>
        </w:rPr>
        <w:t xml:space="preserve"> Inc</w:t>
      </w:r>
    </w:p>
    <w:p w14:paraId="6E3B9879" w14:textId="77777777" w:rsidR="00794AFD" w:rsidRPr="001E1392" w:rsidRDefault="00794AFD" w:rsidP="00794AFD">
      <w:pPr>
        <w:adjustRightInd/>
        <w:rPr>
          <w:rFonts w:asciiTheme="minorHAnsi" w:hAnsiTheme="minorHAnsi" w:cstheme="minorHAnsi"/>
          <w:sz w:val="20"/>
          <w:szCs w:val="20"/>
        </w:rPr>
      </w:pPr>
      <w:r w:rsidRPr="001E1392">
        <w:rPr>
          <w:rFonts w:asciiTheme="minorHAnsi" w:hAnsiTheme="minorHAnsi" w:cstheme="minorHAnsi"/>
          <w:sz w:val="20"/>
          <w:szCs w:val="20"/>
        </w:rPr>
        <w:t>As announced on 2 October 2019, the Group and The Stars Group Inc (</w:t>
      </w:r>
      <w:r>
        <w:rPr>
          <w:rFonts w:asciiTheme="minorHAnsi" w:hAnsiTheme="minorHAnsi" w:cstheme="minorHAnsi"/>
          <w:sz w:val="20"/>
          <w:szCs w:val="20"/>
        </w:rPr>
        <w:t>“</w:t>
      </w:r>
      <w:r w:rsidRPr="001E1392">
        <w:rPr>
          <w:rFonts w:asciiTheme="minorHAnsi" w:hAnsiTheme="minorHAnsi" w:cstheme="minorHAnsi"/>
          <w:sz w:val="20"/>
          <w:szCs w:val="20"/>
        </w:rPr>
        <w:t>TSG</w:t>
      </w:r>
      <w:r>
        <w:rPr>
          <w:rFonts w:asciiTheme="minorHAnsi" w:hAnsiTheme="minorHAnsi" w:cstheme="minorHAnsi"/>
          <w:sz w:val="20"/>
          <w:szCs w:val="20"/>
        </w:rPr>
        <w:t>”</w:t>
      </w:r>
      <w:r w:rsidRPr="001E1392">
        <w:rPr>
          <w:rFonts w:asciiTheme="minorHAnsi" w:hAnsiTheme="minorHAnsi" w:cstheme="minorHAnsi"/>
          <w:sz w:val="20"/>
          <w:szCs w:val="20"/>
        </w:rPr>
        <w:t>) reached agreement on the terms of a recommended all-share combination to be implemented through an acquisition of TSG by Flutter pursuant to a plan of arrangement under the Business Corporations Act (Ontario) (the “Combination”).</w:t>
      </w:r>
    </w:p>
    <w:p w14:paraId="7F554CD2" w14:textId="77777777" w:rsidR="00794AFD" w:rsidRPr="001E1392" w:rsidRDefault="00794AFD" w:rsidP="00794AFD">
      <w:pPr>
        <w:adjustRightInd/>
        <w:rPr>
          <w:rFonts w:asciiTheme="minorHAnsi" w:hAnsiTheme="minorHAnsi" w:cstheme="minorHAnsi"/>
          <w:sz w:val="20"/>
          <w:szCs w:val="20"/>
        </w:rPr>
      </w:pPr>
    </w:p>
    <w:p w14:paraId="0670FFAA" w14:textId="77777777" w:rsidR="00794AFD" w:rsidRPr="001E1392" w:rsidRDefault="00794AFD" w:rsidP="00794AFD">
      <w:pPr>
        <w:adjustRightInd/>
        <w:rPr>
          <w:rFonts w:asciiTheme="minorHAnsi" w:hAnsiTheme="minorHAnsi" w:cstheme="minorHAnsi"/>
          <w:sz w:val="20"/>
          <w:szCs w:val="20"/>
        </w:rPr>
      </w:pPr>
      <w:r w:rsidRPr="001E1392">
        <w:rPr>
          <w:rFonts w:asciiTheme="minorHAnsi" w:hAnsiTheme="minorHAnsi" w:cstheme="minorHAnsi"/>
          <w:sz w:val="20"/>
          <w:szCs w:val="20"/>
        </w:rPr>
        <w:t xml:space="preserve">Under the terms of the Combination, </w:t>
      </w:r>
      <w:r>
        <w:rPr>
          <w:rFonts w:asciiTheme="minorHAnsi" w:hAnsiTheme="minorHAnsi" w:cstheme="minorHAnsi"/>
          <w:sz w:val="20"/>
          <w:szCs w:val="20"/>
        </w:rPr>
        <w:t xml:space="preserve">which is subject to the approval of Flutter and TSG shareholders and various regulatory approvals, </w:t>
      </w:r>
      <w:r w:rsidRPr="001E1392">
        <w:rPr>
          <w:rFonts w:asciiTheme="minorHAnsi" w:hAnsiTheme="minorHAnsi" w:cstheme="minorHAnsi"/>
          <w:sz w:val="20"/>
          <w:szCs w:val="20"/>
        </w:rPr>
        <w:t xml:space="preserve">TSG </w:t>
      </w:r>
      <w:r>
        <w:rPr>
          <w:rFonts w:asciiTheme="minorHAnsi" w:hAnsiTheme="minorHAnsi" w:cstheme="minorHAnsi"/>
          <w:sz w:val="20"/>
          <w:szCs w:val="20"/>
        </w:rPr>
        <w:t>s</w:t>
      </w:r>
      <w:r w:rsidRPr="001E1392">
        <w:rPr>
          <w:rFonts w:asciiTheme="minorHAnsi" w:hAnsiTheme="minorHAnsi" w:cstheme="minorHAnsi"/>
          <w:sz w:val="20"/>
          <w:szCs w:val="20"/>
        </w:rPr>
        <w:t xml:space="preserve">hareholders will be entitled to receive: 0.2253 </w:t>
      </w:r>
      <w:r>
        <w:rPr>
          <w:rFonts w:asciiTheme="minorHAnsi" w:hAnsiTheme="minorHAnsi" w:cstheme="minorHAnsi"/>
          <w:sz w:val="20"/>
          <w:szCs w:val="20"/>
        </w:rPr>
        <w:t>n</w:t>
      </w:r>
      <w:r w:rsidRPr="001E1392">
        <w:rPr>
          <w:rFonts w:asciiTheme="minorHAnsi" w:hAnsiTheme="minorHAnsi" w:cstheme="minorHAnsi"/>
          <w:sz w:val="20"/>
          <w:szCs w:val="20"/>
        </w:rPr>
        <w:t xml:space="preserve">ew Flutter </w:t>
      </w:r>
      <w:r>
        <w:rPr>
          <w:rFonts w:asciiTheme="minorHAnsi" w:hAnsiTheme="minorHAnsi" w:cstheme="minorHAnsi"/>
          <w:sz w:val="20"/>
          <w:szCs w:val="20"/>
        </w:rPr>
        <w:t>ordinary s</w:t>
      </w:r>
      <w:r w:rsidRPr="001E1392">
        <w:rPr>
          <w:rFonts w:asciiTheme="minorHAnsi" w:hAnsiTheme="minorHAnsi" w:cstheme="minorHAnsi"/>
          <w:sz w:val="20"/>
          <w:szCs w:val="20"/>
        </w:rPr>
        <w:t xml:space="preserve">hares in exchange for each TSG </w:t>
      </w:r>
      <w:r>
        <w:rPr>
          <w:rFonts w:asciiTheme="minorHAnsi" w:hAnsiTheme="minorHAnsi" w:cstheme="minorHAnsi"/>
          <w:sz w:val="20"/>
          <w:szCs w:val="20"/>
        </w:rPr>
        <w:t>common s</w:t>
      </w:r>
      <w:r w:rsidRPr="001E1392">
        <w:rPr>
          <w:rFonts w:asciiTheme="minorHAnsi" w:hAnsiTheme="minorHAnsi" w:cstheme="minorHAnsi"/>
          <w:sz w:val="20"/>
          <w:szCs w:val="20"/>
        </w:rPr>
        <w:t>hare</w:t>
      </w:r>
      <w:r>
        <w:rPr>
          <w:rFonts w:asciiTheme="minorHAnsi" w:hAnsiTheme="minorHAnsi" w:cstheme="minorHAnsi"/>
          <w:sz w:val="20"/>
          <w:szCs w:val="20"/>
        </w:rPr>
        <w:t xml:space="preserve"> held by them</w:t>
      </w:r>
      <w:r w:rsidRPr="001E1392">
        <w:rPr>
          <w:rFonts w:asciiTheme="minorHAnsi" w:hAnsiTheme="minorHAnsi" w:cstheme="minorHAnsi"/>
          <w:sz w:val="20"/>
          <w:szCs w:val="20"/>
        </w:rPr>
        <w:t xml:space="preserve">. Immediately following completion of the Combination, Flutter </w:t>
      </w:r>
      <w:r>
        <w:rPr>
          <w:rFonts w:asciiTheme="minorHAnsi" w:hAnsiTheme="minorHAnsi" w:cstheme="minorHAnsi"/>
          <w:sz w:val="20"/>
          <w:szCs w:val="20"/>
        </w:rPr>
        <w:t>s</w:t>
      </w:r>
      <w:r w:rsidRPr="001E1392">
        <w:rPr>
          <w:rFonts w:asciiTheme="minorHAnsi" w:hAnsiTheme="minorHAnsi" w:cstheme="minorHAnsi"/>
          <w:sz w:val="20"/>
          <w:szCs w:val="20"/>
        </w:rPr>
        <w:t xml:space="preserve">hareholders would own approximately 54.64 per cent. and TSG </w:t>
      </w:r>
      <w:r>
        <w:rPr>
          <w:rFonts w:asciiTheme="minorHAnsi" w:hAnsiTheme="minorHAnsi" w:cstheme="minorHAnsi"/>
          <w:sz w:val="20"/>
          <w:szCs w:val="20"/>
        </w:rPr>
        <w:t>s</w:t>
      </w:r>
      <w:r w:rsidRPr="001E1392">
        <w:rPr>
          <w:rFonts w:asciiTheme="minorHAnsi" w:hAnsiTheme="minorHAnsi" w:cstheme="minorHAnsi"/>
          <w:sz w:val="20"/>
          <w:szCs w:val="20"/>
        </w:rPr>
        <w:t xml:space="preserve">hareholders would own approximately 45.36 per cent. of the share capital of </w:t>
      </w:r>
      <w:r>
        <w:rPr>
          <w:rFonts w:asciiTheme="minorHAnsi" w:hAnsiTheme="minorHAnsi" w:cstheme="minorHAnsi"/>
          <w:sz w:val="20"/>
          <w:szCs w:val="20"/>
        </w:rPr>
        <w:t>Flutter</w:t>
      </w:r>
      <w:r w:rsidRPr="001E1392">
        <w:rPr>
          <w:rFonts w:asciiTheme="minorHAnsi" w:hAnsiTheme="minorHAnsi" w:cstheme="minorHAnsi"/>
          <w:sz w:val="20"/>
          <w:szCs w:val="20"/>
        </w:rPr>
        <w:t xml:space="preserve"> (based on the fully diluted share capital of Flutter and the fully diluted share capital of TSG excluding any out of the money options, in each case, as at the date of </w:t>
      </w:r>
      <w:r>
        <w:rPr>
          <w:rFonts w:asciiTheme="minorHAnsi" w:hAnsiTheme="minorHAnsi" w:cstheme="minorHAnsi"/>
          <w:sz w:val="20"/>
          <w:szCs w:val="20"/>
        </w:rPr>
        <w:t>the</w:t>
      </w:r>
      <w:r w:rsidRPr="001E1392">
        <w:rPr>
          <w:rFonts w:asciiTheme="minorHAnsi" w:hAnsiTheme="minorHAnsi" w:cstheme="minorHAnsi"/>
          <w:sz w:val="20"/>
          <w:szCs w:val="20"/>
        </w:rPr>
        <w:t xml:space="preserve"> </w:t>
      </w:r>
      <w:r>
        <w:rPr>
          <w:rFonts w:asciiTheme="minorHAnsi" w:hAnsiTheme="minorHAnsi" w:cstheme="minorHAnsi"/>
          <w:sz w:val="20"/>
          <w:szCs w:val="20"/>
        </w:rPr>
        <w:t>a</w:t>
      </w:r>
      <w:r w:rsidRPr="001E1392">
        <w:rPr>
          <w:rFonts w:asciiTheme="minorHAnsi" w:hAnsiTheme="minorHAnsi" w:cstheme="minorHAnsi"/>
          <w:sz w:val="20"/>
          <w:szCs w:val="20"/>
        </w:rPr>
        <w:t>nnouncement</w:t>
      </w:r>
      <w:r>
        <w:rPr>
          <w:rFonts w:asciiTheme="minorHAnsi" w:hAnsiTheme="minorHAnsi" w:cstheme="minorHAnsi"/>
          <w:sz w:val="20"/>
          <w:szCs w:val="20"/>
        </w:rPr>
        <w:t xml:space="preserve"> of the Combination</w:t>
      </w:r>
      <w:r w:rsidRPr="001E1392">
        <w:rPr>
          <w:rFonts w:asciiTheme="minorHAnsi" w:hAnsiTheme="minorHAnsi" w:cstheme="minorHAnsi"/>
          <w:sz w:val="20"/>
          <w:szCs w:val="20"/>
        </w:rPr>
        <w:t>).</w:t>
      </w:r>
      <w:r>
        <w:rPr>
          <w:rFonts w:asciiTheme="minorHAnsi" w:hAnsiTheme="minorHAnsi" w:cstheme="minorHAnsi"/>
          <w:sz w:val="20"/>
          <w:szCs w:val="20"/>
        </w:rPr>
        <w:t xml:space="preserve"> Subject to receipt of the required regulatory and shareholder approvals, the Combination is expected to complete in Q2 or Q3 2020. </w:t>
      </w:r>
    </w:p>
    <w:p w14:paraId="380CDB79" w14:textId="77777777" w:rsidR="00794AFD" w:rsidRPr="001E1392" w:rsidRDefault="00794AFD" w:rsidP="00794AFD">
      <w:pPr>
        <w:adjustRightInd/>
        <w:rPr>
          <w:rFonts w:asciiTheme="minorHAnsi" w:hAnsiTheme="minorHAnsi" w:cstheme="minorHAnsi"/>
          <w:sz w:val="20"/>
          <w:szCs w:val="20"/>
        </w:rPr>
      </w:pPr>
    </w:p>
    <w:p w14:paraId="604C8C11" w14:textId="77777777" w:rsidR="00794AFD" w:rsidRPr="001E1392" w:rsidRDefault="00794AFD" w:rsidP="00794AFD">
      <w:pPr>
        <w:adjustRightInd/>
        <w:rPr>
          <w:rFonts w:asciiTheme="minorHAnsi" w:hAnsiTheme="minorHAnsi" w:cstheme="minorHAnsi"/>
          <w:sz w:val="20"/>
          <w:szCs w:val="20"/>
        </w:rPr>
      </w:pPr>
      <w:r>
        <w:rPr>
          <w:rFonts w:asciiTheme="minorHAnsi" w:hAnsiTheme="minorHAnsi" w:cstheme="minorHAnsi"/>
          <w:sz w:val="20"/>
          <w:szCs w:val="20"/>
        </w:rPr>
        <w:t>T</w:t>
      </w:r>
      <w:r w:rsidRPr="001E1392">
        <w:rPr>
          <w:rFonts w:asciiTheme="minorHAnsi" w:hAnsiTheme="minorHAnsi" w:cstheme="minorHAnsi"/>
          <w:sz w:val="20"/>
          <w:szCs w:val="20"/>
        </w:rPr>
        <w:t xml:space="preserve">he Combination will bring together two complementary businesses (the “Combined Group”) to create a global leader in sports betting and gaming. The Combined Group will have a diverse portfolio of leading brands and complementary best-in-class products with a broad geographic reach. Flutter and TSG </w:t>
      </w:r>
      <w:r>
        <w:rPr>
          <w:rFonts w:asciiTheme="minorHAnsi" w:hAnsiTheme="minorHAnsi" w:cstheme="minorHAnsi"/>
          <w:sz w:val="20"/>
          <w:szCs w:val="20"/>
        </w:rPr>
        <w:t>will</w:t>
      </w:r>
      <w:r w:rsidRPr="001E1392">
        <w:rPr>
          <w:rFonts w:asciiTheme="minorHAnsi" w:hAnsiTheme="minorHAnsi" w:cstheme="minorHAnsi"/>
          <w:sz w:val="20"/>
          <w:szCs w:val="20"/>
        </w:rPr>
        <w:t xml:space="preserve"> each bring to the Combined Group a proven track record in using product and brand leadership to create low-cost customer acquisition channels, while optimising value through product cross-sell. </w:t>
      </w:r>
      <w:r>
        <w:rPr>
          <w:rFonts w:asciiTheme="minorHAnsi" w:hAnsiTheme="minorHAnsi" w:cstheme="minorHAnsi"/>
          <w:sz w:val="20"/>
          <w:szCs w:val="20"/>
        </w:rPr>
        <w:t>The Combined Group</w:t>
      </w:r>
      <w:r w:rsidRPr="001E1392">
        <w:rPr>
          <w:rFonts w:asciiTheme="minorHAnsi" w:hAnsiTheme="minorHAnsi" w:cstheme="minorHAnsi"/>
          <w:sz w:val="20"/>
          <w:szCs w:val="20"/>
        </w:rPr>
        <w:t xml:space="preserve"> will benefit from </w:t>
      </w:r>
      <w:r>
        <w:rPr>
          <w:rFonts w:asciiTheme="minorHAnsi" w:hAnsiTheme="minorHAnsi" w:cstheme="minorHAnsi"/>
          <w:sz w:val="20"/>
          <w:szCs w:val="20"/>
        </w:rPr>
        <w:t xml:space="preserve">both </w:t>
      </w:r>
      <w:r w:rsidRPr="001E1392">
        <w:rPr>
          <w:rFonts w:asciiTheme="minorHAnsi" w:hAnsiTheme="minorHAnsi" w:cstheme="minorHAnsi"/>
          <w:sz w:val="20"/>
          <w:szCs w:val="20"/>
        </w:rPr>
        <w:t>an enhanced global platform and improved reach</w:t>
      </w:r>
      <w:r>
        <w:rPr>
          <w:rFonts w:asciiTheme="minorHAnsi" w:hAnsiTheme="minorHAnsi" w:cstheme="minorHAnsi"/>
          <w:sz w:val="20"/>
          <w:szCs w:val="20"/>
        </w:rPr>
        <w:t xml:space="preserve"> within local markets</w:t>
      </w:r>
      <w:r w:rsidRPr="001E1392">
        <w:rPr>
          <w:rFonts w:asciiTheme="minorHAnsi" w:hAnsiTheme="minorHAnsi" w:cstheme="minorHAnsi"/>
          <w:sz w:val="20"/>
          <w:szCs w:val="20"/>
        </w:rPr>
        <w:t>. On a pro</w:t>
      </w:r>
      <w:r>
        <w:rPr>
          <w:rFonts w:asciiTheme="minorHAnsi" w:hAnsiTheme="minorHAnsi" w:cstheme="minorHAnsi"/>
          <w:sz w:val="20"/>
          <w:szCs w:val="20"/>
        </w:rPr>
        <w:t xml:space="preserve"> </w:t>
      </w:r>
      <w:r w:rsidRPr="001E1392">
        <w:rPr>
          <w:rFonts w:asciiTheme="minorHAnsi" w:hAnsiTheme="minorHAnsi" w:cstheme="minorHAnsi"/>
          <w:sz w:val="20"/>
          <w:szCs w:val="20"/>
        </w:rPr>
        <w:t xml:space="preserve">forma basis, the Combined Group’s annual revenue would have been £3.8bn in 2018, making it the largest online betting and gaming operator globally. </w:t>
      </w:r>
    </w:p>
    <w:p w14:paraId="73A66394" w14:textId="77777777" w:rsidR="00794AFD" w:rsidRPr="001E1392" w:rsidRDefault="00794AFD" w:rsidP="00794AFD">
      <w:pPr>
        <w:adjustRightInd/>
        <w:rPr>
          <w:rFonts w:asciiTheme="minorHAnsi" w:hAnsiTheme="minorHAnsi" w:cstheme="minorHAnsi"/>
          <w:sz w:val="20"/>
          <w:szCs w:val="20"/>
        </w:rPr>
      </w:pPr>
    </w:p>
    <w:p w14:paraId="51472B30" w14:textId="77777777" w:rsidR="00794AFD" w:rsidRPr="00D4314C" w:rsidRDefault="00794AFD" w:rsidP="00794AFD">
      <w:pPr>
        <w:rPr>
          <w:sz w:val="18"/>
          <w:szCs w:val="18"/>
        </w:rPr>
      </w:pPr>
      <w:r w:rsidRPr="00252F15">
        <w:rPr>
          <w:rFonts w:asciiTheme="minorHAnsi" w:hAnsiTheme="minorHAnsi" w:cstheme="minorHAnsi"/>
          <w:sz w:val="20"/>
          <w:szCs w:val="20"/>
        </w:rPr>
        <w:t>The arrangement agreement entered into between the Group and TSG in order to implement the Combination includes certain circumstances in which the Group or TSG may terminate the arrangement agreement, including circumstances in which a termination payment of approximately £60 million will be payable by either party.</w:t>
      </w:r>
    </w:p>
    <w:p w14:paraId="3250A52F" w14:textId="77777777" w:rsidR="00794AFD" w:rsidRDefault="00794AFD" w:rsidP="00794AFD">
      <w:pPr>
        <w:pStyle w:val="Accountstext"/>
        <w:rPr>
          <w:rFonts w:asciiTheme="minorHAnsi" w:hAnsiTheme="minorHAnsi"/>
          <w:b/>
          <w:szCs w:val="22"/>
          <w:lang w:val="en-IE"/>
        </w:rPr>
      </w:pPr>
    </w:p>
    <w:p w14:paraId="5ADDC042" w14:textId="77777777" w:rsidR="00794AFD" w:rsidRDefault="00794AFD" w:rsidP="00794AFD">
      <w:pPr>
        <w:pStyle w:val="Accountstext"/>
        <w:rPr>
          <w:rFonts w:asciiTheme="minorHAnsi" w:hAnsiTheme="minorHAnsi"/>
          <w:b/>
          <w:szCs w:val="22"/>
          <w:lang w:val="en-IE"/>
        </w:rPr>
      </w:pPr>
    </w:p>
    <w:p w14:paraId="0825890F" w14:textId="77777777" w:rsidR="00794AFD" w:rsidRDefault="00794AFD" w:rsidP="00794AFD">
      <w:pPr>
        <w:pStyle w:val="Accountstext"/>
        <w:rPr>
          <w:rFonts w:asciiTheme="minorHAnsi" w:hAnsiTheme="minorHAnsi"/>
          <w:b/>
          <w:szCs w:val="22"/>
          <w:lang w:val="en-IE"/>
        </w:rPr>
      </w:pPr>
    </w:p>
    <w:p w14:paraId="2307B933" w14:textId="77777777" w:rsidR="00794AFD" w:rsidRDefault="00794AFD" w:rsidP="00794AFD">
      <w:pPr>
        <w:pStyle w:val="Accountstext"/>
        <w:rPr>
          <w:rFonts w:asciiTheme="minorHAnsi" w:hAnsiTheme="minorHAnsi"/>
          <w:b/>
          <w:szCs w:val="22"/>
          <w:lang w:val="en-IE"/>
        </w:rPr>
      </w:pPr>
    </w:p>
    <w:p w14:paraId="7A58AE91" w14:textId="77777777" w:rsidR="00794AFD" w:rsidRDefault="00794AFD" w:rsidP="00794AFD">
      <w:pPr>
        <w:pStyle w:val="Accountstext"/>
        <w:rPr>
          <w:rFonts w:asciiTheme="minorHAnsi" w:hAnsiTheme="minorHAnsi"/>
          <w:b/>
          <w:szCs w:val="22"/>
          <w:lang w:val="en-IE"/>
        </w:rPr>
      </w:pPr>
    </w:p>
    <w:p w14:paraId="372DF719" w14:textId="77777777" w:rsidR="00794AFD" w:rsidRDefault="00794AFD" w:rsidP="00794AFD">
      <w:pPr>
        <w:pStyle w:val="Accountstext"/>
        <w:rPr>
          <w:rFonts w:asciiTheme="minorHAnsi" w:hAnsiTheme="minorHAnsi"/>
          <w:b/>
          <w:szCs w:val="22"/>
          <w:lang w:val="en-IE"/>
        </w:rPr>
      </w:pPr>
    </w:p>
    <w:p w14:paraId="7236C106" w14:textId="77777777" w:rsidR="00781634" w:rsidRDefault="00781634" w:rsidP="00E223C0">
      <w:pPr>
        <w:pStyle w:val="Accountstext"/>
        <w:rPr>
          <w:rFonts w:asciiTheme="minorHAnsi" w:hAnsiTheme="minorHAnsi"/>
          <w:b/>
          <w:szCs w:val="22"/>
          <w:lang w:val="en-IE"/>
        </w:rPr>
      </w:pPr>
    </w:p>
    <w:sectPr w:rsidR="00781634" w:rsidSect="00A028FD">
      <w:pgSz w:w="11907" w:h="16839" w:code="9"/>
      <w:pgMar w:top="810" w:right="1170" w:bottom="630" w:left="126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10C2A" w14:textId="77777777" w:rsidR="003E72CE" w:rsidRDefault="003E72CE">
      <w:r>
        <w:separator/>
      </w:r>
    </w:p>
  </w:endnote>
  <w:endnote w:type="continuationSeparator" w:id="0">
    <w:p w14:paraId="2AD65E6D" w14:textId="77777777" w:rsidR="003E72CE" w:rsidRDefault="003E72CE">
      <w:r>
        <w:continuationSeparator/>
      </w:r>
    </w:p>
  </w:endnote>
  <w:endnote w:type="continuationNotice" w:id="1">
    <w:p w14:paraId="4CE10F7A" w14:textId="77777777" w:rsidR="003E72CE" w:rsidRDefault="003E7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 Display Bullets">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liss-ExtraBold">
    <w:altName w:val="Times New Roman"/>
    <w:panose1 w:val="00000000000000000000"/>
    <w:charset w:val="00"/>
    <w:family w:val="auto"/>
    <w:notTrueType/>
    <w:pitch w:val="default"/>
    <w:sig w:usb0="00000003" w:usb1="00000000" w:usb2="00000000" w:usb3="00000000" w:csb0="00000001" w:csb1="00000000"/>
  </w:font>
  <w:font w:name="Bliss-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Neu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3" w:usb2="00000009" w:usb3="00000000" w:csb0="000001FF" w:csb1="00000000"/>
  </w:font>
  <w:font w:name="Univers 45 Light">
    <w:altName w:val="Univers 45 Light"/>
    <w:charset w:val="00"/>
    <w:family w:val="auto"/>
    <w:pitch w:val="variable"/>
    <w:sig w:usb0="80000023" w:usb1="00000000" w:usb2="00000000" w:usb3="00000000" w:csb0="00000001" w:csb1="00000000"/>
  </w:font>
  <w:font w:name="Humanst521 BT">
    <w:altName w:val="Arial"/>
    <w:charset w:val="00"/>
    <w:family w:val="swiss"/>
    <w:pitch w:val="variable"/>
    <w:sig w:usb0="00000001" w:usb1="1000204A" w:usb2="00000000" w:usb3="00000000" w:csb0="00000011" w:csb1="00000000"/>
  </w:font>
  <w:font w:name="Humanst521 Lt BT">
    <w:altName w:val="Arial"/>
    <w:charset w:val="00"/>
    <w:family w:val="swiss"/>
    <w:pitch w:val="variable"/>
    <w:sig w:usb0="00000001" w:usb1="1000204A" w:usb2="00000000" w:usb3="00000000" w:csb0="00000011" w:csb1="00000000"/>
  </w:font>
  <w:font w:name="SunSans-Demi">
    <w:altName w:val="Courier New"/>
    <w:charset w:val="00"/>
    <w:family w:val="auto"/>
    <w:pitch w:val="variable"/>
    <w:sig w:usb0="03000003" w:usb1="00000000" w:usb2="00000000" w:usb3="00000000" w:csb0="00000001" w:csb1="00000000"/>
  </w:font>
  <w:font w:name="Formata Medium">
    <w:altName w:val="Courier New"/>
    <w:charset w:val="00"/>
    <w:family w:val="auto"/>
    <w:pitch w:val="variable"/>
    <w:sig w:usb0="03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nforma Pro Light">
    <w:altName w:val="Arial"/>
    <w:panose1 w:val="00000000000000000000"/>
    <w:charset w:val="00"/>
    <w:family w:val="swiss"/>
    <w:notTrueType/>
    <w:pitch w:val="variable"/>
    <w:sig w:usb0="A00002AF" w:usb1="4000204B" w:usb2="00000000" w:usb3="00000000" w:csb0="0000009F" w:csb1="00000000"/>
  </w:font>
  <w:font w:name="Informa Pro Bold">
    <w:altName w:val="Arial"/>
    <w:panose1 w:val="00000000000000000000"/>
    <w:charset w:val="00"/>
    <w:family w:val="swiss"/>
    <w:notTrueType/>
    <w:pitch w:val="variable"/>
    <w:sig w:usb0="A00002AF" w:usb1="4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6341386"/>
      <w:docPartObj>
        <w:docPartGallery w:val="Page Numbers (Bottom of Page)"/>
        <w:docPartUnique/>
      </w:docPartObj>
    </w:sdtPr>
    <w:sdtEndPr>
      <w:rPr>
        <w:noProof/>
        <w:sz w:val="16"/>
        <w:szCs w:val="16"/>
      </w:rPr>
    </w:sdtEndPr>
    <w:sdtContent>
      <w:p w14:paraId="0B184BDA" w14:textId="4E27C8FC" w:rsidR="003E72CE" w:rsidRPr="005804CF" w:rsidRDefault="003E72CE">
        <w:pPr>
          <w:pStyle w:val="Footer"/>
          <w:jc w:val="right"/>
          <w:rPr>
            <w:sz w:val="16"/>
            <w:szCs w:val="16"/>
          </w:rPr>
        </w:pPr>
        <w:r w:rsidRPr="005804CF">
          <w:rPr>
            <w:sz w:val="16"/>
            <w:szCs w:val="16"/>
          </w:rPr>
          <w:fldChar w:fldCharType="begin"/>
        </w:r>
        <w:r w:rsidRPr="005804CF">
          <w:rPr>
            <w:sz w:val="16"/>
            <w:szCs w:val="16"/>
          </w:rPr>
          <w:instrText xml:space="preserve"> PAGE   \* MERGEFORMAT </w:instrText>
        </w:r>
        <w:r w:rsidRPr="005804CF">
          <w:rPr>
            <w:sz w:val="16"/>
            <w:szCs w:val="16"/>
          </w:rPr>
          <w:fldChar w:fldCharType="separate"/>
        </w:r>
        <w:r>
          <w:rPr>
            <w:noProof/>
            <w:sz w:val="16"/>
            <w:szCs w:val="16"/>
          </w:rPr>
          <w:t>6</w:t>
        </w:r>
        <w:r w:rsidRPr="005804CF">
          <w:rPr>
            <w:noProof/>
            <w:sz w:val="16"/>
            <w:szCs w:val="16"/>
          </w:rPr>
          <w:fldChar w:fldCharType="end"/>
        </w:r>
      </w:p>
    </w:sdtContent>
  </w:sdt>
  <w:p w14:paraId="3E22B32D" w14:textId="77777777" w:rsidR="003E72CE" w:rsidRDefault="003E72C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375D" w14:textId="77777777" w:rsidR="003E72CE" w:rsidRDefault="003E7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614646"/>
      <w:docPartObj>
        <w:docPartGallery w:val="Page Numbers (Bottom of Page)"/>
        <w:docPartUnique/>
      </w:docPartObj>
    </w:sdtPr>
    <w:sdtEndPr>
      <w:rPr>
        <w:noProof/>
        <w:sz w:val="16"/>
        <w:szCs w:val="16"/>
      </w:rPr>
    </w:sdtEndPr>
    <w:sdtContent>
      <w:p w14:paraId="4DAF0B8A" w14:textId="77777777" w:rsidR="003E72CE" w:rsidRPr="005804CF" w:rsidRDefault="003E72CE" w:rsidP="00324B39">
        <w:pPr>
          <w:pStyle w:val="Footer"/>
          <w:jc w:val="right"/>
          <w:rPr>
            <w:sz w:val="16"/>
            <w:szCs w:val="16"/>
          </w:rPr>
        </w:pPr>
        <w:r w:rsidRPr="005804CF">
          <w:rPr>
            <w:sz w:val="16"/>
            <w:szCs w:val="16"/>
          </w:rPr>
          <w:fldChar w:fldCharType="begin"/>
        </w:r>
        <w:r w:rsidRPr="005804CF">
          <w:rPr>
            <w:sz w:val="16"/>
            <w:szCs w:val="16"/>
          </w:rPr>
          <w:instrText xml:space="preserve"> PAGE   \* MERGEFORMAT </w:instrText>
        </w:r>
        <w:r w:rsidRPr="005804CF">
          <w:rPr>
            <w:sz w:val="16"/>
            <w:szCs w:val="16"/>
          </w:rPr>
          <w:fldChar w:fldCharType="separate"/>
        </w:r>
        <w:r>
          <w:rPr>
            <w:noProof/>
            <w:sz w:val="16"/>
            <w:szCs w:val="16"/>
          </w:rPr>
          <w:t>25</w:t>
        </w:r>
        <w:r w:rsidRPr="005804CF">
          <w:rPr>
            <w:noProof/>
            <w:sz w:val="16"/>
            <w:szCs w:val="16"/>
          </w:rPr>
          <w:fldChar w:fldCharType="end"/>
        </w:r>
      </w:p>
    </w:sdtContent>
  </w:sdt>
  <w:p w14:paraId="4F5A9A27" w14:textId="77777777" w:rsidR="003E72CE" w:rsidRDefault="003E7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F3F63" w14:textId="77777777" w:rsidR="003E72CE" w:rsidRPr="005804CF" w:rsidRDefault="00AE2CB8" w:rsidP="00324B39">
    <w:pPr>
      <w:pStyle w:val="Footer"/>
      <w:jc w:val="right"/>
      <w:rPr>
        <w:sz w:val="16"/>
        <w:szCs w:val="16"/>
      </w:rPr>
    </w:pPr>
    <w:sdt>
      <w:sdtPr>
        <w:id w:val="2016184146"/>
        <w:docPartObj>
          <w:docPartGallery w:val="Page Numbers (Bottom of Page)"/>
          <w:docPartUnique/>
        </w:docPartObj>
      </w:sdtPr>
      <w:sdtEndPr>
        <w:rPr>
          <w:noProof/>
          <w:sz w:val="16"/>
          <w:szCs w:val="16"/>
        </w:rPr>
      </w:sdtEndPr>
      <w:sdtContent>
        <w:r w:rsidR="003E72CE" w:rsidRPr="005804CF">
          <w:rPr>
            <w:sz w:val="16"/>
            <w:szCs w:val="16"/>
          </w:rPr>
          <w:fldChar w:fldCharType="begin"/>
        </w:r>
        <w:r w:rsidR="003E72CE" w:rsidRPr="005804CF">
          <w:rPr>
            <w:sz w:val="16"/>
            <w:szCs w:val="16"/>
          </w:rPr>
          <w:instrText xml:space="preserve"> PAGE   \* MERGEFORMAT </w:instrText>
        </w:r>
        <w:r w:rsidR="003E72CE" w:rsidRPr="005804CF">
          <w:rPr>
            <w:sz w:val="16"/>
            <w:szCs w:val="16"/>
          </w:rPr>
          <w:fldChar w:fldCharType="separate"/>
        </w:r>
        <w:r w:rsidR="003E72CE">
          <w:rPr>
            <w:noProof/>
            <w:sz w:val="16"/>
            <w:szCs w:val="16"/>
          </w:rPr>
          <w:t>21</w:t>
        </w:r>
        <w:r w:rsidR="003E72CE" w:rsidRPr="005804CF">
          <w:rPr>
            <w:noProof/>
            <w:sz w:val="16"/>
            <w:szCs w:val="16"/>
          </w:rPr>
          <w:fldChar w:fldCharType="end"/>
        </w:r>
      </w:sdtContent>
    </w:sdt>
  </w:p>
  <w:p w14:paraId="53EF9A5F" w14:textId="77777777" w:rsidR="003E72CE" w:rsidRDefault="003E72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E66FD" w14:textId="77777777" w:rsidR="003E72CE" w:rsidRDefault="003E72CE" w:rsidP="00F335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8658" w14:textId="77777777" w:rsidR="003E72CE" w:rsidRDefault="003E72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sz w:val="16"/>
        <w:szCs w:val="16"/>
      </w:rPr>
      <w:id w:val="839202648"/>
      <w:docPartObj>
        <w:docPartGallery w:val="Page Numbers (Bottom of Page)"/>
        <w:docPartUnique/>
      </w:docPartObj>
    </w:sdtPr>
    <w:sdtEndPr/>
    <w:sdtContent>
      <w:p w14:paraId="239D6FC2" w14:textId="33B745F0" w:rsidR="003E72CE" w:rsidRPr="005F1F68" w:rsidRDefault="003E72CE">
        <w:pPr>
          <w:pStyle w:val="Footer"/>
          <w:jc w:val="right"/>
          <w:rPr>
            <w:noProof/>
            <w:sz w:val="16"/>
            <w:szCs w:val="16"/>
          </w:rPr>
        </w:pPr>
        <w:r w:rsidRPr="005F1F68">
          <w:rPr>
            <w:noProof/>
            <w:sz w:val="16"/>
            <w:szCs w:val="16"/>
          </w:rPr>
          <w:fldChar w:fldCharType="begin"/>
        </w:r>
        <w:r w:rsidRPr="005F1F68">
          <w:rPr>
            <w:noProof/>
            <w:sz w:val="16"/>
            <w:szCs w:val="16"/>
          </w:rPr>
          <w:instrText xml:space="preserve"> PAGE   \* MERGEFORMAT </w:instrText>
        </w:r>
        <w:r w:rsidRPr="005F1F68">
          <w:rPr>
            <w:noProof/>
            <w:sz w:val="16"/>
            <w:szCs w:val="16"/>
          </w:rPr>
          <w:fldChar w:fldCharType="separate"/>
        </w:r>
        <w:r w:rsidRPr="005F1F68">
          <w:rPr>
            <w:noProof/>
            <w:sz w:val="16"/>
            <w:szCs w:val="16"/>
          </w:rPr>
          <w:t>2</w:t>
        </w:r>
        <w:r w:rsidRPr="005F1F68">
          <w:rPr>
            <w:noProof/>
            <w:sz w:val="16"/>
            <w:szCs w:val="16"/>
          </w:rPr>
          <w:fldChar w:fldCharType="end"/>
        </w:r>
      </w:p>
    </w:sdtContent>
  </w:sdt>
  <w:p w14:paraId="4AB5FF0C" w14:textId="77777777" w:rsidR="003E72CE" w:rsidRDefault="003E72C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12A13" w14:textId="77777777" w:rsidR="003E72CE" w:rsidRDefault="003E72C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CBF33" w14:textId="77777777" w:rsidR="003E72CE" w:rsidRDefault="003E72C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601622"/>
      <w:docPartObj>
        <w:docPartGallery w:val="Page Numbers (Bottom of Page)"/>
        <w:docPartUnique/>
      </w:docPartObj>
    </w:sdtPr>
    <w:sdtEndPr>
      <w:rPr>
        <w:noProof/>
        <w:sz w:val="16"/>
        <w:szCs w:val="16"/>
      </w:rPr>
    </w:sdtEndPr>
    <w:sdtContent>
      <w:p w14:paraId="74A3F12C" w14:textId="369F31EA" w:rsidR="003E72CE" w:rsidRPr="00A81BDE" w:rsidRDefault="003E72CE">
        <w:pPr>
          <w:pStyle w:val="Footer"/>
          <w:jc w:val="right"/>
          <w:rPr>
            <w:noProof/>
            <w:sz w:val="16"/>
            <w:szCs w:val="16"/>
          </w:rPr>
        </w:pPr>
        <w:r w:rsidRPr="00B8365F">
          <w:rPr>
            <w:noProof/>
            <w:sz w:val="16"/>
            <w:szCs w:val="16"/>
          </w:rPr>
          <w:fldChar w:fldCharType="begin"/>
        </w:r>
        <w:r w:rsidRPr="00B8365F">
          <w:rPr>
            <w:noProof/>
            <w:sz w:val="16"/>
            <w:szCs w:val="16"/>
          </w:rPr>
          <w:instrText xml:space="preserve"> PAGE   \* MERGEFORMAT </w:instrText>
        </w:r>
        <w:r w:rsidRPr="00B8365F">
          <w:rPr>
            <w:noProof/>
            <w:sz w:val="16"/>
            <w:szCs w:val="16"/>
          </w:rPr>
          <w:fldChar w:fldCharType="separate"/>
        </w:r>
        <w:r w:rsidRPr="00B8365F">
          <w:rPr>
            <w:noProof/>
            <w:sz w:val="16"/>
            <w:szCs w:val="16"/>
          </w:rPr>
          <w:t>2</w:t>
        </w:r>
        <w:r w:rsidRPr="00B8365F">
          <w:rPr>
            <w:noProof/>
            <w:sz w:val="16"/>
            <w:szCs w:val="16"/>
          </w:rPr>
          <w:fldChar w:fldCharType="end"/>
        </w:r>
      </w:p>
    </w:sdtContent>
  </w:sdt>
  <w:p w14:paraId="45125D60" w14:textId="77777777" w:rsidR="003E72CE" w:rsidRDefault="003E7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4CBB8" w14:textId="77777777" w:rsidR="003E72CE" w:rsidRDefault="003E72CE">
      <w:r>
        <w:separator/>
      </w:r>
    </w:p>
  </w:footnote>
  <w:footnote w:type="continuationSeparator" w:id="0">
    <w:p w14:paraId="086A67FA" w14:textId="77777777" w:rsidR="003E72CE" w:rsidRDefault="003E72CE">
      <w:r>
        <w:continuationSeparator/>
      </w:r>
    </w:p>
  </w:footnote>
  <w:footnote w:type="continuationNotice" w:id="1">
    <w:p w14:paraId="7422D3C0" w14:textId="77777777" w:rsidR="003E72CE" w:rsidRDefault="003E7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B89E" w14:textId="202CC88D" w:rsidR="003E72CE" w:rsidRDefault="003E7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39A3D" w14:textId="77777777" w:rsidR="003E72CE" w:rsidRDefault="003E7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C5AD1" w14:textId="77777777" w:rsidR="003E72CE" w:rsidRDefault="003E7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8A33" w14:textId="77777777" w:rsidR="003E72CE" w:rsidRDefault="003E72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3534" w14:textId="7BFE2E23" w:rsidR="003E72CE" w:rsidRDefault="003E72C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47DB0" w14:textId="77777777" w:rsidR="003E72CE" w:rsidRDefault="003E72C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3A048" w14:textId="77777777" w:rsidR="003E72CE" w:rsidRDefault="003E7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467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BDA53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74E0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734A67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B38E2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1A4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32FA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2E05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20E2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94AD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E4953"/>
    <w:multiLevelType w:val="hybridMultilevel"/>
    <w:tmpl w:val="67AE0EF0"/>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abstractNum w:abstractNumId="11" w15:restartNumberingAfterBreak="0">
    <w:nsid w:val="1186730A"/>
    <w:multiLevelType w:val="hybridMultilevel"/>
    <w:tmpl w:val="05D4EDEC"/>
    <w:lvl w:ilvl="0" w:tplc="2988C38A">
      <w:start w:val="1"/>
      <w:numFmt w:val="bullet"/>
      <w:pStyle w:val="bullettext"/>
      <w:lvlText w:val="E"/>
      <w:lvlJc w:val="left"/>
      <w:pPr>
        <w:ind w:left="360" w:hanging="360"/>
      </w:pPr>
      <w:rPr>
        <w:rFonts w:ascii="Officina Display Bullets" w:hAnsi="Officina Display Bullet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5038C8"/>
    <w:multiLevelType w:val="hybridMultilevel"/>
    <w:tmpl w:val="2522CC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18362F6"/>
    <w:multiLevelType w:val="hybridMultilevel"/>
    <w:tmpl w:val="8760E2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2DA3222"/>
    <w:multiLevelType w:val="hybridMultilevel"/>
    <w:tmpl w:val="E918D2DC"/>
    <w:lvl w:ilvl="0" w:tplc="BF6413EA">
      <w:start w:val="1"/>
      <w:numFmt w:val="bullet"/>
      <w:lvlText w:val="­"/>
      <w:lvlJc w:val="left"/>
      <w:pPr>
        <w:ind w:left="1004" w:hanging="360"/>
      </w:pPr>
      <w:rPr>
        <w:rFonts w:ascii="Courier New" w:hAnsi="Courier New" w:hint="default"/>
      </w:rPr>
    </w:lvl>
    <w:lvl w:ilvl="1" w:tplc="BF6413EA">
      <w:start w:val="1"/>
      <w:numFmt w:val="bullet"/>
      <w:lvlText w:val="­"/>
      <w:lvlJc w:val="left"/>
      <w:pPr>
        <w:ind w:left="1724" w:hanging="360"/>
      </w:pPr>
      <w:rPr>
        <w:rFonts w:ascii="Courier New" w:hAnsi="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5" w15:restartNumberingAfterBreak="0">
    <w:nsid w:val="33546D44"/>
    <w:multiLevelType w:val="hybridMultilevel"/>
    <w:tmpl w:val="88D6E0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5A6572F"/>
    <w:multiLevelType w:val="hybridMultilevel"/>
    <w:tmpl w:val="DBB2E222"/>
    <w:lvl w:ilvl="0" w:tplc="B4F23780">
      <w:start w:val="1"/>
      <w:numFmt w:val="bullet"/>
      <w:lvlText w:val="-"/>
      <w:lvlJc w:val="left"/>
      <w:pPr>
        <w:ind w:left="1004" w:hanging="360"/>
      </w:pPr>
      <w:rPr>
        <w:rFonts w:ascii="Courier New" w:hAnsi="Courier New" w:hint="default"/>
      </w:rPr>
    </w:lvl>
    <w:lvl w:ilvl="1" w:tplc="B4F23780">
      <w:start w:val="1"/>
      <w:numFmt w:val="bullet"/>
      <w:lvlText w:val="-"/>
      <w:lvlJc w:val="left"/>
      <w:pPr>
        <w:ind w:left="1724" w:hanging="360"/>
      </w:pPr>
      <w:rPr>
        <w:rFonts w:ascii="Courier New" w:hAnsi="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7" w15:restartNumberingAfterBreak="0">
    <w:nsid w:val="373A5DB0"/>
    <w:multiLevelType w:val="hybridMultilevel"/>
    <w:tmpl w:val="D8C6DE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B7F3B33"/>
    <w:multiLevelType w:val="hybridMultilevel"/>
    <w:tmpl w:val="B9D807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2FB67CE"/>
    <w:multiLevelType w:val="hybridMultilevel"/>
    <w:tmpl w:val="2AC64142"/>
    <w:lvl w:ilvl="0" w:tplc="FA02ADB6">
      <w:start w:val="1"/>
      <w:numFmt w:val="bullet"/>
      <w:lvlText w:val=""/>
      <w:lvlJc w:val="left"/>
      <w:pPr>
        <w:tabs>
          <w:tab w:val="num" w:pos="720"/>
        </w:tabs>
        <w:ind w:left="720" w:hanging="360"/>
      </w:pPr>
      <w:rPr>
        <w:rFonts w:ascii="Wingdings" w:hAnsi="Wingdings" w:hint="default"/>
      </w:rPr>
    </w:lvl>
    <w:lvl w:ilvl="1" w:tplc="D2C2D6E0">
      <w:start w:val="1"/>
      <w:numFmt w:val="bullet"/>
      <w:lvlText w:val=""/>
      <w:lvlJc w:val="left"/>
      <w:pPr>
        <w:tabs>
          <w:tab w:val="num" w:pos="1440"/>
        </w:tabs>
        <w:ind w:left="1440" w:hanging="360"/>
      </w:pPr>
      <w:rPr>
        <w:rFonts w:ascii="Wingdings" w:hAnsi="Wingdings" w:hint="default"/>
      </w:rPr>
    </w:lvl>
    <w:lvl w:ilvl="2" w:tplc="E9CA99B4" w:tentative="1">
      <w:start w:val="1"/>
      <w:numFmt w:val="bullet"/>
      <w:lvlText w:val=""/>
      <w:lvlJc w:val="left"/>
      <w:pPr>
        <w:tabs>
          <w:tab w:val="num" w:pos="2160"/>
        </w:tabs>
        <w:ind w:left="2160" w:hanging="360"/>
      </w:pPr>
      <w:rPr>
        <w:rFonts w:ascii="Wingdings" w:hAnsi="Wingdings" w:hint="default"/>
      </w:rPr>
    </w:lvl>
    <w:lvl w:ilvl="3" w:tplc="195E93EA" w:tentative="1">
      <w:start w:val="1"/>
      <w:numFmt w:val="bullet"/>
      <w:lvlText w:val=""/>
      <w:lvlJc w:val="left"/>
      <w:pPr>
        <w:tabs>
          <w:tab w:val="num" w:pos="2880"/>
        </w:tabs>
        <w:ind w:left="2880" w:hanging="360"/>
      </w:pPr>
      <w:rPr>
        <w:rFonts w:ascii="Wingdings" w:hAnsi="Wingdings" w:hint="default"/>
      </w:rPr>
    </w:lvl>
    <w:lvl w:ilvl="4" w:tplc="0EC4F6C6" w:tentative="1">
      <w:start w:val="1"/>
      <w:numFmt w:val="bullet"/>
      <w:lvlText w:val=""/>
      <w:lvlJc w:val="left"/>
      <w:pPr>
        <w:tabs>
          <w:tab w:val="num" w:pos="3600"/>
        </w:tabs>
        <w:ind w:left="3600" w:hanging="360"/>
      </w:pPr>
      <w:rPr>
        <w:rFonts w:ascii="Wingdings" w:hAnsi="Wingdings" w:hint="default"/>
      </w:rPr>
    </w:lvl>
    <w:lvl w:ilvl="5" w:tplc="BEB0EA94" w:tentative="1">
      <w:start w:val="1"/>
      <w:numFmt w:val="bullet"/>
      <w:lvlText w:val=""/>
      <w:lvlJc w:val="left"/>
      <w:pPr>
        <w:tabs>
          <w:tab w:val="num" w:pos="4320"/>
        </w:tabs>
        <w:ind w:left="4320" w:hanging="360"/>
      </w:pPr>
      <w:rPr>
        <w:rFonts w:ascii="Wingdings" w:hAnsi="Wingdings" w:hint="default"/>
      </w:rPr>
    </w:lvl>
    <w:lvl w:ilvl="6" w:tplc="D9B816D4" w:tentative="1">
      <w:start w:val="1"/>
      <w:numFmt w:val="bullet"/>
      <w:lvlText w:val=""/>
      <w:lvlJc w:val="left"/>
      <w:pPr>
        <w:tabs>
          <w:tab w:val="num" w:pos="5040"/>
        </w:tabs>
        <w:ind w:left="5040" w:hanging="360"/>
      </w:pPr>
      <w:rPr>
        <w:rFonts w:ascii="Wingdings" w:hAnsi="Wingdings" w:hint="default"/>
      </w:rPr>
    </w:lvl>
    <w:lvl w:ilvl="7" w:tplc="31782694" w:tentative="1">
      <w:start w:val="1"/>
      <w:numFmt w:val="bullet"/>
      <w:lvlText w:val=""/>
      <w:lvlJc w:val="left"/>
      <w:pPr>
        <w:tabs>
          <w:tab w:val="num" w:pos="5760"/>
        </w:tabs>
        <w:ind w:left="5760" w:hanging="360"/>
      </w:pPr>
      <w:rPr>
        <w:rFonts w:ascii="Wingdings" w:hAnsi="Wingdings" w:hint="default"/>
      </w:rPr>
    </w:lvl>
    <w:lvl w:ilvl="8" w:tplc="8720622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0550EE"/>
    <w:multiLevelType w:val="hybridMultilevel"/>
    <w:tmpl w:val="03320D6C"/>
    <w:lvl w:ilvl="0" w:tplc="4CC0B1F6">
      <w:start w:val="1"/>
      <w:numFmt w:val="bullet"/>
      <w:pStyle w:val="ListBullet"/>
      <w:lvlText w:val=""/>
      <w:lvlJc w:val="left"/>
      <w:pPr>
        <w:tabs>
          <w:tab w:val="num" w:pos="340"/>
        </w:tabs>
        <w:ind w:left="340" w:hanging="340"/>
      </w:pPr>
      <w:rPr>
        <w:rFonts w:ascii="Symbol" w:hAnsi="Symbol" w:hint="default"/>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4F7D5B"/>
    <w:multiLevelType w:val="hybridMultilevel"/>
    <w:tmpl w:val="1CF2BA44"/>
    <w:lvl w:ilvl="0" w:tplc="359AABD8">
      <w:start w:val="1"/>
      <w:numFmt w:val="lowerRoman"/>
      <w:lvlText w:val="(%1)"/>
      <w:lvlJc w:val="left"/>
      <w:pPr>
        <w:ind w:left="768" w:hanging="720"/>
      </w:pPr>
      <w:rPr>
        <w:rFonts w:hint="default"/>
      </w:rPr>
    </w:lvl>
    <w:lvl w:ilvl="1" w:tplc="18090019" w:tentative="1">
      <w:start w:val="1"/>
      <w:numFmt w:val="lowerLetter"/>
      <w:lvlText w:val="%2."/>
      <w:lvlJc w:val="left"/>
      <w:pPr>
        <w:ind w:left="1128" w:hanging="360"/>
      </w:pPr>
    </w:lvl>
    <w:lvl w:ilvl="2" w:tplc="1809001B" w:tentative="1">
      <w:start w:val="1"/>
      <w:numFmt w:val="lowerRoman"/>
      <w:lvlText w:val="%3."/>
      <w:lvlJc w:val="right"/>
      <w:pPr>
        <w:ind w:left="1848" w:hanging="180"/>
      </w:pPr>
    </w:lvl>
    <w:lvl w:ilvl="3" w:tplc="1809000F" w:tentative="1">
      <w:start w:val="1"/>
      <w:numFmt w:val="decimal"/>
      <w:lvlText w:val="%4."/>
      <w:lvlJc w:val="left"/>
      <w:pPr>
        <w:ind w:left="2568" w:hanging="360"/>
      </w:pPr>
    </w:lvl>
    <w:lvl w:ilvl="4" w:tplc="18090019" w:tentative="1">
      <w:start w:val="1"/>
      <w:numFmt w:val="lowerLetter"/>
      <w:lvlText w:val="%5."/>
      <w:lvlJc w:val="left"/>
      <w:pPr>
        <w:ind w:left="3288" w:hanging="360"/>
      </w:pPr>
    </w:lvl>
    <w:lvl w:ilvl="5" w:tplc="1809001B" w:tentative="1">
      <w:start w:val="1"/>
      <w:numFmt w:val="lowerRoman"/>
      <w:lvlText w:val="%6."/>
      <w:lvlJc w:val="right"/>
      <w:pPr>
        <w:ind w:left="4008" w:hanging="180"/>
      </w:pPr>
    </w:lvl>
    <w:lvl w:ilvl="6" w:tplc="1809000F" w:tentative="1">
      <w:start w:val="1"/>
      <w:numFmt w:val="decimal"/>
      <w:lvlText w:val="%7."/>
      <w:lvlJc w:val="left"/>
      <w:pPr>
        <w:ind w:left="4728" w:hanging="360"/>
      </w:pPr>
    </w:lvl>
    <w:lvl w:ilvl="7" w:tplc="18090019" w:tentative="1">
      <w:start w:val="1"/>
      <w:numFmt w:val="lowerLetter"/>
      <w:lvlText w:val="%8."/>
      <w:lvlJc w:val="left"/>
      <w:pPr>
        <w:ind w:left="5448" w:hanging="360"/>
      </w:pPr>
    </w:lvl>
    <w:lvl w:ilvl="8" w:tplc="1809001B" w:tentative="1">
      <w:start w:val="1"/>
      <w:numFmt w:val="lowerRoman"/>
      <w:lvlText w:val="%9."/>
      <w:lvlJc w:val="right"/>
      <w:pPr>
        <w:ind w:left="6168" w:hanging="180"/>
      </w:pPr>
    </w:lvl>
  </w:abstractNum>
  <w:abstractNum w:abstractNumId="23" w15:restartNumberingAfterBreak="0">
    <w:nsid w:val="53C2726D"/>
    <w:multiLevelType w:val="hybridMultilevel"/>
    <w:tmpl w:val="1CF2BA44"/>
    <w:lvl w:ilvl="0" w:tplc="359AABD8">
      <w:start w:val="1"/>
      <w:numFmt w:val="lowerRoman"/>
      <w:lvlText w:val="(%1)"/>
      <w:lvlJc w:val="left"/>
      <w:pPr>
        <w:ind w:left="768" w:hanging="720"/>
      </w:pPr>
      <w:rPr>
        <w:rFonts w:hint="default"/>
      </w:rPr>
    </w:lvl>
    <w:lvl w:ilvl="1" w:tplc="18090019" w:tentative="1">
      <w:start w:val="1"/>
      <w:numFmt w:val="lowerLetter"/>
      <w:lvlText w:val="%2."/>
      <w:lvlJc w:val="left"/>
      <w:pPr>
        <w:ind w:left="1128" w:hanging="360"/>
      </w:pPr>
    </w:lvl>
    <w:lvl w:ilvl="2" w:tplc="1809001B" w:tentative="1">
      <w:start w:val="1"/>
      <w:numFmt w:val="lowerRoman"/>
      <w:lvlText w:val="%3."/>
      <w:lvlJc w:val="right"/>
      <w:pPr>
        <w:ind w:left="1848" w:hanging="180"/>
      </w:pPr>
    </w:lvl>
    <w:lvl w:ilvl="3" w:tplc="1809000F" w:tentative="1">
      <w:start w:val="1"/>
      <w:numFmt w:val="decimal"/>
      <w:lvlText w:val="%4."/>
      <w:lvlJc w:val="left"/>
      <w:pPr>
        <w:ind w:left="2568" w:hanging="360"/>
      </w:pPr>
    </w:lvl>
    <w:lvl w:ilvl="4" w:tplc="18090019" w:tentative="1">
      <w:start w:val="1"/>
      <w:numFmt w:val="lowerLetter"/>
      <w:lvlText w:val="%5."/>
      <w:lvlJc w:val="left"/>
      <w:pPr>
        <w:ind w:left="3288" w:hanging="360"/>
      </w:pPr>
    </w:lvl>
    <w:lvl w:ilvl="5" w:tplc="1809001B" w:tentative="1">
      <w:start w:val="1"/>
      <w:numFmt w:val="lowerRoman"/>
      <w:lvlText w:val="%6."/>
      <w:lvlJc w:val="right"/>
      <w:pPr>
        <w:ind w:left="4008" w:hanging="180"/>
      </w:pPr>
    </w:lvl>
    <w:lvl w:ilvl="6" w:tplc="1809000F" w:tentative="1">
      <w:start w:val="1"/>
      <w:numFmt w:val="decimal"/>
      <w:lvlText w:val="%7."/>
      <w:lvlJc w:val="left"/>
      <w:pPr>
        <w:ind w:left="4728" w:hanging="360"/>
      </w:pPr>
    </w:lvl>
    <w:lvl w:ilvl="7" w:tplc="18090019" w:tentative="1">
      <w:start w:val="1"/>
      <w:numFmt w:val="lowerLetter"/>
      <w:lvlText w:val="%8."/>
      <w:lvlJc w:val="left"/>
      <w:pPr>
        <w:ind w:left="5448" w:hanging="360"/>
      </w:pPr>
    </w:lvl>
    <w:lvl w:ilvl="8" w:tplc="1809001B" w:tentative="1">
      <w:start w:val="1"/>
      <w:numFmt w:val="lowerRoman"/>
      <w:lvlText w:val="%9."/>
      <w:lvlJc w:val="right"/>
      <w:pPr>
        <w:ind w:left="6168" w:hanging="180"/>
      </w:pPr>
    </w:lvl>
  </w:abstractNum>
  <w:abstractNum w:abstractNumId="24" w15:restartNumberingAfterBreak="0">
    <w:nsid w:val="5C021204"/>
    <w:multiLevelType w:val="hybridMultilevel"/>
    <w:tmpl w:val="622804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EBE5748"/>
    <w:multiLevelType w:val="multilevel"/>
    <w:tmpl w:val="72629116"/>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i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i w:val="0"/>
        <w:caps w:val="0"/>
        <w:smallCaps w:val="0"/>
        <w:strike w:val="0"/>
        <w:dstrike w:val="0"/>
        <w:vanish w:val="0"/>
        <w:color w:val="auto"/>
        <w:u w:val="none"/>
        <w:effect w:val="none"/>
        <w:vertAlign w:val="baseline"/>
      </w:rPr>
    </w:lvl>
    <w:lvl w:ilvl="3">
      <w:start w:val="1"/>
      <w:numFmt w:val="lowerRoman"/>
      <w:pStyle w:val="ACLevel2"/>
      <w:lvlText w:val="(%4)"/>
      <w:lvlJc w:val="left"/>
      <w:pPr>
        <w:tabs>
          <w:tab w:val="num" w:pos="2880"/>
        </w:tabs>
        <w:ind w:left="2880" w:hanging="720"/>
      </w:pPr>
      <w:rPr>
        <w:b w:val="0"/>
        <w:i w:val="0"/>
        <w:caps w:val="0"/>
        <w:smallCaps w:val="0"/>
        <w:strike w:val="0"/>
        <w:dstrike w:val="0"/>
        <w:vanish w:val="0"/>
        <w:color w:val="auto"/>
        <w:u w:val="none"/>
        <w:effect w:val="none"/>
        <w:vertAlign w:val="baseline"/>
      </w:rPr>
    </w:lvl>
    <w:lvl w:ilvl="4">
      <w:start w:val="1"/>
      <w:numFmt w:val="upperLetter"/>
      <w:pStyle w:val="ACLevel3"/>
      <w:lvlText w:val="(%5)"/>
      <w:lvlJc w:val="left"/>
      <w:pPr>
        <w:tabs>
          <w:tab w:val="num" w:pos="3600"/>
        </w:tabs>
        <w:ind w:left="3600" w:hanging="720"/>
      </w:pPr>
      <w:rPr>
        <w:b w:val="0"/>
        <w:i w:val="0"/>
        <w:caps w:val="0"/>
        <w:smallCaps w:val="0"/>
        <w:strike w:val="0"/>
        <w:dstrike w:val="0"/>
        <w:vanish w:val="0"/>
        <w:color w:val="auto"/>
        <w:u w:val="none"/>
        <w:effect w:val="none"/>
        <w:vertAlign w:val="base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26" w15:restartNumberingAfterBreak="0">
    <w:nsid w:val="62151DC7"/>
    <w:multiLevelType w:val="hybridMultilevel"/>
    <w:tmpl w:val="DF5C53EA"/>
    <w:lvl w:ilvl="0" w:tplc="7E5C2004">
      <w:start w:val="1"/>
      <w:numFmt w:val="bullet"/>
      <w:pStyle w:val="Bullet"/>
      <w:lvlText w:val=""/>
      <w:lvlJc w:val="left"/>
      <w:pPr>
        <w:tabs>
          <w:tab w:val="num" w:pos="360"/>
        </w:tabs>
        <w:ind w:left="360" w:hanging="360"/>
      </w:pPr>
      <w:rPr>
        <w:rFonts w:ascii="Symbol" w:hAnsi="Symbol" w:cs="Symbol" w:hint="default"/>
      </w:rPr>
    </w:lvl>
    <w:lvl w:ilvl="1" w:tplc="DAE07E7A">
      <w:start w:val="1"/>
      <w:numFmt w:val="bullet"/>
      <w:lvlText w:val=""/>
      <w:lvlJc w:val="left"/>
      <w:pPr>
        <w:tabs>
          <w:tab w:val="num" w:pos="340"/>
        </w:tabs>
        <w:ind w:left="340" w:hanging="340"/>
      </w:pPr>
      <w:rPr>
        <w:rFonts w:ascii="Symbol" w:hAnsi="Symbol" w:cs="Symbol" w:hint="default"/>
        <w:color w:val="auto"/>
        <w:sz w:val="22"/>
        <w:szCs w:val="22"/>
      </w:rPr>
    </w:lvl>
    <w:lvl w:ilvl="2" w:tplc="154A2A2A">
      <w:start w:val="1"/>
      <w:numFmt w:val="bullet"/>
      <w:lvlText w:val=""/>
      <w:lvlJc w:val="left"/>
      <w:pPr>
        <w:tabs>
          <w:tab w:val="num" w:pos="340"/>
        </w:tabs>
        <w:ind w:left="340" w:hanging="340"/>
      </w:pPr>
      <w:rPr>
        <w:rFonts w:ascii="Symbol" w:hAnsi="Symbol" w:cs="Symbol" w:hint="default"/>
        <w:color w:val="auto"/>
        <w:sz w:val="22"/>
        <w:szCs w:val="22"/>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3765803"/>
    <w:multiLevelType w:val="hybridMultilevel"/>
    <w:tmpl w:val="49C0A0A2"/>
    <w:lvl w:ilvl="0" w:tplc="CF3472D8">
      <w:start w:val="1"/>
      <w:numFmt w:val="bullet"/>
      <w:lvlText w:val="-"/>
      <w:lvlJc w:val="left"/>
      <w:pPr>
        <w:ind w:left="405" w:hanging="360"/>
      </w:pPr>
      <w:rPr>
        <w:rFonts w:ascii="Calibri" w:eastAsia="Times New Roman"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28" w15:restartNumberingAfterBreak="0">
    <w:nsid w:val="754E7178"/>
    <w:multiLevelType w:val="hybridMultilevel"/>
    <w:tmpl w:val="63D09CB8"/>
    <w:lvl w:ilvl="0" w:tplc="18090001">
      <w:start w:val="1"/>
      <w:numFmt w:val="bullet"/>
      <w:lvlText w:val=""/>
      <w:lvlJc w:val="left"/>
      <w:pPr>
        <w:ind w:left="1004" w:hanging="360"/>
      </w:pPr>
      <w:rPr>
        <w:rFonts w:ascii="Symbol" w:hAnsi="Symbol" w:hint="default"/>
      </w:rPr>
    </w:lvl>
    <w:lvl w:ilvl="1" w:tplc="BF6413EA">
      <w:start w:val="1"/>
      <w:numFmt w:val="bullet"/>
      <w:lvlText w:val="­"/>
      <w:lvlJc w:val="left"/>
      <w:pPr>
        <w:ind w:left="1724" w:hanging="360"/>
      </w:pPr>
      <w:rPr>
        <w:rFonts w:ascii="Courier New" w:hAnsi="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9" w15:restartNumberingAfterBreak="0">
    <w:nsid w:val="7ED46CB8"/>
    <w:multiLevelType w:val="hybridMultilevel"/>
    <w:tmpl w:val="5546D780"/>
    <w:lvl w:ilvl="0" w:tplc="B4F23780">
      <w:start w:val="1"/>
      <w:numFmt w:val="bullet"/>
      <w:lvlText w:val="-"/>
      <w:lvlJc w:val="left"/>
      <w:pPr>
        <w:ind w:left="768" w:hanging="720"/>
      </w:pPr>
      <w:rPr>
        <w:rFonts w:ascii="Courier New" w:hAnsi="Courier New" w:hint="default"/>
      </w:rPr>
    </w:lvl>
    <w:lvl w:ilvl="1" w:tplc="18090019" w:tentative="1">
      <w:start w:val="1"/>
      <w:numFmt w:val="lowerLetter"/>
      <w:lvlText w:val="%2."/>
      <w:lvlJc w:val="left"/>
      <w:pPr>
        <w:ind w:left="1128" w:hanging="360"/>
      </w:pPr>
    </w:lvl>
    <w:lvl w:ilvl="2" w:tplc="1809001B" w:tentative="1">
      <w:start w:val="1"/>
      <w:numFmt w:val="lowerRoman"/>
      <w:lvlText w:val="%3."/>
      <w:lvlJc w:val="right"/>
      <w:pPr>
        <w:ind w:left="1848" w:hanging="180"/>
      </w:pPr>
    </w:lvl>
    <w:lvl w:ilvl="3" w:tplc="1809000F" w:tentative="1">
      <w:start w:val="1"/>
      <w:numFmt w:val="decimal"/>
      <w:lvlText w:val="%4."/>
      <w:lvlJc w:val="left"/>
      <w:pPr>
        <w:ind w:left="2568" w:hanging="360"/>
      </w:pPr>
    </w:lvl>
    <w:lvl w:ilvl="4" w:tplc="18090019" w:tentative="1">
      <w:start w:val="1"/>
      <w:numFmt w:val="lowerLetter"/>
      <w:lvlText w:val="%5."/>
      <w:lvlJc w:val="left"/>
      <w:pPr>
        <w:ind w:left="3288" w:hanging="360"/>
      </w:pPr>
    </w:lvl>
    <w:lvl w:ilvl="5" w:tplc="1809001B" w:tentative="1">
      <w:start w:val="1"/>
      <w:numFmt w:val="lowerRoman"/>
      <w:lvlText w:val="%6."/>
      <w:lvlJc w:val="right"/>
      <w:pPr>
        <w:ind w:left="4008" w:hanging="180"/>
      </w:pPr>
    </w:lvl>
    <w:lvl w:ilvl="6" w:tplc="1809000F" w:tentative="1">
      <w:start w:val="1"/>
      <w:numFmt w:val="decimal"/>
      <w:lvlText w:val="%7."/>
      <w:lvlJc w:val="left"/>
      <w:pPr>
        <w:ind w:left="4728" w:hanging="360"/>
      </w:pPr>
    </w:lvl>
    <w:lvl w:ilvl="7" w:tplc="18090019" w:tentative="1">
      <w:start w:val="1"/>
      <w:numFmt w:val="lowerLetter"/>
      <w:lvlText w:val="%8."/>
      <w:lvlJc w:val="left"/>
      <w:pPr>
        <w:ind w:left="5448" w:hanging="360"/>
      </w:pPr>
    </w:lvl>
    <w:lvl w:ilvl="8" w:tplc="1809001B" w:tentative="1">
      <w:start w:val="1"/>
      <w:numFmt w:val="lowerRoman"/>
      <w:lvlText w:val="%9."/>
      <w:lvlJc w:val="right"/>
      <w:pPr>
        <w:ind w:left="6168" w:hanging="180"/>
      </w:pPr>
    </w:lvl>
  </w:abstractNum>
  <w:num w:numId="1">
    <w:abstractNumId w:val="26"/>
  </w:num>
  <w:num w:numId="2">
    <w:abstractNumId w:val="18"/>
  </w:num>
  <w:num w:numId="3">
    <w:abstractNumId w:val="21"/>
  </w:num>
  <w:num w:numId="4">
    <w:abstractNumId w:val="17"/>
  </w:num>
  <w:num w:numId="5">
    <w:abstractNumId w:val="15"/>
  </w:num>
  <w:num w:numId="6">
    <w:abstractNumId w:val="11"/>
  </w:num>
  <w:num w:numId="7">
    <w:abstractNumId w:val="25"/>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8"/>
  </w:num>
  <w:num w:numId="18">
    <w:abstractNumId w:val="16"/>
  </w:num>
  <w:num w:numId="19">
    <w:abstractNumId w:val="23"/>
  </w:num>
  <w:num w:numId="20">
    <w:abstractNumId w:val="13"/>
  </w:num>
  <w:num w:numId="21">
    <w:abstractNumId w:val="10"/>
  </w:num>
  <w:num w:numId="22">
    <w:abstractNumId w:val="9"/>
  </w:num>
  <w:num w:numId="23">
    <w:abstractNumId w:val="19"/>
  </w:num>
  <w:num w:numId="24">
    <w:abstractNumId w:val="14"/>
  </w:num>
  <w:num w:numId="25">
    <w:abstractNumId w:val="27"/>
  </w:num>
  <w:num w:numId="26">
    <w:abstractNumId w:val="24"/>
  </w:num>
  <w:num w:numId="27">
    <w:abstractNumId w:val="22"/>
  </w:num>
  <w:num w:numId="28">
    <w:abstractNumId w:val="12"/>
  </w:num>
  <w:num w:numId="29">
    <w:abstractNumId w:val="20"/>
  </w:num>
  <w:num w:numId="30">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0" w:nlCheck="1" w:checkStyle="0"/>
  <w:activeWritingStyle w:appName="MSWord" w:lang="en-IE" w:vendorID="64" w:dllVersion="0" w:nlCheck="1" w:checkStyle="0"/>
  <w:activeWritingStyle w:appName="MSWord" w:lang="en-GB" w:vendorID="64" w:dllVersion="0" w:nlCheck="1" w:checkStyle="0"/>
  <w:activeWritingStyle w:appName="MSWord" w:lang="en-AU" w:vendorID="64" w:dllVersion="0" w:nlCheck="1" w:checkStyle="0"/>
  <w:activeWritingStyle w:appName="MSWord" w:lang="en-NZ" w:vendorID="64" w:dllVersion="0" w:nlCheck="1" w:checkStyle="1"/>
  <w:activeWritingStyle w:appName="MSWord" w:lang="en-GB" w:vendorID="64" w:dllVersion="6" w:nlCheck="1" w:checkStyle="1"/>
  <w:activeWritingStyle w:appName="MSWord" w:lang="en-IE" w:vendorID="64" w:dllVersion="6" w:nlCheck="1" w:checkStyle="1"/>
  <w:activeWritingStyle w:appName="MSWord" w:lang="en-AU" w:vendorID="64" w:dllVersion="6" w:nlCheck="1" w:checkStyle="1"/>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182"/>
    <w:rsid w:val="000000BF"/>
    <w:rsid w:val="0000021D"/>
    <w:rsid w:val="00000288"/>
    <w:rsid w:val="0000033B"/>
    <w:rsid w:val="000003F0"/>
    <w:rsid w:val="0000044D"/>
    <w:rsid w:val="00000550"/>
    <w:rsid w:val="0000066F"/>
    <w:rsid w:val="00000ADF"/>
    <w:rsid w:val="00000B8D"/>
    <w:rsid w:val="00000C16"/>
    <w:rsid w:val="00000CF2"/>
    <w:rsid w:val="00000DD5"/>
    <w:rsid w:val="00001064"/>
    <w:rsid w:val="000011E4"/>
    <w:rsid w:val="000015FD"/>
    <w:rsid w:val="0000164C"/>
    <w:rsid w:val="000017AF"/>
    <w:rsid w:val="000018EF"/>
    <w:rsid w:val="00001B5A"/>
    <w:rsid w:val="00001C28"/>
    <w:rsid w:val="000021E1"/>
    <w:rsid w:val="00002395"/>
    <w:rsid w:val="0000243A"/>
    <w:rsid w:val="00002457"/>
    <w:rsid w:val="000024EE"/>
    <w:rsid w:val="00002501"/>
    <w:rsid w:val="000029E9"/>
    <w:rsid w:val="00002BD1"/>
    <w:rsid w:val="0000311E"/>
    <w:rsid w:val="00003223"/>
    <w:rsid w:val="0000327E"/>
    <w:rsid w:val="00003283"/>
    <w:rsid w:val="000032FB"/>
    <w:rsid w:val="0000342E"/>
    <w:rsid w:val="00003571"/>
    <w:rsid w:val="0000357A"/>
    <w:rsid w:val="000035ED"/>
    <w:rsid w:val="0000361C"/>
    <w:rsid w:val="00003A46"/>
    <w:rsid w:val="00004135"/>
    <w:rsid w:val="000041F6"/>
    <w:rsid w:val="000041FC"/>
    <w:rsid w:val="0000426D"/>
    <w:rsid w:val="000043B5"/>
    <w:rsid w:val="00004435"/>
    <w:rsid w:val="00004A73"/>
    <w:rsid w:val="00004BCF"/>
    <w:rsid w:val="00004BD1"/>
    <w:rsid w:val="00004BE5"/>
    <w:rsid w:val="0000513D"/>
    <w:rsid w:val="000052A4"/>
    <w:rsid w:val="00005495"/>
    <w:rsid w:val="00005A16"/>
    <w:rsid w:val="00005D4F"/>
    <w:rsid w:val="00005DDE"/>
    <w:rsid w:val="00005E29"/>
    <w:rsid w:val="000060CA"/>
    <w:rsid w:val="000060D0"/>
    <w:rsid w:val="000065EC"/>
    <w:rsid w:val="0000671A"/>
    <w:rsid w:val="00006DFC"/>
    <w:rsid w:val="00006E1D"/>
    <w:rsid w:val="00006E6C"/>
    <w:rsid w:val="00006ECD"/>
    <w:rsid w:val="0000725C"/>
    <w:rsid w:val="00007509"/>
    <w:rsid w:val="0000761C"/>
    <w:rsid w:val="000078D1"/>
    <w:rsid w:val="000078F6"/>
    <w:rsid w:val="00007A6C"/>
    <w:rsid w:val="00007D12"/>
    <w:rsid w:val="00010020"/>
    <w:rsid w:val="000100D9"/>
    <w:rsid w:val="0001019D"/>
    <w:rsid w:val="0001032A"/>
    <w:rsid w:val="00010471"/>
    <w:rsid w:val="00010516"/>
    <w:rsid w:val="00010562"/>
    <w:rsid w:val="0001056B"/>
    <w:rsid w:val="000105D6"/>
    <w:rsid w:val="00010BBA"/>
    <w:rsid w:val="00010C0F"/>
    <w:rsid w:val="00010EF0"/>
    <w:rsid w:val="0001129E"/>
    <w:rsid w:val="00011309"/>
    <w:rsid w:val="0001135F"/>
    <w:rsid w:val="00011371"/>
    <w:rsid w:val="0001150D"/>
    <w:rsid w:val="000117D2"/>
    <w:rsid w:val="000118B1"/>
    <w:rsid w:val="00011CDE"/>
    <w:rsid w:val="00011E4D"/>
    <w:rsid w:val="00011FBB"/>
    <w:rsid w:val="00011FED"/>
    <w:rsid w:val="0001203C"/>
    <w:rsid w:val="000120ED"/>
    <w:rsid w:val="000123DA"/>
    <w:rsid w:val="000126A9"/>
    <w:rsid w:val="00012713"/>
    <w:rsid w:val="000127B6"/>
    <w:rsid w:val="00012A96"/>
    <w:rsid w:val="00012D31"/>
    <w:rsid w:val="00012DBB"/>
    <w:rsid w:val="000132B0"/>
    <w:rsid w:val="0001331A"/>
    <w:rsid w:val="000134CB"/>
    <w:rsid w:val="000134ED"/>
    <w:rsid w:val="0001389D"/>
    <w:rsid w:val="00014299"/>
    <w:rsid w:val="0001489B"/>
    <w:rsid w:val="000148DA"/>
    <w:rsid w:val="000148E4"/>
    <w:rsid w:val="00014C1E"/>
    <w:rsid w:val="00015370"/>
    <w:rsid w:val="00015412"/>
    <w:rsid w:val="00015440"/>
    <w:rsid w:val="000155ED"/>
    <w:rsid w:val="000156DC"/>
    <w:rsid w:val="000156DD"/>
    <w:rsid w:val="0001581D"/>
    <w:rsid w:val="00015AAC"/>
    <w:rsid w:val="00015B74"/>
    <w:rsid w:val="00015CD8"/>
    <w:rsid w:val="00015EA1"/>
    <w:rsid w:val="000165FE"/>
    <w:rsid w:val="00016686"/>
    <w:rsid w:val="000166FE"/>
    <w:rsid w:val="00016735"/>
    <w:rsid w:val="00016D27"/>
    <w:rsid w:val="00016E88"/>
    <w:rsid w:val="00016F05"/>
    <w:rsid w:val="00017053"/>
    <w:rsid w:val="000171E2"/>
    <w:rsid w:val="00017318"/>
    <w:rsid w:val="0001749D"/>
    <w:rsid w:val="000174AD"/>
    <w:rsid w:val="00017A1F"/>
    <w:rsid w:val="00017C9E"/>
    <w:rsid w:val="00017CD8"/>
    <w:rsid w:val="00017D7F"/>
    <w:rsid w:val="00017F3E"/>
    <w:rsid w:val="00020166"/>
    <w:rsid w:val="00020190"/>
    <w:rsid w:val="000201DB"/>
    <w:rsid w:val="00020290"/>
    <w:rsid w:val="00020605"/>
    <w:rsid w:val="0002063E"/>
    <w:rsid w:val="00020661"/>
    <w:rsid w:val="00020878"/>
    <w:rsid w:val="0002090E"/>
    <w:rsid w:val="00020C78"/>
    <w:rsid w:val="00020CCE"/>
    <w:rsid w:val="00020DFF"/>
    <w:rsid w:val="00020F8D"/>
    <w:rsid w:val="0002165B"/>
    <w:rsid w:val="0002187F"/>
    <w:rsid w:val="000218FD"/>
    <w:rsid w:val="0002197E"/>
    <w:rsid w:val="00021C3A"/>
    <w:rsid w:val="00021CB7"/>
    <w:rsid w:val="00021CBE"/>
    <w:rsid w:val="00021EBA"/>
    <w:rsid w:val="00021F54"/>
    <w:rsid w:val="000220D8"/>
    <w:rsid w:val="000220FF"/>
    <w:rsid w:val="00022141"/>
    <w:rsid w:val="000225CE"/>
    <w:rsid w:val="000227B2"/>
    <w:rsid w:val="00022B0E"/>
    <w:rsid w:val="00022C4D"/>
    <w:rsid w:val="00022F7C"/>
    <w:rsid w:val="00023182"/>
    <w:rsid w:val="00023224"/>
    <w:rsid w:val="0002341C"/>
    <w:rsid w:val="0002343B"/>
    <w:rsid w:val="00023480"/>
    <w:rsid w:val="00023F40"/>
    <w:rsid w:val="00024152"/>
    <w:rsid w:val="00024692"/>
    <w:rsid w:val="0002469A"/>
    <w:rsid w:val="00024795"/>
    <w:rsid w:val="000247DA"/>
    <w:rsid w:val="0002482A"/>
    <w:rsid w:val="00024847"/>
    <w:rsid w:val="00024976"/>
    <w:rsid w:val="00024995"/>
    <w:rsid w:val="00024B0C"/>
    <w:rsid w:val="00024CBE"/>
    <w:rsid w:val="00024DE2"/>
    <w:rsid w:val="00024ED0"/>
    <w:rsid w:val="00025002"/>
    <w:rsid w:val="0002544D"/>
    <w:rsid w:val="0002555F"/>
    <w:rsid w:val="00025615"/>
    <w:rsid w:val="00025882"/>
    <w:rsid w:val="0002592B"/>
    <w:rsid w:val="0002594D"/>
    <w:rsid w:val="00025A78"/>
    <w:rsid w:val="00025C24"/>
    <w:rsid w:val="00025C3F"/>
    <w:rsid w:val="00025C6C"/>
    <w:rsid w:val="00025DE1"/>
    <w:rsid w:val="00025FD7"/>
    <w:rsid w:val="0002607F"/>
    <w:rsid w:val="000263CF"/>
    <w:rsid w:val="000269A2"/>
    <w:rsid w:val="00026BDA"/>
    <w:rsid w:val="00026BDF"/>
    <w:rsid w:val="00026D33"/>
    <w:rsid w:val="00026D7E"/>
    <w:rsid w:val="00026FD9"/>
    <w:rsid w:val="000272AE"/>
    <w:rsid w:val="000272E3"/>
    <w:rsid w:val="000274D9"/>
    <w:rsid w:val="00027521"/>
    <w:rsid w:val="000278E3"/>
    <w:rsid w:val="000279CA"/>
    <w:rsid w:val="00027B14"/>
    <w:rsid w:val="00027C32"/>
    <w:rsid w:val="00027C57"/>
    <w:rsid w:val="00027DB0"/>
    <w:rsid w:val="00027E6C"/>
    <w:rsid w:val="00030271"/>
    <w:rsid w:val="000302DA"/>
    <w:rsid w:val="0003050B"/>
    <w:rsid w:val="0003062D"/>
    <w:rsid w:val="00030712"/>
    <w:rsid w:val="00030823"/>
    <w:rsid w:val="00030885"/>
    <w:rsid w:val="00030A4B"/>
    <w:rsid w:val="00030A83"/>
    <w:rsid w:val="00030C48"/>
    <w:rsid w:val="00030EC1"/>
    <w:rsid w:val="00030F16"/>
    <w:rsid w:val="000311AF"/>
    <w:rsid w:val="000314C7"/>
    <w:rsid w:val="00031735"/>
    <w:rsid w:val="00031988"/>
    <w:rsid w:val="000319FA"/>
    <w:rsid w:val="00031AAA"/>
    <w:rsid w:val="00031FB9"/>
    <w:rsid w:val="0003241D"/>
    <w:rsid w:val="00032701"/>
    <w:rsid w:val="00032943"/>
    <w:rsid w:val="000329B4"/>
    <w:rsid w:val="00032C63"/>
    <w:rsid w:val="00032C78"/>
    <w:rsid w:val="00032E10"/>
    <w:rsid w:val="00032EB2"/>
    <w:rsid w:val="00033020"/>
    <w:rsid w:val="00033285"/>
    <w:rsid w:val="00033345"/>
    <w:rsid w:val="00033466"/>
    <w:rsid w:val="000337C3"/>
    <w:rsid w:val="00033BB3"/>
    <w:rsid w:val="00033CBA"/>
    <w:rsid w:val="00033E9F"/>
    <w:rsid w:val="0003424C"/>
    <w:rsid w:val="0003428C"/>
    <w:rsid w:val="000345EE"/>
    <w:rsid w:val="000345F3"/>
    <w:rsid w:val="00034642"/>
    <w:rsid w:val="0003485D"/>
    <w:rsid w:val="00034D44"/>
    <w:rsid w:val="00034DA1"/>
    <w:rsid w:val="00034EC2"/>
    <w:rsid w:val="00034FA8"/>
    <w:rsid w:val="00035208"/>
    <w:rsid w:val="000353BA"/>
    <w:rsid w:val="00035447"/>
    <w:rsid w:val="000356CA"/>
    <w:rsid w:val="00035768"/>
    <w:rsid w:val="00035A78"/>
    <w:rsid w:val="00035EF5"/>
    <w:rsid w:val="00036171"/>
    <w:rsid w:val="00036358"/>
    <w:rsid w:val="000363EA"/>
    <w:rsid w:val="00036428"/>
    <w:rsid w:val="0003642F"/>
    <w:rsid w:val="000365E5"/>
    <w:rsid w:val="0003698A"/>
    <w:rsid w:val="00036B73"/>
    <w:rsid w:val="00036B9F"/>
    <w:rsid w:val="00036CE5"/>
    <w:rsid w:val="00036E67"/>
    <w:rsid w:val="00036F80"/>
    <w:rsid w:val="00037295"/>
    <w:rsid w:val="0003746A"/>
    <w:rsid w:val="00037541"/>
    <w:rsid w:val="00037570"/>
    <w:rsid w:val="000375CF"/>
    <w:rsid w:val="000376A5"/>
    <w:rsid w:val="00037836"/>
    <w:rsid w:val="00037B1D"/>
    <w:rsid w:val="00037B41"/>
    <w:rsid w:val="000400D6"/>
    <w:rsid w:val="000401F9"/>
    <w:rsid w:val="00040221"/>
    <w:rsid w:val="000402AD"/>
    <w:rsid w:val="00040501"/>
    <w:rsid w:val="00040799"/>
    <w:rsid w:val="00040849"/>
    <w:rsid w:val="000408ED"/>
    <w:rsid w:val="000408F6"/>
    <w:rsid w:val="000408F7"/>
    <w:rsid w:val="00040A4C"/>
    <w:rsid w:val="0004122F"/>
    <w:rsid w:val="00041327"/>
    <w:rsid w:val="000414B7"/>
    <w:rsid w:val="0004167E"/>
    <w:rsid w:val="00041911"/>
    <w:rsid w:val="00041972"/>
    <w:rsid w:val="00041DD1"/>
    <w:rsid w:val="00041FC3"/>
    <w:rsid w:val="000424F3"/>
    <w:rsid w:val="000425D9"/>
    <w:rsid w:val="000426E8"/>
    <w:rsid w:val="00042C11"/>
    <w:rsid w:val="0004309B"/>
    <w:rsid w:val="000430D5"/>
    <w:rsid w:val="00043126"/>
    <w:rsid w:val="00043180"/>
    <w:rsid w:val="000431DA"/>
    <w:rsid w:val="000434AD"/>
    <w:rsid w:val="00043590"/>
    <w:rsid w:val="00043599"/>
    <w:rsid w:val="0004377D"/>
    <w:rsid w:val="00043A2E"/>
    <w:rsid w:val="00043AB0"/>
    <w:rsid w:val="00043C8D"/>
    <w:rsid w:val="00043E0B"/>
    <w:rsid w:val="00043ED9"/>
    <w:rsid w:val="00043FCF"/>
    <w:rsid w:val="0004405B"/>
    <w:rsid w:val="00044132"/>
    <w:rsid w:val="00044A2A"/>
    <w:rsid w:val="00044E59"/>
    <w:rsid w:val="00044F86"/>
    <w:rsid w:val="0004508A"/>
    <w:rsid w:val="0004515C"/>
    <w:rsid w:val="000454DA"/>
    <w:rsid w:val="0004551C"/>
    <w:rsid w:val="00045915"/>
    <w:rsid w:val="00045AB0"/>
    <w:rsid w:val="00045B79"/>
    <w:rsid w:val="00045DE5"/>
    <w:rsid w:val="00045E57"/>
    <w:rsid w:val="00045E83"/>
    <w:rsid w:val="00045F18"/>
    <w:rsid w:val="00045FD0"/>
    <w:rsid w:val="00045FE6"/>
    <w:rsid w:val="000460D0"/>
    <w:rsid w:val="000466FF"/>
    <w:rsid w:val="0004693B"/>
    <w:rsid w:val="00046AF9"/>
    <w:rsid w:val="00046E1F"/>
    <w:rsid w:val="00046FB1"/>
    <w:rsid w:val="0004709A"/>
    <w:rsid w:val="00047214"/>
    <w:rsid w:val="00047399"/>
    <w:rsid w:val="0004741E"/>
    <w:rsid w:val="0004755E"/>
    <w:rsid w:val="000477C1"/>
    <w:rsid w:val="000477C9"/>
    <w:rsid w:val="00047D03"/>
    <w:rsid w:val="00047D16"/>
    <w:rsid w:val="00047D48"/>
    <w:rsid w:val="00047F70"/>
    <w:rsid w:val="00050351"/>
    <w:rsid w:val="000503AA"/>
    <w:rsid w:val="00050616"/>
    <w:rsid w:val="000507BF"/>
    <w:rsid w:val="00050B10"/>
    <w:rsid w:val="00050F9C"/>
    <w:rsid w:val="00050FEE"/>
    <w:rsid w:val="00051029"/>
    <w:rsid w:val="000511F1"/>
    <w:rsid w:val="000516F1"/>
    <w:rsid w:val="00051886"/>
    <w:rsid w:val="00051A4B"/>
    <w:rsid w:val="00051C28"/>
    <w:rsid w:val="00051D65"/>
    <w:rsid w:val="00051FA4"/>
    <w:rsid w:val="00052339"/>
    <w:rsid w:val="00052514"/>
    <w:rsid w:val="000529EE"/>
    <w:rsid w:val="00052A6A"/>
    <w:rsid w:val="00052A83"/>
    <w:rsid w:val="00052B38"/>
    <w:rsid w:val="00052BED"/>
    <w:rsid w:val="00052C5E"/>
    <w:rsid w:val="00052DAA"/>
    <w:rsid w:val="00052DFB"/>
    <w:rsid w:val="00052E6C"/>
    <w:rsid w:val="000531B7"/>
    <w:rsid w:val="00053268"/>
    <w:rsid w:val="00053582"/>
    <w:rsid w:val="000535D1"/>
    <w:rsid w:val="00053601"/>
    <w:rsid w:val="0005367E"/>
    <w:rsid w:val="00053BE4"/>
    <w:rsid w:val="00053CFE"/>
    <w:rsid w:val="00053DA1"/>
    <w:rsid w:val="00053DB2"/>
    <w:rsid w:val="00053DD0"/>
    <w:rsid w:val="000543F3"/>
    <w:rsid w:val="000546D7"/>
    <w:rsid w:val="000546F2"/>
    <w:rsid w:val="0005478B"/>
    <w:rsid w:val="00054837"/>
    <w:rsid w:val="00054901"/>
    <w:rsid w:val="00054A5B"/>
    <w:rsid w:val="00054AF2"/>
    <w:rsid w:val="00054B0C"/>
    <w:rsid w:val="00054F16"/>
    <w:rsid w:val="00054FE4"/>
    <w:rsid w:val="0005520F"/>
    <w:rsid w:val="000558C5"/>
    <w:rsid w:val="000559D9"/>
    <w:rsid w:val="00055A12"/>
    <w:rsid w:val="00055BDD"/>
    <w:rsid w:val="00055E24"/>
    <w:rsid w:val="00055EC1"/>
    <w:rsid w:val="00055F54"/>
    <w:rsid w:val="00055F99"/>
    <w:rsid w:val="00055FB0"/>
    <w:rsid w:val="00056109"/>
    <w:rsid w:val="000561F4"/>
    <w:rsid w:val="00056390"/>
    <w:rsid w:val="00056721"/>
    <w:rsid w:val="00056764"/>
    <w:rsid w:val="00056C5C"/>
    <w:rsid w:val="00056C93"/>
    <w:rsid w:val="00056EF3"/>
    <w:rsid w:val="00057075"/>
    <w:rsid w:val="000571A6"/>
    <w:rsid w:val="0005725B"/>
    <w:rsid w:val="000573FA"/>
    <w:rsid w:val="00057437"/>
    <w:rsid w:val="00057595"/>
    <w:rsid w:val="000577A6"/>
    <w:rsid w:val="00057A86"/>
    <w:rsid w:val="00060163"/>
    <w:rsid w:val="000604EA"/>
    <w:rsid w:val="00060712"/>
    <w:rsid w:val="0006079F"/>
    <w:rsid w:val="000609E1"/>
    <w:rsid w:val="00060A13"/>
    <w:rsid w:val="000612DB"/>
    <w:rsid w:val="000613A2"/>
    <w:rsid w:val="0006141B"/>
    <w:rsid w:val="00061657"/>
    <w:rsid w:val="00061812"/>
    <w:rsid w:val="00061972"/>
    <w:rsid w:val="000619EC"/>
    <w:rsid w:val="00061A50"/>
    <w:rsid w:val="00061C40"/>
    <w:rsid w:val="00061E17"/>
    <w:rsid w:val="00062189"/>
    <w:rsid w:val="00062599"/>
    <w:rsid w:val="000628B4"/>
    <w:rsid w:val="00062AB5"/>
    <w:rsid w:val="00062C53"/>
    <w:rsid w:val="00062DAD"/>
    <w:rsid w:val="00062E23"/>
    <w:rsid w:val="00062E34"/>
    <w:rsid w:val="00062EE4"/>
    <w:rsid w:val="00062F4A"/>
    <w:rsid w:val="00063048"/>
    <w:rsid w:val="000633C7"/>
    <w:rsid w:val="0006367E"/>
    <w:rsid w:val="00063964"/>
    <w:rsid w:val="00063E0C"/>
    <w:rsid w:val="00063FAC"/>
    <w:rsid w:val="00064114"/>
    <w:rsid w:val="00064227"/>
    <w:rsid w:val="00064585"/>
    <w:rsid w:val="000647A0"/>
    <w:rsid w:val="000647E6"/>
    <w:rsid w:val="000647F4"/>
    <w:rsid w:val="000647F7"/>
    <w:rsid w:val="00064A94"/>
    <w:rsid w:val="00064BEC"/>
    <w:rsid w:val="00064C1D"/>
    <w:rsid w:val="00064C74"/>
    <w:rsid w:val="00064F9C"/>
    <w:rsid w:val="00064FA7"/>
    <w:rsid w:val="00064FB6"/>
    <w:rsid w:val="00065005"/>
    <w:rsid w:val="00065279"/>
    <w:rsid w:val="000654E3"/>
    <w:rsid w:val="0006565D"/>
    <w:rsid w:val="000659BF"/>
    <w:rsid w:val="00065D79"/>
    <w:rsid w:val="00065E1C"/>
    <w:rsid w:val="0006611F"/>
    <w:rsid w:val="00066261"/>
    <w:rsid w:val="000662DC"/>
    <w:rsid w:val="0006638B"/>
    <w:rsid w:val="00066447"/>
    <w:rsid w:val="000666FB"/>
    <w:rsid w:val="00066746"/>
    <w:rsid w:val="000667A3"/>
    <w:rsid w:val="00066859"/>
    <w:rsid w:val="00066A2D"/>
    <w:rsid w:val="00066B9D"/>
    <w:rsid w:val="00067605"/>
    <w:rsid w:val="00067813"/>
    <w:rsid w:val="00067A4B"/>
    <w:rsid w:val="00067AB3"/>
    <w:rsid w:val="00067C45"/>
    <w:rsid w:val="00070121"/>
    <w:rsid w:val="0007052C"/>
    <w:rsid w:val="00070687"/>
    <w:rsid w:val="00070914"/>
    <w:rsid w:val="0007094D"/>
    <w:rsid w:val="00070986"/>
    <w:rsid w:val="00070B91"/>
    <w:rsid w:val="00070BC1"/>
    <w:rsid w:val="00070EBE"/>
    <w:rsid w:val="00071057"/>
    <w:rsid w:val="00071368"/>
    <w:rsid w:val="000718C2"/>
    <w:rsid w:val="0007196E"/>
    <w:rsid w:val="00071A59"/>
    <w:rsid w:val="00071A5E"/>
    <w:rsid w:val="00071EAC"/>
    <w:rsid w:val="00071F62"/>
    <w:rsid w:val="00071FDC"/>
    <w:rsid w:val="0007230C"/>
    <w:rsid w:val="0007232A"/>
    <w:rsid w:val="00072418"/>
    <w:rsid w:val="0007276C"/>
    <w:rsid w:val="00072794"/>
    <w:rsid w:val="000727D6"/>
    <w:rsid w:val="000727E2"/>
    <w:rsid w:val="00072B0B"/>
    <w:rsid w:val="00072BDB"/>
    <w:rsid w:val="00072C0B"/>
    <w:rsid w:val="00072DD9"/>
    <w:rsid w:val="00073696"/>
    <w:rsid w:val="000737DD"/>
    <w:rsid w:val="00073823"/>
    <w:rsid w:val="00073A49"/>
    <w:rsid w:val="00073D45"/>
    <w:rsid w:val="00073E12"/>
    <w:rsid w:val="00073E6C"/>
    <w:rsid w:val="000741A7"/>
    <w:rsid w:val="00074243"/>
    <w:rsid w:val="00074303"/>
    <w:rsid w:val="00074D67"/>
    <w:rsid w:val="00074F5C"/>
    <w:rsid w:val="0007531F"/>
    <w:rsid w:val="000753E3"/>
    <w:rsid w:val="0007576F"/>
    <w:rsid w:val="00075EDB"/>
    <w:rsid w:val="00075F8A"/>
    <w:rsid w:val="00076045"/>
    <w:rsid w:val="000761E0"/>
    <w:rsid w:val="00076916"/>
    <w:rsid w:val="000769D6"/>
    <w:rsid w:val="00076BCE"/>
    <w:rsid w:val="00076CED"/>
    <w:rsid w:val="00076E91"/>
    <w:rsid w:val="00077250"/>
    <w:rsid w:val="000773D4"/>
    <w:rsid w:val="000775DB"/>
    <w:rsid w:val="000775FA"/>
    <w:rsid w:val="0007796A"/>
    <w:rsid w:val="00077990"/>
    <w:rsid w:val="000779B1"/>
    <w:rsid w:val="00077A21"/>
    <w:rsid w:val="00077B17"/>
    <w:rsid w:val="00077CF8"/>
    <w:rsid w:val="00077DA3"/>
    <w:rsid w:val="00077EDF"/>
    <w:rsid w:val="00080066"/>
    <w:rsid w:val="00080272"/>
    <w:rsid w:val="000804FD"/>
    <w:rsid w:val="00080683"/>
    <w:rsid w:val="000807A0"/>
    <w:rsid w:val="0008082C"/>
    <w:rsid w:val="00080BBB"/>
    <w:rsid w:val="00080D4A"/>
    <w:rsid w:val="00080F5B"/>
    <w:rsid w:val="00080FA1"/>
    <w:rsid w:val="00081702"/>
    <w:rsid w:val="000817FB"/>
    <w:rsid w:val="00081942"/>
    <w:rsid w:val="00081C70"/>
    <w:rsid w:val="0008246C"/>
    <w:rsid w:val="00082A22"/>
    <w:rsid w:val="00082CFB"/>
    <w:rsid w:val="00082DB4"/>
    <w:rsid w:val="0008339A"/>
    <w:rsid w:val="0008378A"/>
    <w:rsid w:val="00083C65"/>
    <w:rsid w:val="00083D4D"/>
    <w:rsid w:val="00083FF5"/>
    <w:rsid w:val="00084280"/>
    <w:rsid w:val="000845C0"/>
    <w:rsid w:val="00084AC0"/>
    <w:rsid w:val="00084DE4"/>
    <w:rsid w:val="00085117"/>
    <w:rsid w:val="0008537F"/>
    <w:rsid w:val="00085450"/>
    <w:rsid w:val="0008554E"/>
    <w:rsid w:val="000855B0"/>
    <w:rsid w:val="00085796"/>
    <w:rsid w:val="0008593C"/>
    <w:rsid w:val="00085A43"/>
    <w:rsid w:val="00085B6B"/>
    <w:rsid w:val="00085C9A"/>
    <w:rsid w:val="00085E94"/>
    <w:rsid w:val="0008615B"/>
    <w:rsid w:val="00086389"/>
    <w:rsid w:val="000863BB"/>
    <w:rsid w:val="0008693B"/>
    <w:rsid w:val="00086EB1"/>
    <w:rsid w:val="00086F58"/>
    <w:rsid w:val="00086F89"/>
    <w:rsid w:val="00086FD5"/>
    <w:rsid w:val="000872DB"/>
    <w:rsid w:val="00087631"/>
    <w:rsid w:val="00087788"/>
    <w:rsid w:val="00087DFA"/>
    <w:rsid w:val="00087E29"/>
    <w:rsid w:val="00090C89"/>
    <w:rsid w:val="00091336"/>
    <w:rsid w:val="0009184B"/>
    <w:rsid w:val="0009195A"/>
    <w:rsid w:val="000919F6"/>
    <w:rsid w:val="00091D5C"/>
    <w:rsid w:val="00091E62"/>
    <w:rsid w:val="0009221D"/>
    <w:rsid w:val="000924BB"/>
    <w:rsid w:val="00092579"/>
    <w:rsid w:val="00092A40"/>
    <w:rsid w:val="00092A4E"/>
    <w:rsid w:val="00092A89"/>
    <w:rsid w:val="0009309E"/>
    <w:rsid w:val="000933B1"/>
    <w:rsid w:val="0009351A"/>
    <w:rsid w:val="00093537"/>
    <w:rsid w:val="00093626"/>
    <w:rsid w:val="00093863"/>
    <w:rsid w:val="00093972"/>
    <w:rsid w:val="00093A85"/>
    <w:rsid w:val="00093B3E"/>
    <w:rsid w:val="00093B60"/>
    <w:rsid w:val="00093EC5"/>
    <w:rsid w:val="00094351"/>
    <w:rsid w:val="00094499"/>
    <w:rsid w:val="00094512"/>
    <w:rsid w:val="0009464E"/>
    <w:rsid w:val="00094AA2"/>
    <w:rsid w:val="00094BC6"/>
    <w:rsid w:val="00094BD2"/>
    <w:rsid w:val="00094D3A"/>
    <w:rsid w:val="000952B7"/>
    <w:rsid w:val="0009543E"/>
    <w:rsid w:val="00095760"/>
    <w:rsid w:val="000959DC"/>
    <w:rsid w:val="00095B62"/>
    <w:rsid w:val="00096096"/>
    <w:rsid w:val="000960CE"/>
    <w:rsid w:val="00096321"/>
    <w:rsid w:val="0009634E"/>
    <w:rsid w:val="00096374"/>
    <w:rsid w:val="000965E5"/>
    <w:rsid w:val="000966C9"/>
    <w:rsid w:val="0009695B"/>
    <w:rsid w:val="00096DDC"/>
    <w:rsid w:val="00097115"/>
    <w:rsid w:val="000973B7"/>
    <w:rsid w:val="000975FA"/>
    <w:rsid w:val="00097683"/>
    <w:rsid w:val="0009768F"/>
    <w:rsid w:val="00097897"/>
    <w:rsid w:val="00097E93"/>
    <w:rsid w:val="00097FC8"/>
    <w:rsid w:val="00097FEE"/>
    <w:rsid w:val="000A01FE"/>
    <w:rsid w:val="000A020A"/>
    <w:rsid w:val="000A0365"/>
    <w:rsid w:val="000A0924"/>
    <w:rsid w:val="000A0A80"/>
    <w:rsid w:val="000A0AB1"/>
    <w:rsid w:val="000A0BB6"/>
    <w:rsid w:val="000A0FC8"/>
    <w:rsid w:val="000A0FD5"/>
    <w:rsid w:val="000A0FFF"/>
    <w:rsid w:val="000A114F"/>
    <w:rsid w:val="000A13B6"/>
    <w:rsid w:val="000A1A6B"/>
    <w:rsid w:val="000A2002"/>
    <w:rsid w:val="000A2403"/>
    <w:rsid w:val="000A2546"/>
    <w:rsid w:val="000A25F9"/>
    <w:rsid w:val="000A268A"/>
    <w:rsid w:val="000A2F87"/>
    <w:rsid w:val="000A2F94"/>
    <w:rsid w:val="000A3217"/>
    <w:rsid w:val="000A32A3"/>
    <w:rsid w:val="000A3640"/>
    <w:rsid w:val="000A375A"/>
    <w:rsid w:val="000A38EA"/>
    <w:rsid w:val="000A3A87"/>
    <w:rsid w:val="000A3BAD"/>
    <w:rsid w:val="000A3C8F"/>
    <w:rsid w:val="000A3C9F"/>
    <w:rsid w:val="000A3CAB"/>
    <w:rsid w:val="000A3D50"/>
    <w:rsid w:val="000A3DCE"/>
    <w:rsid w:val="000A3E63"/>
    <w:rsid w:val="000A4031"/>
    <w:rsid w:val="000A4300"/>
    <w:rsid w:val="000A434C"/>
    <w:rsid w:val="000A4425"/>
    <w:rsid w:val="000A46F9"/>
    <w:rsid w:val="000A4746"/>
    <w:rsid w:val="000A4877"/>
    <w:rsid w:val="000A4A66"/>
    <w:rsid w:val="000A4ED3"/>
    <w:rsid w:val="000A4FAE"/>
    <w:rsid w:val="000A507B"/>
    <w:rsid w:val="000A5193"/>
    <w:rsid w:val="000A5472"/>
    <w:rsid w:val="000A56AA"/>
    <w:rsid w:val="000A576A"/>
    <w:rsid w:val="000A5A61"/>
    <w:rsid w:val="000A5AE9"/>
    <w:rsid w:val="000A5EAD"/>
    <w:rsid w:val="000A60BF"/>
    <w:rsid w:val="000A635C"/>
    <w:rsid w:val="000A648B"/>
    <w:rsid w:val="000A64B4"/>
    <w:rsid w:val="000A6FA6"/>
    <w:rsid w:val="000A6FBC"/>
    <w:rsid w:val="000A6FC8"/>
    <w:rsid w:val="000A7035"/>
    <w:rsid w:val="000A71BD"/>
    <w:rsid w:val="000A743C"/>
    <w:rsid w:val="000A7721"/>
    <w:rsid w:val="000A7979"/>
    <w:rsid w:val="000A7A7B"/>
    <w:rsid w:val="000A7B69"/>
    <w:rsid w:val="000A7DC6"/>
    <w:rsid w:val="000A7DD5"/>
    <w:rsid w:val="000A7FB2"/>
    <w:rsid w:val="000B01E1"/>
    <w:rsid w:val="000B02FE"/>
    <w:rsid w:val="000B03CE"/>
    <w:rsid w:val="000B04F2"/>
    <w:rsid w:val="000B04F9"/>
    <w:rsid w:val="000B0512"/>
    <w:rsid w:val="000B071A"/>
    <w:rsid w:val="000B07AD"/>
    <w:rsid w:val="000B0869"/>
    <w:rsid w:val="000B0979"/>
    <w:rsid w:val="000B0B24"/>
    <w:rsid w:val="000B0B7F"/>
    <w:rsid w:val="000B0F76"/>
    <w:rsid w:val="000B0FC5"/>
    <w:rsid w:val="000B0FFA"/>
    <w:rsid w:val="000B1255"/>
    <w:rsid w:val="000B13AF"/>
    <w:rsid w:val="000B13D6"/>
    <w:rsid w:val="000B16EE"/>
    <w:rsid w:val="000B185F"/>
    <w:rsid w:val="000B18C6"/>
    <w:rsid w:val="000B1C27"/>
    <w:rsid w:val="000B201B"/>
    <w:rsid w:val="000B21D8"/>
    <w:rsid w:val="000B2392"/>
    <w:rsid w:val="000B24A1"/>
    <w:rsid w:val="000B26D5"/>
    <w:rsid w:val="000B28F4"/>
    <w:rsid w:val="000B29A5"/>
    <w:rsid w:val="000B2A45"/>
    <w:rsid w:val="000B2C60"/>
    <w:rsid w:val="000B2C63"/>
    <w:rsid w:val="000B2CAC"/>
    <w:rsid w:val="000B2E2E"/>
    <w:rsid w:val="000B2F47"/>
    <w:rsid w:val="000B2FA0"/>
    <w:rsid w:val="000B3206"/>
    <w:rsid w:val="000B32E5"/>
    <w:rsid w:val="000B34BF"/>
    <w:rsid w:val="000B35C1"/>
    <w:rsid w:val="000B36C4"/>
    <w:rsid w:val="000B3814"/>
    <w:rsid w:val="000B39E3"/>
    <w:rsid w:val="000B3BB0"/>
    <w:rsid w:val="000B3C5C"/>
    <w:rsid w:val="000B3D13"/>
    <w:rsid w:val="000B3E54"/>
    <w:rsid w:val="000B4175"/>
    <w:rsid w:val="000B41C1"/>
    <w:rsid w:val="000B436D"/>
    <w:rsid w:val="000B441B"/>
    <w:rsid w:val="000B45C7"/>
    <w:rsid w:val="000B472E"/>
    <w:rsid w:val="000B4951"/>
    <w:rsid w:val="000B4CD6"/>
    <w:rsid w:val="000B4F55"/>
    <w:rsid w:val="000B4FC4"/>
    <w:rsid w:val="000B4FFB"/>
    <w:rsid w:val="000B501B"/>
    <w:rsid w:val="000B509C"/>
    <w:rsid w:val="000B50B5"/>
    <w:rsid w:val="000B51A0"/>
    <w:rsid w:val="000B5334"/>
    <w:rsid w:val="000B53CB"/>
    <w:rsid w:val="000B55D0"/>
    <w:rsid w:val="000B5693"/>
    <w:rsid w:val="000B5DA2"/>
    <w:rsid w:val="000B5E57"/>
    <w:rsid w:val="000B6080"/>
    <w:rsid w:val="000B610B"/>
    <w:rsid w:val="000B6594"/>
    <w:rsid w:val="000B6604"/>
    <w:rsid w:val="000B673E"/>
    <w:rsid w:val="000B687E"/>
    <w:rsid w:val="000B68B6"/>
    <w:rsid w:val="000B6B72"/>
    <w:rsid w:val="000B6B9C"/>
    <w:rsid w:val="000B6C20"/>
    <w:rsid w:val="000B6FB5"/>
    <w:rsid w:val="000B7077"/>
    <w:rsid w:val="000B718F"/>
    <w:rsid w:val="000B76DA"/>
    <w:rsid w:val="000B7ADA"/>
    <w:rsid w:val="000B7EA5"/>
    <w:rsid w:val="000B7F3D"/>
    <w:rsid w:val="000C0097"/>
    <w:rsid w:val="000C00C7"/>
    <w:rsid w:val="000C0425"/>
    <w:rsid w:val="000C0521"/>
    <w:rsid w:val="000C07E9"/>
    <w:rsid w:val="000C0810"/>
    <w:rsid w:val="000C0BAE"/>
    <w:rsid w:val="000C0BBF"/>
    <w:rsid w:val="000C0CD7"/>
    <w:rsid w:val="000C0D9B"/>
    <w:rsid w:val="000C0FDF"/>
    <w:rsid w:val="000C102D"/>
    <w:rsid w:val="000C1358"/>
    <w:rsid w:val="000C1381"/>
    <w:rsid w:val="000C147A"/>
    <w:rsid w:val="000C169B"/>
    <w:rsid w:val="000C18DB"/>
    <w:rsid w:val="000C1C0A"/>
    <w:rsid w:val="000C1CD9"/>
    <w:rsid w:val="000C1E18"/>
    <w:rsid w:val="000C200D"/>
    <w:rsid w:val="000C2045"/>
    <w:rsid w:val="000C2840"/>
    <w:rsid w:val="000C2A44"/>
    <w:rsid w:val="000C2AF1"/>
    <w:rsid w:val="000C3028"/>
    <w:rsid w:val="000C3175"/>
    <w:rsid w:val="000C3417"/>
    <w:rsid w:val="000C34AB"/>
    <w:rsid w:val="000C3547"/>
    <w:rsid w:val="000C363D"/>
    <w:rsid w:val="000C377B"/>
    <w:rsid w:val="000C3AA2"/>
    <w:rsid w:val="000C3B49"/>
    <w:rsid w:val="000C3C21"/>
    <w:rsid w:val="000C40D7"/>
    <w:rsid w:val="000C40F0"/>
    <w:rsid w:val="000C40F1"/>
    <w:rsid w:val="000C425A"/>
    <w:rsid w:val="000C42E7"/>
    <w:rsid w:val="000C43F2"/>
    <w:rsid w:val="000C4AA6"/>
    <w:rsid w:val="000C4CD7"/>
    <w:rsid w:val="000C4D92"/>
    <w:rsid w:val="000C4E61"/>
    <w:rsid w:val="000C52DC"/>
    <w:rsid w:val="000C5359"/>
    <w:rsid w:val="000C5388"/>
    <w:rsid w:val="000C5C43"/>
    <w:rsid w:val="000C5C59"/>
    <w:rsid w:val="000C5C5C"/>
    <w:rsid w:val="000C5FC6"/>
    <w:rsid w:val="000C5FF4"/>
    <w:rsid w:val="000C60D8"/>
    <w:rsid w:val="000C6498"/>
    <w:rsid w:val="000C66A5"/>
    <w:rsid w:val="000C66A7"/>
    <w:rsid w:val="000C67F2"/>
    <w:rsid w:val="000C6918"/>
    <w:rsid w:val="000C6C0F"/>
    <w:rsid w:val="000C6D28"/>
    <w:rsid w:val="000C6F0D"/>
    <w:rsid w:val="000C6F7D"/>
    <w:rsid w:val="000C7013"/>
    <w:rsid w:val="000C7264"/>
    <w:rsid w:val="000C7395"/>
    <w:rsid w:val="000C73F3"/>
    <w:rsid w:val="000C7456"/>
    <w:rsid w:val="000C7491"/>
    <w:rsid w:val="000C74BB"/>
    <w:rsid w:val="000C77F6"/>
    <w:rsid w:val="000C7A56"/>
    <w:rsid w:val="000C7CF3"/>
    <w:rsid w:val="000C7EFB"/>
    <w:rsid w:val="000C7FD3"/>
    <w:rsid w:val="000D003C"/>
    <w:rsid w:val="000D02B8"/>
    <w:rsid w:val="000D0379"/>
    <w:rsid w:val="000D074E"/>
    <w:rsid w:val="000D07A4"/>
    <w:rsid w:val="000D082B"/>
    <w:rsid w:val="000D0C81"/>
    <w:rsid w:val="000D0ED4"/>
    <w:rsid w:val="000D1234"/>
    <w:rsid w:val="000D1419"/>
    <w:rsid w:val="000D14A4"/>
    <w:rsid w:val="000D15F1"/>
    <w:rsid w:val="000D172C"/>
    <w:rsid w:val="000D17A6"/>
    <w:rsid w:val="000D187D"/>
    <w:rsid w:val="000D1883"/>
    <w:rsid w:val="000D19BA"/>
    <w:rsid w:val="000D19C4"/>
    <w:rsid w:val="000D2304"/>
    <w:rsid w:val="000D2470"/>
    <w:rsid w:val="000D27C2"/>
    <w:rsid w:val="000D27C7"/>
    <w:rsid w:val="000D2882"/>
    <w:rsid w:val="000D2B25"/>
    <w:rsid w:val="000D2BAD"/>
    <w:rsid w:val="000D3277"/>
    <w:rsid w:val="000D331C"/>
    <w:rsid w:val="000D340A"/>
    <w:rsid w:val="000D3568"/>
    <w:rsid w:val="000D35AD"/>
    <w:rsid w:val="000D35C7"/>
    <w:rsid w:val="000D36D1"/>
    <w:rsid w:val="000D390F"/>
    <w:rsid w:val="000D39D8"/>
    <w:rsid w:val="000D4538"/>
    <w:rsid w:val="000D493C"/>
    <w:rsid w:val="000D49FD"/>
    <w:rsid w:val="000D4AC8"/>
    <w:rsid w:val="000D4E11"/>
    <w:rsid w:val="000D4F2E"/>
    <w:rsid w:val="000D5158"/>
    <w:rsid w:val="000D51FF"/>
    <w:rsid w:val="000D545B"/>
    <w:rsid w:val="000D552A"/>
    <w:rsid w:val="000D55BD"/>
    <w:rsid w:val="000D565B"/>
    <w:rsid w:val="000D574E"/>
    <w:rsid w:val="000D576C"/>
    <w:rsid w:val="000D59AE"/>
    <w:rsid w:val="000D5A98"/>
    <w:rsid w:val="000D5AA1"/>
    <w:rsid w:val="000D5D38"/>
    <w:rsid w:val="000D609E"/>
    <w:rsid w:val="000D6187"/>
    <w:rsid w:val="000D61E9"/>
    <w:rsid w:val="000D646A"/>
    <w:rsid w:val="000D6473"/>
    <w:rsid w:val="000D64BA"/>
    <w:rsid w:val="000D64D4"/>
    <w:rsid w:val="000D657B"/>
    <w:rsid w:val="000D65A6"/>
    <w:rsid w:val="000D65C5"/>
    <w:rsid w:val="000D670E"/>
    <w:rsid w:val="000D6CFF"/>
    <w:rsid w:val="000D6E13"/>
    <w:rsid w:val="000D6E44"/>
    <w:rsid w:val="000D7008"/>
    <w:rsid w:val="000D71D1"/>
    <w:rsid w:val="000D73E0"/>
    <w:rsid w:val="000D7A1B"/>
    <w:rsid w:val="000E03F8"/>
    <w:rsid w:val="000E0884"/>
    <w:rsid w:val="000E097E"/>
    <w:rsid w:val="000E0A70"/>
    <w:rsid w:val="000E0B59"/>
    <w:rsid w:val="000E0B9C"/>
    <w:rsid w:val="000E0BA9"/>
    <w:rsid w:val="000E0C49"/>
    <w:rsid w:val="000E0D34"/>
    <w:rsid w:val="000E0FF0"/>
    <w:rsid w:val="000E10AA"/>
    <w:rsid w:val="000E11FF"/>
    <w:rsid w:val="000E12CD"/>
    <w:rsid w:val="000E13C3"/>
    <w:rsid w:val="000E13F0"/>
    <w:rsid w:val="000E1C52"/>
    <w:rsid w:val="000E1CDD"/>
    <w:rsid w:val="000E2089"/>
    <w:rsid w:val="000E20E3"/>
    <w:rsid w:val="000E2160"/>
    <w:rsid w:val="000E28EC"/>
    <w:rsid w:val="000E2D55"/>
    <w:rsid w:val="000E2D6A"/>
    <w:rsid w:val="000E2F3C"/>
    <w:rsid w:val="000E3661"/>
    <w:rsid w:val="000E3D1D"/>
    <w:rsid w:val="000E3DE0"/>
    <w:rsid w:val="000E3F4B"/>
    <w:rsid w:val="000E40DE"/>
    <w:rsid w:val="000E4280"/>
    <w:rsid w:val="000E468C"/>
    <w:rsid w:val="000E4727"/>
    <w:rsid w:val="000E4893"/>
    <w:rsid w:val="000E4AE0"/>
    <w:rsid w:val="000E4C21"/>
    <w:rsid w:val="000E5388"/>
    <w:rsid w:val="000E5452"/>
    <w:rsid w:val="000E5561"/>
    <w:rsid w:val="000E56AA"/>
    <w:rsid w:val="000E56B0"/>
    <w:rsid w:val="000E5808"/>
    <w:rsid w:val="000E5AEA"/>
    <w:rsid w:val="000E5E1D"/>
    <w:rsid w:val="000E60CB"/>
    <w:rsid w:val="000E60FB"/>
    <w:rsid w:val="000E6494"/>
    <w:rsid w:val="000E64BF"/>
    <w:rsid w:val="000E676A"/>
    <w:rsid w:val="000E6912"/>
    <w:rsid w:val="000E69DD"/>
    <w:rsid w:val="000E6B5B"/>
    <w:rsid w:val="000E7050"/>
    <w:rsid w:val="000E705C"/>
    <w:rsid w:val="000E7188"/>
    <w:rsid w:val="000E7928"/>
    <w:rsid w:val="000E7DC4"/>
    <w:rsid w:val="000F02C4"/>
    <w:rsid w:val="000F04BC"/>
    <w:rsid w:val="000F0504"/>
    <w:rsid w:val="000F05E0"/>
    <w:rsid w:val="000F07E8"/>
    <w:rsid w:val="000F0AEB"/>
    <w:rsid w:val="000F0BC2"/>
    <w:rsid w:val="000F0BCE"/>
    <w:rsid w:val="000F0C37"/>
    <w:rsid w:val="000F0E99"/>
    <w:rsid w:val="000F102C"/>
    <w:rsid w:val="000F114D"/>
    <w:rsid w:val="000F11B9"/>
    <w:rsid w:val="000F13B4"/>
    <w:rsid w:val="000F170D"/>
    <w:rsid w:val="000F179C"/>
    <w:rsid w:val="000F17BA"/>
    <w:rsid w:val="000F186E"/>
    <w:rsid w:val="000F1A7F"/>
    <w:rsid w:val="000F1BA3"/>
    <w:rsid w:val="000F1C7B"/>
    <w:rsid w:val="000F1E25"/>
    <w:rsid w:val="000F2127"/>
    <w:rsid w:val="000F22DD"/>
    <w:rsid w:val="000F23F2"/>
    <w:rsid w:val="000F30FE"/>
    <w:rsid w:val="000F3361"/>
    <w:rsid w:val="000F377C"/>
    <w:rsid w:val="000F37A6"/>
    <w:rsid w:val="000F3B34"/>
    <w:rsid w:val="000F3E59"/>
    <w:rsid w:val="000F4151"/>
    <w:rsid w:val="000F422C"/>
    <w:rsid w:val="000F4277"/>
    <w:rsid w:val="000F4356"/>
    <w:rsid w:val="000F437C"/>
    <w:rsid w:val="000F43F3"/>
    <w:rsid w:val="000F449C"/>
    <w:rsid w:val="000F4724"/>
    <w:rsid w:val="000F4B5D"/>
    <w:rsid w:val="000F4C32"/>
    <w:rsid w:val="000F4E6C"/>
    <w:rsid w:val="000F4E86"/>
    <w:rsid w:val="000F50F0"/>
    <w:rsid w:val="000F5517"/>
    <w:rsid w:val="000F5BAF"/>
    <w:rsid w:val="000F616A"/>
    <w:rsid w:val="000F617B"/>
    <w:rsid w:val="000F6D90"/>
    <w:rsid w:val="000F700A"/>
    <w:rsid w:val="000F724F"/>
    <w:rsid w:val="000F74CE"/>
    <w:rsid w:val="000F780D"/>
    <w:rsid w:val="000F7947"/>
    <w:rsid w:val="000F79B3"/>
    <w:rsid w:val="000F7DDD"/>
    <w:rsid w:val="001001EE"/>
    <w:rsid w:val="00100415"/>
    <w:rsid w:val="00100BF6"/>
    <w:rsid w:val="00100C2C"/>
    <w:rsid w:val="00100D3A"/>
    <w:rsid w:val="00100F47"/>
    <w:rsid w:val="00100FE0"/>
    <w:rsid w:val="001016B4"/>
    <w:rsid w:val="00101830"/>
    <w:rsid w:val="00101D3C"/>
    <w:rsid w:val="00101FE3"/>
    <w:rsid w:val="0010231D"/>
    <w:rsid w:val="0010231F"/>
    <w:rsid w:val="001023B0"/>
    <w:rsid w:val="00102562"/>
    <w:rsid w:val="001028D7"/>
    <w:rsid w:val="00102958"/>
    <w:rsid w:val="0010298D"/>
    <w:rsid w:val="001029B8"/>
    <w:rsid w:val="00102CCA"/>
    <w:rsid w:val="00102DBC"/>
    <w:rsid w:val="00102EE1"/>
    <w:rsid w:val="00103011"/>
    <w:rsid w:val="00103276"/>
    <w:rsid w:val="001033F7"/>
    <w:rsid w:val="00103445"/>
    <w:rsid w:val="001037DB"/>
    <w:rsid w:val="001038F3"/>
    <w:rsid w:val="00103970"/>
    <w:rsid w:val="00103B4A"/>
    <w:rsid w:val="00103BC0"/>
    <w:rsid w:val="00103CF6"/>
    <w:rsid w:val="00103E22"/>
    <w:rsid w:val="00103E2A"/>
    <w:rsid w:val="00103E44"/>
    <w:rsid w:val="00104054"/>
    <w:rsid w:val="0010423D"/>
    <w:rsid w:val="0010457C"/>
    <w:rsid w:val="001045FB"/>
    <w:rsid w:val="001047E0"/>
    <w:rsid w:val="0010493A"/>
    <w:rsid w:val="00104A11"/>
    <w:rsid w:val="00104AB0"/>
    <w:rsid w:val="00104C7A"/>
    <w:rsid w:val="00104CCE"/>
    <w:rsid w:val="00104CEC"/>
    <w:rsid w:val="001050DC"/>
    <w:rsid w:val="0010518C"/>
    <w:rsid w:val="00105794"/>
    <w:rsid w:val="0010579D"/>
    <w:rsid w:val="00105A14"/>
    <w:rsid w:val="00105A37"/>
    <w:rsid w:val="00105BDE"/>
    <w:rsid w:val="00105CE4"/>
    <w:rsid w:val="00106241"/>
    <w:rsid w:val="00106549"/>
    <w:rsid w:val="001067AC"/>
    <w:rsid w:val="00106C7F"/>
    <w:rsid w:val="00106D73"/>
    <w:rsid w:val="00106D98"/>
    <w:rsid w:val="0010717A"/>
    <w:rsid w:val="001071AE"/>
    <w:rsid w:val="00107771"/>
    <w:rsid w:val="001078CE"/>
    <w:rsid w:val="001078D1"/>
    <w:rsid w:val="00107B1C"/>
    <w:rsid w:val="00107B3D"/>
    <w:rsid w:val="00107BB9"/>
    <w:rsid w:val="00107CF4"/>
    <w:rsid w:val="00107D34"/>
    <w:rsid w:val="00107E1F"/>
    <w:rsid w:val="00110203"/>
    <w:rsid w:val="00110383"/>
    <w:rsid w:val="001104C4"/>
    <w:rsid w:val="0011061E"/>
    <w:rsid w:val="00110673"/>
    <w:rsid w:val="00110689"/>
    <w:rsid w:val="00110A57"/>
    <w:rsid w:val="00110E5B"/>
    <w:rsid w:val="001110E8"/>
    <w:rsid w:val="001110F9"/>
    <w:rsid w:val="001113C0"/>
    <w:rsid w:val="00111630"/>
    <w:rsid w:val="0011179A"/>
    <w:rsid w:val="001117FD"/>
    <w:rsid w:val="00112094"/>
    <w:rsid w:val="0011234B"/>
    <w:rsid w:val="00112452"/>
    <w:rsid w:val="00112552"/>
    <w:rsid w:val="0011284F"/>
    <w:rsid w:val="001128AA"/>
    <w:rsid w:val="0011292E"/>
    <w:rsid w:val="001129CF"/>
    <w:rsid w:val="00112D56"/>
    <w:rsid w:val="0011322C"/>
    <w:rsid w:val="00113405"/>
    <w:rsid w:val="0011355C"/>
    <w:rsid w:val="001136EB"/>
    <w:rsid w:val="00113772"/>
    <w:rsid w:val="00113884"/>
    <w:rsid w:val="00113896"/>
    <w:rsid w:val="001138FA"/>
    <w:rsid w:val="00113C44"/>
    <w:rsid w:val="00113C7E"/>
    <w:rsid w:val="00113CF0"/>
    <w:rsid w:val="001140C4"/>
    <w:rsid w:val="00114678"/>
    <w:rsid w:val="00114759"/>
    <w:rsid w:val="001147D3"/>
    <w:rsid w:val="00115001"/>
    <w:rsid w:val="001151F5"/>
    <w:rsid w:val="00115230"/>
    <w:rsid w:val="00115CB8"/>
    <w:rsid w:val="00115CBA"/>
    <w:rsid w:val="00115DFB"/>
    <w:rsid w:val="001161B8"/>
    <w:rsid w:val="00116233"/>
    <w:rsid w:val="0011623C"/>
    <w:rsid w:val="001162A7"/>
    <w:rsid w:val="00116330"/>
    <w:rsid w:val="001164B1"/>
    <w:rsid w:val="00116517"/>
    <w:rsid w:val="001165B7"/>
    <w:rsid w:val="00116637"/>
    <w:rsid w:val="001169E5"/>
    <w:rsid w:val="00116A7A"/>
    <w:rsid w:val="00116B72"/>
    <w:rsid w:val="00116BF0"/>
    <w:rsid w:val="00116CEB"/>
    <w:rsid w:val="00116D9C"/>
    <w:rsid w:val="00116FA0"/>
    <w:rsid w:val="00116FD8"/>
    <w:rsid w:val="001170E4"/>
    <w:rsid w:val="00117B54"/>
    <w:rsid w:val="00117CC3"/>
    <w:rsid w:val="00117EBE"/>
    <w:rsid w:val="00117F02"/>
    <w:rsid w:val="00120047"/>
    <w:rsid w:val="0012066D"/>
    <w:rsid w:val="001206A1"/>
    <w:rsid w:val="001206FB"/>
    <w:rsid w:val="00120EB1"/>
    <w:rsid w:val="0012103C"/>
    <w:rsid w:val="00121278"/>
    <w:rsid w:val="00121364"/>
    <w:rsid w:val="00121384"/>
    <w:rsid w:val="00121444"/>
    <w:rsid w:val="001217F4"/>
    <w:rsid w:val="001219C7"/>
    <w:rsid w:val="00121F63"/>
    <w:rsid w:val="001222A7"/>
    <w:rsid w:val="001224E2"/>
    <w:rsid w:val="00122586"/>
    <w:rsid w:val="001226BF"/>
    <w:rsid w:val="001226DA"/>
    <w:rsid w:val="00122838"/>
    <w:rsid w:val="00122A66"/>
    <w:rsid w:val="00122DF4"/>
    <w:rsid w:val="00122FCD"/>
    <w:rsid w:val="001230E6"/>
    <w:rsid w:val="00123131"/>
    <w:rsid w:val="001231CE"/>
    <w:rsid w:val="001232C1"/>
    <w:rsid w:val="001232FD"/>
    <w:rsid w:val="0012352F"/>
    <w:rsid w:val="00123C3A"/>
    <w:rsid w:val="00123C4C"/>
    <w:rsid w:val="00123CE7"/>
    <w:rsid w:val="00123DD0"/>
    <w:rsid w:val="00123E87"/>
    <w:rsid w:val="00123EEA"/>
    <w:rsid w:val="00123F2C"/>
    <w:rsid w:val="001240F3"/>
    <w:rsid w:val="0012429F"/>
    <w:rsid w:val="00124404"/>
    <w:rsid w:val="0012444D"/>
    <w:rsid w:val="0012447F"/>
    <w:rsid w:val="00124494"/>
    <w:rsid w:val="0012467F"/>
    <w:rsid w:val="0012499E"/>
    <w:rsid w:val="00124C6C"/>
    <w:rsid w:val="00124F9D"/>
    <w:rsid w:val="001251E8"/>
    <w:rsid w:val="00125247"/>
    <w:rsid w:val="001253E8"/>
    <w:rsid w:val="0012577F"/>
    <w:rsid w:val="00125803"/>
    <w:rsid w:val="00125962"/>
    <w:rsid w:val="00125A48"/>
    <w:rsid w:val="00125D06"/>
    <w:rsid w:val="00125D64"/>
    <w:rsid w:val="0012618B"/>
    <w:rsid w:val="0012626F"/>
    <w:rsid w:val="001266B4"/>
    <w:rsid w:val="0012675B"/>
    <w:rsid w:val="00126785"/>
    <w:rsid w:val="00126CD6"/>
    <w:rsid w:val="00126D1A"/>
    <w:rsid w:val="00126E6B"/>
    <w:rsid w:val="00126FF2"/>
    <w:rsid w:val="001273B8"/>
    <w:rsid w:val="001276EE"/>
    <w:rsid w:val="00127809"/>
    <w:rsid w:val="00127845"/>
    <w:rsid w:val="00127A37"/>
    <w:rsid w:val="00127A75"/>
    <w:rsid w:val="00127B49"/>
    <w:rsid w:val="00127C8A"/>
    <w:rsid w:val="00127CC1"/>
    <w:rsid w:val="00127DF4"/>
    <w:rsid w:val="0013007A"/>
    <w:rsid w:val="001300DC"/>
    <w:rsid w:val="00130273"/>
    <w:rsid w:val="00130343"/>
    <w:rsid w:val="0013047E"/>
    <w:rsid w:val="001305EB"/>
    <w:rsid w:val="001306B7"/>
    <w:rsid w:val="0013079F"/>
    <w:rsid w:val="001309F2"/>
    <w:rsid w:val="00130B99"/>
    <w:rsid w:val="00130E6E"/>
    <w:rsid w:val="00130F5D"/>
    <w:rsid w:val="0013116F"/>
    <w:rsid w:val="001311BE"/>
    <w:rsid w:val="001314CA"/>
    <w:rsid w:val="00131968"/>
    <w:rsid w:val="00131E84"/>
    <w:rsid w:val="00131ED0"/>
    <w:rsid w:val="00131F0E"/>
    <w:rsid w:val="0013206D"/>
    <w:rsid w:val="001320A6"/>
    <w:rsid w:val="001321E6"/>
    <w:rsid w:val="00132438"/>
    <w:rsid w:val="001324DB"/>
    <w:rsid w:val="00132540"/>
    <w:rsid w:val="00132601"/>
    <w:rsid w:val="001327D4"/>
    <w:rsid w:val="001327E4"/>
    <w:rsid w:val="00132A12"/>
    <w:rsid w:val="00132C33"/>
    <w:rsid w:val="00132DE2"/>
    <w:rsid w:val="00133224"/>
    <w:rsid w:val="001333DA"/>
    <w:rsid w:val="0013368C"/>
    <w:rsid w:val="001336FF"/>
    <w:rsid w:val="00133D63"/>
    <w:rsid w:val="00133DE3"/>
    <w:rsid w:val="00133DFA"/>
    <w:rsid w:val="001340EF"/>
    <w:rsid w:val="00134120"/>
    <w:rsid w:val="00134123"/>
    <w:rsid w:val="001341A1"/>
    <w:rsid w:val="00134510"/>
    <w:rsid w:val="0013455D"/>
    <w:rsid w:val="001345F6"/>
    <w:rsid w:val="00134957"/>
    <w:rsid w:val="00134980"/>
    <w:rsid w:val="00134A3F"/>
    <w:rsid w:val="00134DBB"/>
    <w:rsid w:val="00134E50"/>
    <w:rsid w:val="001350DC"/>
    <w:rsid w:val="001351FE"/>
    <w:rsid w:val="00135279"/>
    <w:rsid w:val="0013573A"/>
    <w:rsid w:val="001358A1"/>
    <w:rsid w:val="00135B6F"/>
    <w:rsid w:val="00135B85"/>
    <w:rsid w:val="00135DE3"/>
    <w:rsid w:val="00136395"/>
    <w:rsid w:val="001363B0"/>
    <w:rsid w:val="0013661E"/>
    <w:rsid w:val="00136777"/>
    <w:rsid w:val="00136CC8"/>
    <w:rsid w:val="00136EB1"/>
    <w:rsid w:val="00137333"/>
    <w:rsid w:val="0013750E"/>
    <w:rsid w:val="00137544"/>
    <w:rsid w:val="0013756E"/>
    <w:rsid w:val="001377BB"/>
    <w:rsid w:val="001377D8"/>
    <w:rsid w:val="001377EB"/>
    <w:rsid w:val="00137AC6"/>
    <w:rsid w:val="00137BDA"/>
    <w:rsid w:val="00137C40"/>
    <w:rsid w:val="00137C91"/>
    <w:rsid w:val="00137E79"/>
    <w:rsid w:val="00137F21"/>
    <w:rsid w:val="00137F9C"/>
    <w:rsid w:val="0014006B"/>
    <w:rsid w:val="00140074"/>
    <w:rsid w:val="00140219"/>
    <w:rsid w:val="00140224"/>
    <w:rsid w:val="00140280"/>
    <w:rsid w:val="00140301"/>
    <w:rsid w:val="00140609"/>
    <w:rsid w:val="001408B8"/>
    <w:rsid w:val="001408BF"/>
    <w:rsid w:val="00140901"/>
    <w:rsid w:val="00140950"/>
    <w:rsid w:val="00140C6E"/>
    <w:rsid w:val="00140CB5"/>
    <w:rsid w:val="0014102A"/>
    <w:rsid w:val="0014112D"/>
    <w:rsid w:val="00141342"/>
    <w:rsid w:val="0014149A"/>
    <w:rsid w:val="00141511"/>
    <w:rsid w:val="001415D0"/>
    <w:rsid w:val="001416CE"/>
    <w:rsid w:val="001416EE"/>
    <w:rsid w:val="00141B12"/>
    <w:rsid w:val="00141D86"/>
    <w:rsid w:val="00141ED7"/>
    <w:rsid w:val="00141FD5"/>
    <w:rsid w:val="00142110"/>
    <w:rsid w:val="001421CF"/>
    <w:rsid w:val="001421E6"/>
    <w:rsid w:val="00142319"/>
    <w:rsid w:val="0014233C"/>
    <w:rsid w:val="001426AD"/>
    <w:rsid w:val="001427C1"/>
    <w:rsid w:val="00142C60"/>
    <w:rsid w:val="00143172"/>
    <w:rsid w:val="001431FB"/>
    <w:rsid w:val="00143242"/>
    <w:rsid w:val="0014340E"/>
    <w:rsid w:val="00143450"/>
    <w:rsid w:val="0014381E"/>
    <w:rsid w:val="00143889"/>
    <w:rsid w:val="00143A57"/>
    <w:rsid w:val="00143E2F"/>
    <w:rsid w:val="00143E3E"/>
    <w:rsid w:val="001440C6"/>
    <w:rsid w:val="00144382"/>
    <w:rsid w:val="00144622"/>
    <w:rsid w:val="001448B8"/>
    <w:rsid w:val="00144CBB"/>
    <w:rsid w:val="00144E28"/>
    <w:rsid w:val="00144E46"/>
    <w:rsid w:val="00145040"/>
    <w:rsid w:val="001454B8"/>
    <w:rsid w:val="00145552"/>
    <w:rsid w:val="001456BC"/>
    <w:rsid w:val="00145862"/>
    <w:rsid w:val="0014588D"/>
    <w:rsid w:val="00145A1C"/>
    <w:rsid w:val="00145A1F"/>
    <w:rsid w:val="00145A22"/>
    <w:rsid w:val="00145A25"/>
    <w:rsid w:val="00145E38"/>
    <w:rsid w:val="0014631D"/>
    <w:rsid w:val="00146517"/>
    <w:rsid w:val="0014659E"/>
    <w:rsid w:val="00146630"/>
    <w:rsid w:val="00146834"/>
    <w:rsid w:val="00146955"/>
    <w:rsid w:val="00146A82"/>
    <w:rsid w:val="00146B50"/>
    <w:rsid w:val="00146B60"/>
    <w:rsid w:val="00146B8D"/>
    <w:rsid w:val="00146C73"/>
    <w:rsid w:val="00146E37"/>
    <w:rsid w:val="00146F60"/>
    <w:rsid w:val="00147040"/>
    <w:rsid w:val="00147475"/>
    <w:rsid w:val="00147687"/>
    <w:rsid w:val="00147ADF"/>
    <w:rsid w:val="00147C06"/>
    <w:rsid w:val="00147F0F"/>
    <w:rsid w:val="00147F10"/>
    <w:rsid w:val="00150041"/>
    <w:rsid w:val="0015023E"/>
    <w:rsid w:val="00150281"/>
    <w:rsid w:val="00150AEC"/>
    <w:rsid w:val="00151029"/>
    <w:rsid w:val="00151387"/>
    <w:rsid w:val="0015143F"/>
    <w:rsid w:val="0015146F"/>
    <w:rsid w:val="00151541"/>
    <w:rsid w:val="0015167F"/>
    <w:rsid w:val="00151A2F"/>
    <w:rsid w:val="00151BD5"/>
    <w:rsid w:val="00151E75"/>
    <w:rsid w:val="00151F20"/>
    <w:rsid w:val="00151F35"/>
    <w:rsid w:val="001522DF"/>
    <w:rsid w:val="001526EB"/>
    <w:rsid w:val="00152739"/>
    <w:rsid w:val="0015287E"/>
    <w:rsid w:val="00152BE0"/>
    <w:rsid w:val="00153104"/>
    <w:rsid w:val="0015361A"/>
    <w:rsid w:val="0015395E"/>
    <w:rsid w:val="00153967"/>
    <w:rsid w:val="00154007"/>
    <w:rsid w:val="00154049"/>
    <w:rsid w:val="00154231"/>
    <w:rsid w:val="001546B4"/>
    <w:rsid w:val="001547A7"/>
    <w:rsid w:val="001547C0"/>
    <w:rsid w:val="00154BB7"/>
    <w:rsid w:val="00154BEE"/>
    <w:rsid w:val="00154C2F"/>
    <w:rsid w:val="00154CF2"/>
    <w:rsid w:val="00154CF5"/>
    <w:rsid w:val="00154DC6"/>
    <w:rsid w:val="00154F81"/>
    <w:rsid w:val="00154F8D"/>
    <w:rsid w:val="001553F7"/>
    <w:rsid w:val="001556CA"/>
    <w:rsid w:val="00155B47"/>
    <w:rsid w:val="00155C08"/>
    <w:rsid w:val="00155C53"/>
    <w:rsid w:val="00155DFC"/>
    <w:rsid w:val="001560A1"/>
    <w:rsid w:val="00156236"/>
    <w:rsid w:val="001563D6"/>
    <w:rsid w:val="001564B2"/>
    <w:rsid w:val="001568C2"/>
    <w:rsid w:val="001569AF"/>
    <w:rsid w:val="00156A04"/>
    <w:rsid w:val="00156A8C"/>
    <w:rsid w:val="00156D40"/>
    <w:rsid w:val="001571FE"/>
    <w:rsid w:val="001572C6"/>
    <w:rsid w:val="001573B8"/>
    <w:rsid w:val="00157498"/>
    <w:rsid w:val="001574B2"/>
    <w:rsid w:val="00157530"/>
    <w:rsid w:val="00157558"/>
    <w:rsid w:val="001576DE"/>
    <w:rsid w:val="00157729"/>
    <w:rsid w:val="00157B48"/>
    <w:rsid w:val="00157C76"/>
    <w:rsid w:val="00157EF3"/>
    <w:rsid w:val="00157FB9"/>
    <w:rsid w:val="00160520"/>
    <w:rsid w:val="001607E4"/>
    <w:rsid w:val="00161067"/>
    <w:rsid w:val="001614F3"/>
    <w:rsid w:val="00161670"/>
    <w:rsid w:val="0016188E"/>
    <w:rsid w:val="00161AC5"/>
    <w:rsid w:val="001621BA"/>
    <w:rsid w:val="00162A9D"/>
    <w:rsid w:val="00162AB4"/>
    <w:rsid w:val="00162CE5"/>
    <w:rsid w:val="00162EE7"/>
    <w:rsid w:val="00162F65"/>
    <w:rsid w:val="001633E6"/>
    <w:rsid w:val="00163510"/>
    <w:rsid w:val="00163630"/>
    <w:rsid w:val="00163789"/>
    <w:rsid w:val="001637B4"/>
    <w:rsid w:val="0016387D"/>
    <w:rsid w:val="00163B53"/>
    <w:rsid w:val="00163D40"/>
    <w:rsid w:val="00163D5B"/>
    <w:rsid w:val="00163DA1"/>
    <w:rsid w:val="0016405B"/>
    <w:rsid w:val="001640ED"/>
    <w:rsid w:val="0016464C"/>
    <w:rsid w:val="00164663"/>
    <w:rsid w:val="0016478E"/>
    <w:rsid w:val="001648C8"/>
    <w:rsid w:val="00164908"/>
    <w:rsid w:val="00164B40"/>
    <w:rsid w:val="00164C66"/>
    <w:rsid w:val="00164FA3"/>
    <w:rsid w:val="0016513B"/>
    <w:rsid w:val="001651D3"/>
    <w:rsid w:val="00165201"/>
    <w:rsid w:val="00165D45"/>
    <w:rsid w:val="00165F03"/>
    <w:rsid w:val="00166120"/>
    <w:rsid w:val="001661B2"/>
    <w:rsid w:val="00166268"/>
    <w:rsid w:val="00166274"/>
    <w:rsid w:val="0016634C"/>
    <w:rsid w:val="00166819"/>
    <w:rsid w:val="00166C6B"/>
    <w:rsid w:val="00166DE3"/>
    <w:rsid w:val="00166F9B"/>
    <w:rsid w:val="00167090"/>
    <w:rsid w:val="001670E8"/>
    <w:rsid w:val="00167791"/>
    <w:rsid w:val="0016796D"/>
    <w:rsid w:val="00170078"/>
    <w:rsid w:val="00170163"/>
    <w:rsid w:val="001701E0"/>
    <w:rsid w:val="00170306"/>
    <w:rsid w:val="001705D4"/>
    <w:rsid w:val="00170785"/>
    <w:rsid w:val="0017080C"/>
    <w:rsid w:val="00170EC6"/>
    <w:rsid w:val="00170EF3"/>
    <w:rsid w:val="00171291"/>
    <w:rsid w:val="001712C1"/>
    <w:rsid w:val="001713AC"/>
    <w:rsid w:val="00171660"/>
    <w:rsid w:val="00171670"/>
    <w:rsid w:val="001717A6"/>
    <w:rsid w:val="00171871"/>
    <w:rsid w:val="00171C61"/>
    <w:rsid w:val="00171FC2"/>
    <w:rsid w:val="00171FE9"/>
    <w:rsid w:val="0017201E"/>
    <w:rsid w:val="00172068"/>
    <w:rsid w:val="00172222"/>
    <w:rsid w:val="00172666"/>
    <w:rsid w:val="001728B3"/>
    <w:rsid w:val="00172965"/>
    <w:rsid w:val="00172A25"/>
    <w:rsid w:val="00172E61"/>
    <w:rsid w:val="00172F8A"/>
    <w:rsid w:val="0017327C"/>
    <w:rsid w:val="00173312"/>
    <w:rsid w:val="001739FD"/>
    <w:rsid w:val="00173C74"/>
    <w:rsid w:val="00174032"/>
    <w:rsid w:val="00174281"/>
    <w:rsid w:val="00174349"/>
    <w:rsid w:val="001744E8"/>
    <w:rsid w:val="00174565"/>
    <w:rsid w:val="001747C6"/>
    <w:rsid w:val="001749E8"/>
    <w:rsid w:val="00174A5D"/>
    <w:rsid w:val="00174D5B"/>
    <w:rsid w:val="00174E4B"/>
    <w:rsid w:val="00174FB3"/>
    <w:rsid w:val="00174FBE"/>
    <w:rsid w:val="0017514F"/>
    <w:rsid w:val="001752A9"/>
    <w:rsid w:val="001753A2"/>
    <w:rsid w:val="001753C1"/>
    <w:rsid w:val="00175433"/>
    <w:rsid w:val="0017563E"/>
    <w:rsid w:val="00175648"/>
    <w:rsid w:val="001761C3"/>
    <w:rsid w:val="00176284"/>
    <w:rsid w:val="001762A1"/>
    <w:rsid w:val="001763B7"/>
    <w:rsid w:val="0017641D"/>
    <w:rsid w:val="00176610"/>
    <w:rsid w:val="00176844"/>
    <w:rsid w:val="00176865"/>
    <w:rsid w:val="0017686E"/>
    <w:rsid w:val="00176902"/>
    <w:rsid w:val="00176A4B"/>
    <w:rsid w:val="00176AA0"/>
    <w:rsid w:val="00176D1A"/>
    <w:rsid w:val="001770E3"/>
    <w:rsid w:val="001771A1"/>
    <w:rsid w:val="00177285"/>
    <w:rsid w:val="0017762F"/>
    <w:rsid w:val="0017796D"/>
    <w:rsid w:val="00177A35"/>
    <w:rsid w:val="00177E59"/>
    <w:rsid w:val="00177FC5"/>
    <w:rsid w:val="00180457"/>
    <w:rsid w:val="001805B7"/>
    <w:rsid w:val="001806A7"/>
    <w:rsid w:val="00180808"/>
    <w:rsid w:val="001809F2"/>
    <w:rsid w:val="00180BA1"/>
    <w:rsid w:val="00180D4B"/>
    <w:rsid w:val="00180F08"/>
    <w:rsid w:val="001810E6"/>
    <w:rsid w:val="00181527"/>
    <w:rsid w:val="001817FF"/>
    <w:rsid w:val="00181AE6"/>
    <w:rsid w:val="00181DBB"/>
    <w:rsid w:val="00182097"/>
    <w:rsid w:val="001820A5"/>
    <w:rsid w:val="001820FE"/>
    <w:rsid w:val="00182339"/>
    <w:rsid w:val="0018270E"/>
    <w:rsid w:val="001828B8"/>
    <w:rsid w:val="001829E9"/>
    <w:rsid w:val="00182B4E"/>
    <w:rsid w:val="00182D5C"/>
    <w:rsid w:val="00182E9B"/>
    <w:rsid w:val="00182EF2"/>
    <w:rsid w:val="001832F5"/>
    <w:rsid w:val="0018357F"/>
    <w:rsid w:val="001835F5"/>
    <w:rsid w:val="00183866"/>
    <w:rsid w:val="00183BC9"/>
    <w:rsid w:val="001840B5"/>
    <w:rsid w:val="00184141"/>
    <w:rsid w:val="001841BD"/>
    <w:rsid w:val="001841CD"/>
    <w:rsid w:val="001845EB"/>
    <w:rsid w:val="00184829"/>
    <w:rsid w:val="0018487A"/>
    <w:rsid w:val="001849A5"/>
    <w:rsid w:val="00184C11"/>
    <w:rsid w:val="00184E77"/>
    <w:rsid w:val="00184F97"/>
    <w:rsid w:val="001850BA"/>
    <w:rsid w:val="001855BC"/>
    <w:rsid w:val="00185676"/>
    <w:rsid w:val="00185748"/>
    <w:rsid w:val="00185830"/>
    <w:rsid w:val="00185B97"/>
    <w:rsid w:val="00185D05"/>
    <w:rsid w:val="00185E5E"/>
    <w:rsid w:val="001860F7"/>
    <w:rsid w:val="00186106"/>
    <w:rsid w:val="00186199"/>
    <w:rsid w:val="001864F5"/>
    <w:rsid w:val="00186827"/>
    <w:rsid w:val="00186955"/>
    <w:rsid w:val="00186D8C"/>
    <w:rsid w:val="00186F14"/>
    <w:rsid w:val="00187272"/>
    <w:rsid w:val="00187273"/>
    <w:rsid w:val="00187302"/>
    <w:rsid w:val="0018737E"/>
    <w:rsid w:val="001873D2"/>
    <w:rsid w:val="0018761F"/>
    <w:rsid w:val="001876BD"/>
    <w:rsid w:val="001876FF"/>
    <w:rsid w:val="001878D9"/>
    <w:rsid w:val="0018794E"/>
    <w:rsid w:val="00187C30"/>
    <w:rsid w:val="0019041C"/>
    <w:rsid w:val="00190499"/>
    <w:rsid w:val="0019051B"/>
    <w:rsid w:val="00190609"/>
    <w:rsid w:val="00190816"/>
    <w:rsid w:val="00190A84"/>
    <w:rsid w:val="00190B23"/>
    <w:rsid w:val="001915FE"/>
    <w:rsid w:val="00191866"/>
    <w:rsid w:val="00191873"/>
    <w:rsid w:val="00191929"/>
    <w:rsid w:val="00191AF7"/>
    <w:rsid w:val="00191C3C"/>
    <w:rsid w:val="00191CC7"/>
    <w:rsid w:val="00191DAD"/>
    <w:rsid w:val="00191F7C"/>
    <w:rsid w:val="001920F3"/>
    <w:rsid w:val="00192187"/>
    <w:rsid w:val="00192316"/>
    <w:rsid w:val="00192317"/>
    <w:rsid w:val="00192438"/>
    <w:rsid w:val="001924DE"/>
    <w:rsid w:val="00192753"/>
    <w:rsid w:val="001927A2"/>
    <w:rsid w:val="001927B9"/>
    <w:rsid w:val="001928BE"/>
    <w:rsid w:val="00192E26"/>
    <w:rsid w:val="00192E9C"/>
    <w:rsid w:val="00192F5C"/>
    <w:rsid w:val="00193093"/>
    <w:rsid w:val="001930CA"/>
    <w:rsid w:val="001931C0"/>
    <w:rsid w:val="00193237"/>
    <w:rsid w:val="0019341E"/>
    <w:rsid w:val="001934FF"/>
    <w:rsid w:val="0019361F"/>
    <w:rsid w:val="00193810"/>
    <w:rsid w:val="00193973"/>
    <w:rsid w:val="00193B1A"/>
    <w:rsid w:val="00193B31"/>
    <w:rsid w:val="00193B61"/>
    <w:rsid w:val="00193D96"/>
    <w:rsid w:val="00193E6B"/>
    <w:rsid w:val="001942C1"/>
    <w:rsid w:val="001943FA"/>
    <w:rsid w:val="001944AD"/>
    <w:rsid w:val="0019459C"/>
    <w:rsid w:val="00194812"/>
    <w:rsid w:val="001949A2"/>
    <w:rsid w:val="001949C6"/>
    <w:rsid w:val="00194B19"/>
    <w:rsid w:val="00195132"/>
    <w:rsid w:val="00195230"/>
    <w:rsid w:val="001953D6"/>
    <w:rsid w:val="0019555F"/>
    <w:rsid w:val="00195B5E"/>
    <w:rsid w:val="00195BD7"/>
    <w:rsid w:val="00195C5C"/>
    <w:rsid w:val="00195E41"/>
    <w:rsid w:val="00195F00"/>
    <w:rsid w:val="00195FDF"/>
    <w:rsid w:val="0019606D"/>
    <w:rsid w:val="001961DE"/>
    <w:rsid w:val="00196356"/>
    <w:rsid w:val="00196470"/>
    <w:rsid w:val="00196489"/>
    <w:rsid w:val="001964F3"/>
    <w:rsid w:val="001965B8"/>
    <w:rsid w:val="00196651"/>
    <w:rsid w:val="00196866"/>
    <w:rsid w:val="00196882"/>
    <w:rsid w:val="00196BB1"/>
    <w:rsid w:val="00196E13"/>
    <w:rsid w:val="00196F65"/>
    <w:rsid w:val="00196F88"/>
    <w:rsid w:val="001972B9"/>
    <w:rsid w:val="00197657"/>
    <w:rsid w:val="001977D6"/>
    <w:rsid w:val="001977DB"/>
    <w:rsid w:val="001979EF"/>
    <w:rsid w:val="00197A37"/>
    <w:rsid w:val="00197AD3"/>
    <w:rsid w:val="00197AFB"/>
    <w:rsid w:val="00197C93"/>
    <w:rsid w:val="001A00D2"/>
    <w:rsid w:val="001A0324"/>
    <w:rsid w:val="001A0341"/>
    <w:rsid w:val="001A0473"/>
    <w:rsid w:val="001A061B"/>
    <w:rsid w:val="001A07C5"/>
    <w:rsid w:val="001A0CB1"/>
    <w:rsid w:val="001A0DA2"/>
    <w:rsid w:val="001A0DFE"/>
    <w:rsid w:val="001A0E82"/>
    <w:rsid w:val="001A0FEA"/>
    <w:rsid w:val="001A10CA"/>
    <w:rsid w:val="001A171C"/>
    <w:rsid w:val="001A17C6"/>
    <w:rsid w:val="001A17F2"/>
    <w:rsid w:val="001A1855"/>
    <w:rsid w:val="001A1B27"/>
    <w:rsid w:val="001A1FC9"/>
    <w:rsid w:val="001A2022"/>
    <w:rsid w:val="001A221C"/>
    <w:rsid w:val="001A2254"/>
    <w:rsid w:val="001A2272"/>
    <w:rsid w:val="001A2BF9"/>
    <w:rsid w:val="001A2CCB"/>
    <w:rsid w:val="001A3157"/>
    <w:rsid w:val="001A36C5"/>
    <w:rsid w:val="001A377E"/>
    <w:rsid w:val="001A381E"/>
    <w:rsid w:val="001A39BC"/>
    <w:rsid w:val="001A3A5D"/>
    <w:rsid w:val="001A3B9A"/>
    <w:rsid w:val="001A3C38"/>
    <w:rsid w:val="001A4975"/>
    <w:rsid w:val="001A4A23"/>
    <w:rsid w:val="001A4A50"/>
    <w:rsid w:val="001A4CE8"/>
    <w:rsid w:val="001A4D81"/>
    <w:rsid w:val="001A5512"/>
    <w:rsid w:val="001A55C7"/>
    <w:rsid w:val="001A56C4"/>
    <w:rsid w:val="001A573D"/>
    <w:rsid w:val="001A5D06"/>
    <w:rsid w:val="001A6148"/>
    <w:rsid w:val="001A6570"/>
    <w:rsid w:val="001A66BD"/>
    <w:rsid w:val="001A68B0"/>
    <w:rsid w:val="001A6A31"/>
    <w:rsid w:val="001A6C03"/>
    <w:rsid w:val="001A6D97"/>
    <w:rsid w:val="001A6F07"/>
    <w:rsid w:val="001A6F52"/>
    <w:rsid w:val="001A6FDF"/>
    <w:rsid w:val="001A727E"/>
    <w:rsid w:val="001A731F"/>
    <w:rsid w:val="001A73B7"/>
    <w:rsid w:val="001A73D0"/>
    <w:rsid w:val="001A7457"/>
    <w:rsid w:val="001A760E"/>
    <w:rsid w:val="001A76DC"/>
    <w:rsid w:val="001A791A"/>
    <w:rsid w:val="001A7C8B"/>
    <w:rsid w:val="001A7D44"/>
    <w:rsid w:val="001A7E13"/>
    <w:rsid w:val="001A7FD4"/>
    <w:rsid w:val="001B039F"/>
    <w:rsid w:val="001B0446"/>
    <w:rsid w:val="001B055E"/>
    <w:rsid w:val="001B0650"/>
    <w:rsid w:val="001B07F0"/>
    <w:rsid w:val="001B0D15"/>
    <w:rsid w:val="001B114E"/>
    <w:rsid w:val="001B138A"/>
    <w:rsid w:val="001B1406"/>
    <w:rsid w:val="001B1B10"/>
    <w:rsid w:val="001B1CAA"/>
    <w:rsid w:val="001B21B6"/>
    <w:rsid w:val="001B2201"/>
    <w:rsid w:val="001B22F8"/>
    <w:rsid w:val="001B25C4"/>
    <w:rsid w:val="001B28E8"/>
    <w:rsid w:val="001B29A9"/>
    <w:rsid w:val="001B29F8"/>
    <w:rsid w:val="001B2A40"/>
    <w:rsid w:val="001B2C71"/>
    <w:rsid w:val="001B2E4B"/>
    <w:rsid w:val="001B305B"/>
    <w:rsid w:val="001B3456"/>
    <w:rsid w:val="001B356B"/>
    <w:rsid w:val="001B3796"/>
    <w:rsid w:val="001B3A06"/>
    <w:rsid w:val="001B3A5D"/>
    <w:rsid w:val="001B3B62"/>
    <w:rsid w:val="001B3F49"/>
    <w:rsid w:val="001B3F77"/>
    <w:rsid w:val="001B44D7"/>
    <w:rsid w:val="001B45B1"/>
    <w:rsid w:val="001B4914"/>
    <w:rsid w:val="001B491D"/>
    <w:rsid w:val="001B4BA9"/>
    <w:rsid w:val="001B4E3A"/>
    <w:rsid w:val="001B4FAC"/>
    <w:rsid w:val="001B4FE1"/>
    <w:rsid w:val="001B508A"/>
    <w:rsid w:val="001B5144"/>
    <w:rsid w:val="001B51F3"/>
    <w:rsid w:val="001B51F4"/>
    <w:rsid w:val="001B58FE"/>
    <w:rsid w:val="001B59F8"/>
    <w:rsid w:val="001B5D88"/>
    <w:rsid w:val="001B5E25"/>
    <w:rsid w:val="001B5F0E"/>
    <w:rsid w:val="001B5F22"/>
    <w:rsid w:val="001B61FE"/>
    <w:rsid w:val="001B6498"/>
    <w:rsid w:val="001B6518"/>
    <w:rsid w:val="001B695A"/>
    <w:rsid w:val="001B6B8B"/>
    <w:rsid w:val="001B6C71"/>
    <w:rsid w:val="001B6EF8"/>
    <w:rsid w:val="001B7025"/>
    <w:rsid w:val="001B7228"/>
    <w:rsid w:val="001B7404"/>
    <w:rsid w:val="001B74BD"/>
    <w:rsid w:val="001B750B"/>
    <w:rsid w:val="001B7781"/>
    <w:rsid w:val="001B7964"/>
    <w:rsid w:val="001B7B12"/>
    <w:rsid w:val="001B7C56"/>
    <w:rsid w:val="001B7D9F"/>
    <w:rsid w:val="001B7FA8"/>
    <w:rsid w:val="001C003A"/>
    <w:rsid w:val="001C01D5"/>
    <w:rsid w:val="001C0257"/>
    <w:rsid w:val="001C0603"/>
    <w:rsid w:val="001C0921"/>
    <w:rsid w:val="001C0974"/>
    <w:rsid w:val="001C0A15"/>
    <w:rsid w:val="001C0D49"/>
    <w:rsid w:val="001C10E6"/>
    <w:rsid w:val="001C1155"/>
    <w:rsid w:val="001C1181"/>
    <w:rsid w:val="001C1391"/>
    <w:rsid w:val="001C18D1"/>
    <w:rsid w:val="001C192E"/>
    <w:rsid w:val="001C1E70"/>
    <w:rsid w:val="001C20F8"/>
    <w:rsid w:val="001C222B"/>
    <w:rsid w:val="001C2447"/>
    <w:rsid w:val="001C26A9"/>
    <w:rsid w:val="001C2790"/>
    <w:rsid w:val="001C29CE"/>
    <w:rsid w:val="001C29D8"/>
    <w:rsid w:val="001C2F80"/>
    <w:rsid w:val="001C3413"/>
    <w:rsid w:val="001C348B"/>
    <w:rsid w:val="001C396D"/>
    <w:rsid w:val="001C3D8D"/>
    <w:rsid w:val="001C3DD7"/>
    <w:rsid w:val="001C406D"/>
    <w:rsid w:val="001C441B"/>
    <w:rsid w:val="001C443D"/>
    <w:rsid w:val="001C445C"/>
    <w:rsid w:val="001C4528"/>
    <w:rsid w:val="001C4608"/>
    <w:rsid w:val="001C46E2"/>
    <w:rsid w:val="001C49B4"/>
    <w:rsid w:val="001C4C9B"/>
    <w:rsid w:val="001C4D48"/>
    <w:rsid w:val="001C4E3A"/>
    <w:rsid w:val="001C4F4F"/>
    <w:rsid w:val="001C50C5"/>
    <w:rsid w:val="001C51CC"/>
    <w:rsid w:val="001C522B"/>
    <w:rsid w:val="001C54A3"/>
    <w:rsid w:val="001C5644"/>
    <w:rsid w:val="001C56DC"/>
    <w:rsid w:val="001C56FE"/>
    <w:rsid w:val="001C58C2"/>
    <w:rsid w:val="001C5CCD"/>
    <w:rsid w:val="001C5FAA"/>
    <w:rsid w:val="001C60A2"/>
    <w:rsid w:val="001C6601"/>
    <w:rsid w:val="001C67A9"/>
    <w:rsid w:val="001C67AF"/>
    <w:rsid w:val="001C6D8F"/>
    <w:rsid w:val="001C71F0"/>
    <w:rsid w:val="001C750B"/>
    <w:rsid w:val="001C754B"/>
    <w:rsid w:val="001C77E1"/>
    <w:rsid w:val="001C795A"/>
    <w:rsid w:val="001C7AEC"/>
    <w:rsid w:val="001C7D7E"/>
    <w:rsid w:val="001C7E02"/>
    <w:rsid w:val="001D0238"/>
    <w:rsid w:val="001D045D"/>
    <w:rsid w:val="001D061D"/>
    <w:rsid w:val="001D0838"/>
    <w:rsid w:val="001D08E9"/>
    <w:rsid w:val="001D08F2"/>
    <w:rsid w:val="001D0AAF"/>
    <w:rsid w:val="001D0ABF"/>
    <w:rsid w:val="001D0B0B"/>
    <w:rsid w:val="001D0B49"/>
    <w:rsid w:val="001D0BBB"/>
    <w:rsid w:val="001D0E93"/>
    <w:rsid w:val="001D0EDE"/>
    <w:rsid w:val="001D1125"/>
    <w:rsid w:val="001D12E2"/>
    <w:rsid w:val="001D14E7"/>
    <w:rsid w:val="001D1613"/>
    <w:rsid w:val="001D16A6"/>
    <w:rsid w:val="001D186A"/>
    <w:rsid w:val="001D195C"/>
    <w:rsid w:val="001D1CAD"/>
    <w:rsid w:val="001D1FB8"/>
    <w:rsid w:val="001D20BB"/>
    <w:rsid w:val="001D2290"/>
    <w:rsid w:val="001D2317"/>
    <w:rsid w:val="001D26E5"/>
    <w:rsid w:val="001D285A"/>
    <w:rsid w:val="001D28D5"/>
    <w:rsid w:val="001D290F"/>
    <w:rsid w:val="001D2B39"/>
    <w:rsid w:val="001D312E"/>
    <w:rsid w:val="001D3204"/>
    <w:rsid w:val="001D320F"/>
    <w:rsid w:val="001D3559"/>
    <w:rsid w:val="001D35B1"/>
    <w:rsid w:val="001D3681"/>
    <w:rsid w:val="001D37B2"/>
    <w:rsid w:val="001D381A"/>
    <w:rsid w:val="001D3DCF"/>
    <w:rsid w:val="001D3F41"/>
    <w:rsid w:val="001D420E"/>
    <w:rsid w:val="001D439D"/>
    <w:rsid w:val="001D45B9"/>
    <w:rsid w:val="001D4754"/>
    <w:rsid w:val="001D4C00"/>
    <w:rsid w:val="001D4C9D"/>
    <w:rsid w:val="001D4D97"/>
    <w:rsid w:val="001D4DB3"/>
    <w:rsid w:val="001D4F7C"/>
    <w:rsid w:val="001D4FD2"/>
    <w:rsid w:val="001D508D"/>
    <w:rsid w:val="001D50ED"/>
    <w:rsid w:val="001D52A8"/>
    <w:rsid w:val="001D5860"/>
    <w:rsid w:val="001D619E"/>
    <w:rsid w:val="001D6374"/>
    <w:rsid w:val="001D6857"/>
    <w:rsid w:val="001D6A08"/>
    <w:rsid w:val="001D6C6D"/>
    <w:rsid w:val="001D6D0C"/>
    <w:rsid w:val="001D6EBA"/>
    <w:rsid w:val="001D6F96"/>
    <w:rsid w:val="001D7232"/>
    <w:rsid w:val="001D753C"/>
    <w:rsid w:val="001D77C1"/>
    <w:rsid w:val="001D786D"/>
    <w:rsid w:val="001D78C5"/>
    <w:rsid w:val="001D799E"/>
    <w:rsid w:val="001D7A1C"/>
    <w:rsid w:val="001D7AA5"/>
    <w:rsid w:val="001D7C3A"/>
    <w:rsid w:val="001E0251"/>
    <w:rsid w:val="001E0272"/>
    <w:rsid w:val="001E02F4"/>
    <w:rsid w:val="001E04A5"/>
    <w:rsid w:val="001E0571"/>
    <w:rsid w:val="001E0671"/>
    <w:rsid w:val="001E06F6"/>
    <w:rsid w:val="001E073A"/>
    <w:rsid w:val="001E0928"/>
    <w:rsid w:val="001E0C3D"/>
    <w:rsid w:val="001E0D87"/>
    <w:rsid w:val="001E10E6"/>
    <w:rsid w:val="001E13ED"/>
    <w:rsid w:val="001E1758"/>
    <w:rsid w:val="001E178C"/>
    <w:rsid w:val="001E195D"/>
    <w:rsid w:val="001E1CD0"/>
    <w:rsid w:val="001E1DF0"/>
    <w:rsid w:val="001E1F0F"/>
    <w:rsid w:val="001E2293"/>
    <w:rsid w:val="001E2729"/>
    <w:rsid w:val="001E2777"/>
    <w:rsid w:val="001E27CA"/>
    <w:rsid w:val="001E27D5"/>
    <w:rsid w:val="001E297C"/>
    <w:rsid w:val="001E2ACF"/>
    <w:rsid w:val="001E2AD1"/>
    <w:rsid w:val="001E2BD7"/>
    <w:rsid w:val="001E2D4F"/>
    <w:rsid w:val="001E2EAF"/>
    <w:rsid w:val="001E2F9B"/>
    <w:rsid w:val="001E331E"/>
    <w:rsid w:val="001E375C"/>
    <w:rsid w:val="001E3839"/>
    <w:rsid w:val="001E3A8B"/>
    <w:rsid w:val="001E3B33"/>
    <w:rsid w:val="001E3C07"/>
    <w:rsid w:val="001E3CA6"/>
    <w:rsid w:val="001E408B"/>
    <w:rsid w:val="001E4287"/>
    <w:rsid w:val="001E476D"/>
    <w:rsid w:val="001E47A8"/>
    <w:rsid w:val="001E481B"/>
    <w:rsid w:val="001E498C"/>
    <w:rsid w:val="001E4A16"/>
    <w:rsid w:val="001E4CEE"/>
    <w:rsid w:val="001E4EE2"/>
    <w:rsid w:val="001E5078"/>
    <w:rsid w:val="001E54ED"/>
    <w:rsid w:val="001E58AA"/>
    <w:rsid w:val="001E5D96"/>
    <w:rsid w:val="001E5E0C"/>
    <w:rsid w:val="001E6744"/>
    <w:rsid w:val="001E679D"/>
    <w:rsid w:val="001E6891"/>
    <w:rsid w:val="001E68C2"/>
    <w:rsid w:val="001E6DA0"/>
    <w:rsid w:val="001E713C"/>
    <w:rsid w:val="001E72D8"/>
    <w:rsid w:val="001E754F"/>
    <w:rsid w:val="001E757C"/>
    <w:rsid w:val="001E762F"/>
    <w:rsid w:val="001E77C6"/>
    <w:rsid w:val="001E7DC0"/>
    <w:rsid w:val="001F0083"/>
    <w:rsid w:val="001F031C"/>
    <w:rsid w:val="001F0413"/>
    <w:rsid w:val="001F05AD"/>
    <w:rsid w:val="001F064F"/>
    <w:rsid w:val="001F07DA"/>
    <w:rsid w:val="001F08E5"/>
    <w:rsid w:val="001F0FC5"/>
    <w:rsid w:val="001F1547"/>
    <w:rsid w:val="001F1835"/>
    <w:rsid w:val="001F1F6E"/>
    <w:rsid w:val="001F1FCC"/>
    <w:rsid w:val="001F2105"/>
    <w:rsid w:val="001F22F8"/>
    <w:rsid w:val="001F2351"/>
    <w:rsid w:val="001F2620"/>
    <w:rsid w:val="001F2674"/>
    <w:rsid w:val="001F285F"/>
    <w:rsid w:val="001F2D83"/>
    <w:rsid w:val="001F2D9B"/>
    <w:rsid w:val="001F34E4"/>
    <w:rsid w:val="001F3556"/>
    <w:rsid w:val="001F38F1"/>
    <w:rsid w:val="001F397D"/>
    <w:rsid w:val="001F3C7A"/>
    <w:rsid w:val="001F3FEB"/>
    <w:rsid w:val="001F40F4"/>
    <w:rsid w:val="001F4558"/>
    <w:rsid w:val="001F483C"/>
    <w:rsid w:val="001F4933"/>
    <w:rsid w:val="001F4FA3"/>
    <w:rsid w:val="001F4FAC"/>
    <w:rsid w:val="001F507C"/>
    <w:rsid w:val="001F5295"/>
    <w:rsid w:val="001F52D6"/>
    <w:rsid w:val="001F5336"/>
    <w:rsid w:val="001F53AF"/>
    <w:rsid w:val="001F55E2"/>
    <w:rsid w:val="001F5630"/>
    <w:rsid w:val="001F56F6"/>
    <w:rsid w:val="001F59ED"/>
    <w:rsid w:val="001F5D33"/>
    <w:rsid w:val="001F614E"/>
    <w:rsid w:val="001F61EF"/>
    <w:rsid w:val="001F6387"/>
    <w:rsid w:val="001F6462"/>
    <w:rsid w:val="001F650E"/>
    <w:rsid w:val="001F67CE"/>
    <w:rsid w:val="001F6F64"/>
    <w:rsid w:val="001F6FEE"/>
    <w:rsid w:val="001F70D3"/>
    <w:rsid w:val="001F73F3"/>
    <w:rsid w:val="001F7708"/>
    <w:rsid w:val="001F7763"/>
    <w:rsid w:val="001F7908"/>
    <w:rsid w:val="001F7D42"/>
    <w:rsid w:val="001F7D7E"/>
    <w:rsid w:val="001F7D9F"/>
    <w:rsid w:val="001F7E59"/>
    <w:rsid w:val="0020079D"/>
    <w:rsid w:val="002007F6"/>
    <w:rsid w:val="002008F7"/>
    <w:rsid w:val="0020092E"/>
    <w:rsid w:val="00200955"/>
    <w:rsid w:val="002009F0"/>
    <w:rsid w:val="00200B95"/>
    <w:rsid w:val="00200D7C"/>
    <w:rsid w:val="002010E8"/>
    <w:rsid w:val="00201161"/>
    <w:rsid w:val="00201356"/>
    <w:rsid w:val="0020154F"/>
    <w:rsid w:val="00201F98"/>
    <w:rsid w:val="0020277D"/>
    <w:rsid w:val="0020293D"/>
    <w:rsid w:val="0020298F"/>
    <w:rsid w:val="002029FC"/>
    <w:rsid w:val="00202A9A"/>
    <w:rsid w:val="00202EB5"/>
    <w:rsid w:val="00203051"/>
    <w:rsid w:val="0020313F"/>
    <w:rsid w:val="0020360A"/>
    <w:rsid w:val="00203744"/>
    <w:rsid w:val="002038DD"/>
    <w:rsid w:val="002039ED"/>
    <w:rsid w:val="00203A31"/>
    <w:rsid w:val="00204289"/>
    <w:rsid w:val="00204382"/>
    <w:rsid w:val="0020441A"/>
    <w:rsid w:val="002045CE"/>
    <w:rsid w:val="00204B45"/>
    <w:rsid w:val="00204CE9"/>
    <w:rsid w:val="00204EFE"/>
    <w:rsid w:val="00204F52"/>
    <w:rsid w:val="00205157"/>
    <w:rsid w:val="002052C5"/>
    <w:rsid w:val="0020557A"/>
    <w:rsid w:val="00205631"/>
    <w:rsid w:val="002057FF"/>
    <w:rsid w:val="00205853"/>
    <w:rsid w:val="00205A0B"/>
    <w:rsid w:val="00205CC5"/>
    <w:rsid w:val="00205D9F"/>
    <w:rsid w:val="00205E2F"/>
    <w:rsid w:val="00205F04"/>
    <w:rsid w:val="00206233"/>
    <w:rsid w:val="002062E8"/>
    <w:rsid w:val="002062F0"/>
    <w:rsid w:val="002064FA"/>
    <w:rsid w:val="00206527"/>
    <w:rsid w:val="00206691"/>
    <w:rsid w:val="0020684D"/>
    <w:rsid w:val="002068F2"/>
    <w:rsid w:val="0020695E"/>
    <w:rsid w:val="00206B57"/>
    <w:rsid w:val="00206BAC"/>
    <w:rsid w:val="00206CAF"/>
    <w:rsid w:val="00206F5A"/>
    <w:rsid w:val="00207016"/>
    <w:rsid w:val="002070D6"/>
    <w:rsid w:val="00207183"/>
    <w:rsid w:val="002073A5"/>
    <w:rsid w:val="0020772A"/>
    <w:rsid w:val="00207B8A"/>
    <w:rsid w:val="00207BB9"/>
    <w:rsid w:val="00207E25"/>
    <w:rsid w:val="00210044"/>
    <w:rsid w:val="00210089"/>
    <w:rsid w:val="00210228"/>
    <w:rsid w:val="002103AC"/>
    <w:rsid w:val="002107A8"/>
    <w:rsid w:val="00210860"/>
    <w:rsid w:val="00210A97"/>
    <w:rsid w:val="00210C05"/>
    <w:rsid w:val="00210E5C"/>
    <w:rsid w:val="00210FB5"/>
    <w:rsid w:val="0021119D"/>
    <w:rsid w:val="002111BB"/>
    <w:rsid w:val="002113AE"/>
    <w:rsid w:val="002113D9"/>
    <w:rsid w:val="002114E0"/>
    <w:rsid w:val="00211509"/>
    <w:rsid w:val="0021168D"/>
    <w:rsid w:val="00211772"/>
    <w:rsid w:val="00211896"/>
    <w:rsid w:val="00211991"/>
    <w:rsid w:val="00211B95"/>
    <w:rsid w:val="00211C83"/>
    <w:rsid w:val="00211CCE"/>
    <w:rsid w:val="00211D79"/>
    <w:rsid w:val="00211E24"/>
    <w:rsid w:val="002121D6"/>
    <w:rsid w:val="00212214"/>
    <w:rsid w:val="002123EF"/>
    <w:rsid w:val="0021262A"/>
    <w:rsid w:val="00212934"/>
    <w:rsid w:val="00212996"/>
    <w:rsid w:val="00212A9E"/>
    <w:rsid w:val="00212C37"/>
    <w:rsid w:val="00212CBD"/>
    <w:rsid w:val="0021336E"/>
    <w:rsid w:val="00213A50"/>
    <w:rsid w:val="00213AC8"/>
    <w:rsid w:val="00213E61"/>
    <w:rsid w:val="00213F6E"/>
    <w:rsid w:val="00213FAB"/>
    <w:rsid w:val="0021471C"/>
    <w:rsid w:val="0021499B"/>
    <w:rsid w:val="00214B5E"/>
    <w:rsid w:val="00214DCF"/>
    <w:rsid w:val="00214E2F"/>
    <w:rsid w:val="00214E4A"/>
    <w:rsid w:val="00214EAF"/>
    <w:rsid w:val="00215189"/>
    <w:rsid w:val="0021527E"/>
    <w:rsid w:val="002153E5"/>
    <w:rsid w:val="00215CBF"/>
    <w:rsid w:val="00215CF2"/>
    <w:rsid w:val="00215D72"/>
    <w:rsid w:val="00215FA4"/>
    <w:rsid w:val="002160A9"/>
    <w:rsid w:val="002161D5"/>
    <w:rsid w:val="002161FC"/>
    <w:rsid w:val="00216285"/>
    <w:rsid w:val="002162B3"/>
    <w:rsid w:val="00216579"/>
    <w:rsid w:val="00216605"/>
    <w:rsid w:val="0021672F"/>
    <w:rsid w:val="00216833"/>
    <w:rsid w:val="00216AC0"/>
    <w:rsid w:val="00216B2D"/>
    <w:rsid w:val="00216D1B"/>
    <w:rsid w:val="00216EB0"/>
    <w:rsid w:val="00217057"/>
    <w:rsid w:val="002171C6"/>
    <w:rsid w:val="00217944"/>
    <w:rsid w:val="00217953"/>
    <w:rsid w:val="00217D06"/>
    <w:rsid w:val="00217D3A"/>
    <w:rsid w:val="00220072"/>
    <w:rsid w:val="002204D2"/>
    <w:rsid w:val="00220776"/>
    <w:rsid w:val="00221056"/>
    <w:rsid w:val="002211EF"/>
    <w:rsid w:val="0022124F"/>
    <w:rsid w:val="00221298"/>
    <w:rsid w:val="00221442"/>
    <w:rsid w:val="002214D5"/>
    <w:rsid w:val="002215D0"/>
    <w:rsid w:val="00221617"/>
    <w:rsid w:val="00221757"/>
    <w:rsid w:val="00221DA2"/>
    <w:rsid w:val="00221DF1"/>
    <w:rsid w:val="00221E15"/>
    <w:rsid w:val="00221E34"/>
    <w:rsid w:val="00221EE2"/>
    <w:rsid w:val="00221F58"/>
    <w:rsid w:val="002225BF"/>
    <w:rsid w:val="002229D5"/>
    <w:rsid w:val="00222DE7"/>
    <w:rsid w:val="00222ED7"/>
    <w:rsid w:val="00223183"/>
    <w:rsid w:val="00223242"/>
    <w:rsid w:val="00223425"/>
    <w:rsid w:val="002235B2"/>
    <w:rsid w:val="00223760"/>
    <w:rsid w:val="0022399F"/>
    <w:rsid w:val="00223A0B"/>
    <w:rsid w:val="00223C5C"/>
    <w:rsid w:val="00223C7D"/>
    <w:rsid w:val="00224007"/>
    <w:rsid w:val="0022423E"/>
    <w:rsid w:val="002244D4"/>
    <w:rsid w:val="0022463F"/>
    <w:rsid w:val="0022481D"/>
    <w:rsid w:val="00224C93"/>
    <w:rsid w:val="00224DEA"/>
    <w:rsid w:val="0022503D"/>
    <w:rsid w:val="002251DE"/>
    <w:rsid w:val="0022568D"/>
    <w:rsid w:val="002256F3"/>
    <w:rsid w:val="0022586C"/>
    <w:rsid w:val="00225970"/>
    <w:rsid w:val="00225BAA"/>
    <w:rsid w:val="002260BB"/>
    <w:rsid w:val="00226139"/>
    <w:rsid w:val="0022616D"/>
    <w:rsid w:val="0022633F"/>
    <w:rsid w:val="002264C3"/>
    <w:rsid w:val="002268DC"/>
    <w:rsid w:val="0022693F"/>
    <w:rsid w:val="00226C35"/>
    <w:rsid w:val="00226CBE"/>
    <w:rsid w:val="00226CBF"/>
    <w:rsid w:val="00226E49"/>
    <w:rsid w:val="002271C7"/>
    <w:rsid w:val="00227430"/>
    <w:rsid w:val="00227498"/>
    <w:rsid w:val="00227580"/>
    <w:rsid w:val="002275F4"/>
    <w:rsid w:val="00227677"/>
    <w:rsid w:val="00227692"/>
    <w:rsid w:val="00227791"/>
    <w:rsid w:val="002278B2"/>
    <w:rsid w:val="002278B8"/>
    <w:rsid w:val="00227D65"/>
    <w:rsid w:val="00227DBB"/>
    <w:rsid w:val="00227F43"/>
    <w:rsid w:val="00230103"/>
    <w:rsid w:val="00230A82"/>
    <w:rsid w:val="00230B46"/>
    <w:rsid w:val="00230D87"/>
    <w:rsid w:val="00230F97"/>
    <w:rsid w:val="00231422"/>
    <w:rsid w:val="00231675"/>
    <w:rsid w:val="0023173B"/>
    <w:rsid w:val="0023177D"/>
    <w:rsid w:val="00231877"/>
    <w:rsid w:val="00231C8A"/>
    <w:rsid w:val="00232261"/>
    <w:rsid w:val="0023230F"/>
    <w:rsid w:val="00232555"/>
    <w:rsid w:val="00232647"/>
    <w:rsid w:val="0023271D"/>
    <w:rsid w:val="00232AE0"/>
    <w:rsid w:val="00232D5A"/>
    <w:rsid w:val="00232EC8"/>
    <w:rsid w:val="002331AC"/>
    <w:rsid w:val="0023336E"/>
    <w:rsid w:val="002335DC"/>
    <w:rsid w:val="00233625"/>
    <w:rsid w:val="00233639"/>
    <w:rsid w:val="0023363E"/>
    <w:rsid w:val="00233A0C"/>
    <w:rsid w:val="00233C94"/>
    <w:rsid w:val="002344BF"/>
    <w:rsid w:val="002346F8"/>
    <w:rsid w:val="002346FB"/>
    <w:rsid w:val="002347CD"/>
    <w:rsid w:val="00234921"/>
    <w:rsid w:val="002349FE"/>
    <w:rsid w:val="00234A94"/>
    <w:rsid w:val="00234AA5"/>
    <w:rsid w:val="00234B89"/>
    <w:rsid w:val="00234C32"/>
    <w:rsid w:val="00234D97"/>
    <w:rsid w:val="00234E68"/>
    <w:rsid w:val="00235002"/>
    <w:rsid w:val="002352D7"/>
    <w:rsid w:val="00235814"/>
    <w:rsid w:val="00235871"/>
    <w:rsid w:val="00235C35"/>
    <w:rsid w:val="00235E06"/>
    <w:rsid w:val="00235EC0"/>
    <w:rsid w:val="002360D6"/>
    <w:rsid w:val="002361B8"/>
    <w:rsid w:val="00236401"/>
    <w:rsid w:val="0023645D"/>
    <w:rsid w:val="002368ED"/>
    <w:rsid w:val="00236954"/>
    <w:rsid w:val="002369C4"/>
    <w:rsid w:val="00236ACD"/>
    <w:rsid w:val="00236BD2"/>
    <w:rsid w:val="00236E79"/>
    <w:rsid w:val="002375F5"/>
    <w:rsid w:val="002378A3"/>
    <w:rsid w:val="00237A17"/>
    <w:rsid w:val="00237B1A"/>
    <w:rsid w:val="00237EB0"/>
    <w:rsid w:val="00237EEF"/>
    <w:rsid w:val="00237F1E"/>
    <w:rsid w:val="0024038B"/>
    <w:rsid w:val="0024038E"/>
    <w:rsid w:val="00240436"/>
    <w:rsid w:val="0024054F"/>
    <w:rsid w:val="0024058A"/>
    <w:rsid w:val="002407E0"/>
    <w:rsid w:val="00240881"/>
    <w:rsid w:val="00240988"/>
    <w:rsid w:val="00240BB7"/>
    <w:rsid w:val="00240DF0"/>
    <w:rsid w:val="00241282"/>
    <w:rsid w:val="00241357"/>
    <w:rsid w:val="0024139D"/>
    <w:rsid w:val="0024164B"/>
    <w:rsid w:val="0024170D"/>
    <w:rsid w:val="00241931"/>
    <w:rsid w:val="0024196B"/>
    <w:rsid w:val="00241B2B"/>
    <w:rsid w:val="00241C10"/>
    <w:rsid w:val="00241C6D"/>
    <w:rsid w:val="00241D27"/>
    <w:rsid w:val="00241F58"/>
    <w:rsid w:val="00241FF5"/>
    <w:rsid w:val="0024226F"/>
    <w:rsid w:val="00242434"/>
    <w:rsid w:val="00242532"/>
    <w:rsid w:val="00242686"/>
    <w:rsid w:val="00242894"/>
    <w:rsid w:val="00242A20"/>
    <w:rsid w:val="00242C5E"/>
    <w:rsid w:val="00242DF1"/>
    <w:rsid w:val="0024304C"/>
    <w:rsid w:val="002430D0"/>
    <w:rsid w:val="002430F0"/>
    <w:rsid w:val="002432A7"/>
    <w:rsid w:val="002434F5"/>
    <w:rsid w:val="002435B6"/>
    <w:rsid w:val="00243788"/>
    <w:rsid w:val="0024381D"/>
    <w:rsid w:val="0024393A"/>
    <w:rsid w:val="00243B17"/>
    <w:rsid w:val="00243EE0"/>
    <w:rsid w:val="0024401F"/>
    <w:rsid w:val="002441B3"/>
    <w:rsid w:val="0024445F"/>
    <w:rsid w:val="0024454A"/>
    <w:rsid w:val="00244615"/>
    <w:rsid w:val="0024466D"/>
    <w:rsid w:val="00244823"/>
    <w:rsid w:val="002449D6"/>
    <w:rsid w:val="00244B78"/>
    <w:rsid w:val="00244DC2"/>
    <w:rsid w:val="002454D0"/>
    <w:rsid w:val="00245514"/>
    <w:rsid w:val="0024564B"/>
    <w:rsid w:val="00245A96"/>
    <w:rsid w:val="00245FE2"/>
    <w:rsid w:val="00246024"/>
    <w:rsid w:val="00246062"/>
    <w:rsid w:val="0024620A"/>
    <w:rsid w:val="00246245"/>
    <w:rsid w:val="00246320"/>
    <w:rsid w:val="0024637C"/>
    <w:rsid w:val="002463A0"/>
    <w:rsid w:val="002468B1"/>
    <w:rsid w:val="00246C9D"/>
    <w:rsid w:val="00246CF9"/>
    <w:rsid w:val="002475D4"/>
    <w:rsid w:val="00247943"/>
    <w:rsid w:val="00247BF7"/>
    <w:rsid w:val="00247C0A"/>
    <w:rsid w:val="00247C9A"/>
    <w:rsid w:val="00247CFE"/>
    <w:rsid w:val="00247F70"/>
    <w:rsid w:val="00250050"/>
    <w:rsid w:val="002501AC"/>
    <w:rsid w:val="00250A6B"/>
    <w:rsid w:val="00250C21"/>
    <w:rsid w:val="00250D9F"/>
    <w:rsid w:val="00250FDC"/>
    <w:rsid w:val="0025106A"/>
    <w:rsid w:val="002510A7"/>
    <w:rsid w:val="00251515"/>
    <w:rsid w:val="0025164F"/>
    <w:rsid w:val="0025168B"/>
    <w:rsid w:val="002519ED"/>
    <w:rsid w:val="00251BAD"/>
    <w:rsid w:val="00251C10"/>
    <w:rsid w:val="00251F9E"/>
    <w:rsid w:val="00252379"/>
    <w:rsid w:val="00252497"/>
    <w:rsid w:val="00252786"/>
    <w:rsid w:val="00252A6C"/>
    <w:rsid w:val="00252AB2"/>
    <w:rsid w:val="00252B5D"/>
    <w:rsid w:val="00252C50"/>
    <w:rsid w:val="00252E57"/>
    <w:rsid w:val="00252F01"/>
    <w:rsid w:val="00252FDF"/>
    <w:rsid w:val="00253146"/>
    <w:rsid w:val="002532D6"/>
    <w:rsid w:val="00253333"/>
    <w:rsid w:val="002533C7"/>
    <w:rsid w:val="00253408"/>
    <w:rsid w:val="00253541"/>
    <w:rsid w:val="00253790"/>
    <w:rsid w:val="002538BA"/>
    <w:rsid w:val="00253B2F"/>
    <w:rsid w:val="00253BAF"/>
    <w:rsid w:val="00253BF7"/>
    <w:rsid w:val="00253EE8"/>
    <w:rsid w:val="00254025"/>
    <w:rsid w:val="00254074"/>
    <w:rsid w:val="0025410E"/>
    <w:rsid w:val="00254383"/>
    <w:rsid w:val="00254705"/>
    <w:rsid w:val="00254B0E"/>
    <w:rsid w:val="00254B53"/>
    <w:rsid w:val="00254BF0"/>
    <w:rsid w:val="00254FBF"/>
    <w:rsid w:val="00254FCA"/>
    <w:rsid w:val="002550BF"/>
    <w:rsid w:val="002551FE"/>
    <w:rsid w:val="0025525A"/>
    <w:rsid w:val="00255302"/>
    <w:rsid w:val="00255305"/>
    <w:rsid w:val="0025577D"/>
    <w:rsid w:val="002559FB"/>
    <w:rsid w:val="00255A4F"/>
    <w:rsid w:val="00255BDF"/>
    <w:rsid w:val="00255D13"/>
    <w:rsid w:val="0025603D"/>
    <w:rsid w:val="002562FC"/>
    <w:rsid w:val="0025632D"/>
    <w:rsid w:val="00256377"/>
    <w:rsid w:val="002564C9"/>
    <w:rsid w:val="00256507"/>
    <w:rsid w:val="002569C3"/>
    <w:rsid w:val="002569D4"/>
    <w:rsid w:val="00256A1A"/>
    <w:rsid w:val="00256AD7"/>
    <w:rsid w:val="00256E1D"/>
    <w:rsid w:val="00256E49"/>
    <w:rsid w:val="00256FD9"/>
    <w:rsid w:val="00257204"/>
    <w:rsid w:val="002572CD"/>
    <w:rsid w:val="002573E9"/>
    <w:rsid w:val="00257673"/>
    <w:rsid w:val="00257787"/>
    <w:rsid w:val="00257DCC"/>
    <w:rsid w:val="002604AA"/>
    <w:rsid w:val="00260502"/>
    <w:rsid w:val="0026058C"/>
    <w:rsid w:val="0026067E"/>
    <w:rsid w:val="00260A15"/>
    <w:rsid w:val="002610F4"/>
    <w:rsid w:val="00261454"/>
    <w:rsid w:val="002616B9"/>
    <w:rsid w:val="002618FE"/>
    <w:rsid w:val="00261B5F"/>
    <w:rsid w:val="00261C76"/>
    <w:rsid w:val="002623ED"/>
    <w:rsid w:val="002624C5"/>
    <w:rsid w:val="00262659"/>
    <w:rsid w:val="00262695"/>
    <w:rsid w:val="00262709"/>
    <w:rsid w:val="0026274B"/>
    <w:rsid w:val="00262927"/>
    <w:rsid w:val="00262CFE"/>
    <w:rsid w:val="00262D08"/>
    <w:rsid w:val="00262F0B"/>
    <w:rsid w:val="00262F94"/>
    <w:rsid w:val="00263175"/>
    <w:rsid w:val="00263436"/>
    <w:rsid w:val="002635AD"/>
    <w:rsid w:val="00263601"/>
    <w:rsid w:val="0026394B"/>
    <w:rsid w:val="00263975"/>
    <w:rsid w:val="00263A37"/>
    <w:rsid w:val="00263E36"/>
    <w:rsid w:val="00263F32"/>
    <w:rsid w:val="002641DC"/>
    <w:rsid w:val="00264214"/>
    <w:rsid w:val="002643D7"/>
    <w:rsid w:val="0026466B"/>
    <w:rsid w:val="002646B6"/>
    <w:rsid w:val="0026478D"/>
    <w:rsid w:val="002648D8"/>
    <w:rsid w:val="00264A63"/>
    <w:rsid w:val="00264ABC"/>
    <w:rsid w:val="00264B41"/>
    <w:rsid w:val="0026517A"/>
    <w:rsid w:val="00265632"/>
    <w:rsid w:val="00265920"/>
    <w:rsid w:val="00265C7E"/>
    <w:rsid w:val="00265CA0"/>
    <w:rsid w:val="00265DBF"/>
    <w:rsid w:val="00265E32"/>
    <w:rsid w:val="00266073"/>
    <w:rsid w:val="002661B7"/>
    <w:rsid w:val="002663CF"/>
    <w:rsid w:val="002666B3"/>
    <w:rsid w:val="002668A4"/>
    <w:rsid w:val="00266E2E"/>
    <w:rsid w:val="00266E5E"/>
    <w:rsid w:val="00266E85"/>
    <w:rsid w:val="00266EAF"/>
    <w:rsid w:val="00266FC7"/>
    <w:rsid w:val="0026713E"/>
    <w:rsid w:val="00267251"/>
    <w:rsid w:val="002672DE"/>
    <w:rsid w:val="00267347"/>
    <w:rsid w:val="002674E6"/>
    <w:rsid w:val="00267764"/>
    <w:rsid w:val="002678CB"/>
    <w:rsid w:val="002678F9"/>
    <w:rsid w:val="00267933"/>
    <w:rsid w:val="00267C27"/>
    <w:rsid w:val="00267DCB"/>
    <w:rsid w:val="00270187"/>
    <w:rsid w:val="00270460"/>
    <w:rsid w:val="00270791"/>
    <w:rsid w:val="002707E8"/>
    <w:rsid w:val="002709C6"/>
    <w:rsid w:val="00270B2E"/>
    <w:rsid w:val="00270BAA"/>
    <w:rsid w:val="00270E0F"/>
    <w:rsid w:val="00270F41"/>
    <w:rsid w:val="00270F5F"/>
    <w:rsid w:val="00270FD7"/>
    <w:rsid w:val="002711D8"/>
    <w:rsid w:val="00271247"/>
    <w:rsid w:val="002713D4"/>
    <w:rsid w:val="0027183B"/>
    <w:rsid w:val="002719E4"/>
    <w:rsid w:val="00271EE0"/>
    <w:rsid w:val="00272030"/>
    <w:rsid w:val="002722BE"/>
    <w:rsid w:val="0027242F"/>
    <w:rsid w:val="0027261F"/>
    <w:rsid w:val="002726BB"/>
    <w:rsid w:val="00272757"/>
    <w:rsid w:val="00272B69"/>
    <w:rsid w:val="00272EB9"/>
    <w:rsid w:val="00273522"/>
    <w:rsid w:val="0027368F"/>
    <w:rsid w:val="002736D3"/>
    <w:rsid w:val="0027382D"/>
    <w:rsid w:val="002739AB"/>
    <w:rsid w:val="00273B4F"/>
    <w:rsid w:val="00273FC0"/>
    <w:rsid w:val="002740EE"/>
    <w:rsid w:val="002744B0"/>
    <w:rsid w:val="002745B3"/>
    <w:rsid w:val="002746D3"/>
    <w:rsid w:val="0027483C"/>
    <w:rsid w:val="00274ED3"/>
    <w:rsid w:val="00274F53"/>
    <w:rsid w:val="00275159"/>
    <w:rsid w:val="00275354"/>
    <w:rsid w:val="002753A0"/>
    <w:rsid w:val="002759F3"/>
    <w:rsid w:val="00275DA0"/>
    <w:rsid w:val="00275E0A"/>
    <w:rsid w:val="0027631D"/>
    <w:rsid w:val="0027649A"/>
    <w:rsid w:val="00276662"/>
    <w:rsid w:val="00276724"/>
    <w:rsid w:val="0027684D"/>
    <w:rsid w:val="0027686D"/>
    <w:rsid w:val="00276985"/>
    <w:rsid w:val="00276BC0"/>
    <w:rsid w:val="00276C66"/>
    <w:rsid w:val="00276FE4"/>
    <w:rsid w:val="002770DB"/>
    <w:rsid w:val="002770DD"/>
    <w:rsid w:val="002770F0"/>
    <w:rsid w:val="0027716C"/>
    <w:rsid w:val="00277204"/>
    <w:rsid w:val="002773B7"/>
    <w:rsid w:val="002773DE"/>
    <w:rsid w:val="002775B6"/>
    <w:rsid w:val="002775C6"/>
    <w:rsid w:val="00277731"/>
    <w:rsid w:val="0027775B"/>
    <w:rsid w:val="00277848"/>
    <w:rsid w:val="00277892"/>
    <w:rsid w:val="00277ABA"/>
    <w:rsid w:val="00277CC3"/>
    <w:rsid w:val="00277DBB"/>
    <w:rsid w:val="0028007E"/>
    <w:rsid w:val="00280271"/>
    <w:rsid w:val="0028058F"/>
    <w:rsid w:val="002807CA"/>
    <w:rsid w:val="00280960"/>
    <w:rsid w:val="00281283"/>
    <w:rsid w:val="00281430"/>
    <w:rsid w:val="002814AE"/>
    <w:rsid w:val="00281613"/>
    <w:rsid w:val="0028172C"/>
    <w:rsid w:val="00281A3E"/>
    <w:rsid w:val="00281C3E"/>
    <w:rsid w:val="00281D41"/>
    <w:rsid w:val="00281E2C"/>
    <w:rsid w:val="00281F7E"/>
    <w:rsid w:val="0028213B"/>
    <w:rsid w:val="00282183"/>
    <w:rsid w:val="00282215"/>
    <w:rsid w:val="002822E4"/>
    <w:rsid w:val="002824EA"/>
    <w:rsid w:val="002826B4"/>
    <w:rsid w:val="002826DC"/>
    <w:rsid w:val="002829EB"/>
    <w:rsid w:val="00282A3D"/>
    <w:rsid w:val="00282DE2"/>
    <w:rsid w:val="00282F23"/>
    <w:rsid w:val="0028335E"/>
    <w:rsid w:val="0028337F"/>
    <w:rsid w:val="002833DA"/>
    <w:rsid w:val="002834AC"/>
    <w:rsid w:val="002836A7"/>
    <w:rsid w:val="00283A13"/>
    <w:rsid w:val="00283C54"/>
    <w:rsid w:val="00283E8F"/>
    <w:rsid w:val="00283F5B"/>
    <w:rsid w:val="00284412"/>
    <w:rsid w:val="002846F5"/>
    <w:rsid w:val="002848F1"/>
    <w:rsid w:val="00284AB6"/>
    <w:rsid w:val="00284AC7"/>
    <w:rsid w:val="00284EC2"/>
    <w:rsid w:val="00284ECF"/>
    <w:rsid w:val="00284FC9"/>
    <w:rsid w:val="00285429"/>
    <w:rsid w:val="00285595"/>
    <w:rsid w:val="00285711"/>
    <w:rsid w:val="00285953"/>
    <w:rsid w:val="00285E32"/>
    <w:rsid w:val="00285EA4"/>
    <w:rsid w:val="00285EDF"/>
    <w:rsid w:val="0028666E"/>
    <w:rsid w:val="00286AA2"/>
    <w:rsid w:val="00286B34"/>
    <w:rsid w:val="00287086"/>
    <w:rsid w:val="00287633"/>
    <w:rsid w:val="00287B6D"/>
    <w:rsid w:val="00287E62"/>
    <w:rsid w:val="002908F3"/>
    <w:rsid w:val="00290ACD"/>
    <w:rsid w:val="00290C07"/>
    <w:rsid w:val="00290CA2"/>
    <w:rsid w:val="00290D5E"/>
    <w:rsid w:val="00290E84"/>
    <w:rsid w:val="00290F6F"/>
    <w:rsid w:val="002910DA"/>
    <w:rsid w:val="00291835"/>
    <w:rsid w:val="00291D81"/>
    <w:rsid w:val="00291E4C"/>
    <w:rsid w:val="002921A0"/>
    <w:rsid w:val="0029249B"/>
    <w:rsid w:val="002924CF"/>
    <w:rsid w:val="002926F5"/>
    <w:rsid w:val="00292876"/>
    <w:rsid w:val="0029287B"/>
    <w:rsid w:val="00292BC3"/>
    <w:rsid w:val="00292CE5"/>
    <w:rsid w:val="00292CF1"/>
    <w:rsid w:val="0029323B"/>
    <w:rsid w:val="0029325C"/>
    <w:rsid w:val="002934F9"/>
    <w:rsid w:val="0029369F"/>
    <w:rsid w:val="00293811"/>
    <w:rsid w:val="0029389C"/>
    <w:rsid w:val="0029391D"/>
    <w:rsid w:val="00293AB5"/>
    <w:rsid w:val="00293BEA"/>
    <w:rsid w:val="002943F6"/>
    <w:rsid w:val="0029446B"/>
    <w:rsid w:val="00294970"/>
    <w:rsid w:val="00294991"/>
    <w:rsid w:val="00294A64"/>
    <w:rsid w:val="00294AB2"/>
    <w:rsid w:val="00294BC7"/>
    <w:rsid w:val="00294C19"/>
    <w:rsid w:val="00294DAB"/>
    <w:rsid w:val="00294DBB"/>
    <w:rsid w:val="00295008"/>
    <w:rsid w:val="0029559C"/>
    <w:rsid w:val="00295728"/>
    <w:rsid w:val="0029591F"/>
    <w:rsid w:val="00295B6A"/>
    <w:rsid w:val="00295DBC"/>
    <w:rsid w:val="00295DBE"/>
    <w:rsid w:val="0029629A"/>
    <w:rsid w:val="00296336"/>
    <w:rsid w:val="002963C0"/>
    <w:rsid w:val="002967CA"/>
    <w:rsid w:val="002969FB"/>
    <w:rsid w:val="00296A9C"/>
    <w:rsid w:val="00296B74"/>
    <w:rsid w:val="00296E43"/>
    <w:rsid w:val="0029702A"/>
    <w:rsid w:val="00297050"/>
    <w:rsid w:val="002977F3"/>
    <w:rsid w:val="00297A67"/>
    <w:rsid w:val="00297BEF"/>
    <w:rsid w:val="00297C80"/>
    <w:rsid w:val="00297D4E"/>
    <w:rsid w:val="00297FA4"/>
    <w:rsid w:val="002A0170"/>
    <w:rsid w:val="002A02D4"/>
    <w:rsid w:val="002A077D"/>
    <w:rsid w:val="002A0793"/>
    <w:rsid w:val="002A0947"/>
    <w:rsid w:val="002A09D2"/>
    <w:rsid w:val="002A0C58"/>
    <w:rsid w:val="002A0F71"/>
    <w:rsid w:val="002A1082"/>
    <w:rsid w:val="002A1114"/>
    <w:rsid w:val="002A136D"/>
    <w:rsid w:val="002A163B"/>
    <w:rsid w:val="002A17E2"/>
    <w:rsid w:val="002A1A78"/>
    <w:rsid w:val="002A1C66"/>
    <w:rsid w:val="002A1DF0"/>
    <w:rsid w:val="002A2119"/>
    <w:rsid w:val="002A221E"/>
    <w:rsid w:val="002A22F1"/>
    <w:rsid w:val="002A26EB"/>
    <w:rsid w:val="002A2A04"/>
    <w:rsid w:val="002A32F8"/>
    <w:rsid w:val="002A331B"/>
    <w:rsid w:val="002A33AB"/>
    <w:rsid w:val="002A3A09"/>
    <w:rsid w:val="002A3BD2"/>
    <w:rsid w:val="002A3C92"/>
    <w:rsid w:val="002A3C9D"/>
    <w:rsid w:val="002A4196"/>
    <w:rsid w:val="002A41E8"/>
    <w:rsid w:val="002A4353"/>
    <w:rsid w:val="002A468E"/>
    <w:rsid w:val="002A476F"/>
    <w:rsid w:val="002A4889"/>
    <w:rsid w:val="002A4A36"/>
    <w:rsid w:val="002A4D5C"/>
    <w:rsid w:val="002A52E1"/>
    <w:rsid w:val="002A53E6"/>
    <w:rsid w:val="002A5422"/>
    <w:rsid w:val="002A57F6"/>
    <w:rsid w:val="002A5D1C"/>
    <w:rsid w:val="002A5E53"/>
    <w:rsid w:val="002A5E77"/>
    <w:rsid w:val="002A6014"/>
    <w:rsid w:val="002A6017"/>
    <w:rsid w:val="002A6025"/>
    <w:rsid w:val="002A61A7"/>
    <w:rsid w:val="002A6707"/>
    <w:rsid w:val="002A6978"/>
    <w:rsid w:val="002A6B03"/>
    <w:rsid w:val="002A6B22"/>
    <w:rsid w:val="002A71B7"/>
    <w:rsid w:val="002A7598"/>
    <w:rsid w:val="002A761C"/>
    <w:rsid w:val="002A795A"/>
    <w:rsid w:val="002A7AF1"/>
    <w:rsid w:val="002A7B0B"/>
    <w:rsid w:val="002A7C57"/>
    <w:rsid w:val="002A7E03"/>
    <w:rsid w:val="002A7E26"/>
    <w:rsid w:val="002A7EFA"/>
    <w:rsid w:val="002A7F03"/>
    <w:rsid w:val="002A7F55"/>
    <w:rsid w:val="002A7F7C"/>
    <w:rsid w:val="002B02B4"/>
    <w:rsid w:val="002B0700"/>
    <w:rsid w:val="002B098A"/>
    <w:rsid w:val="002B0B61"/>
    <w:rsid w:val="002B0C38"/>
    <w:rsid w:val="002B0D28"/>
    <w:rsid w:val="002B0F2D"/>
    <w:rsid w:val="002B1093"/>
    <w:rsid w:val="002B198F"/>
    <w:rsid w:val="002B19D9"/>
    <w:rsid w:val="002B1ACF"/>
    <w:rsid w:val="002B1D61"/>
    <w:rsid w:val="002B209B"/>
    <w:rsid w:val="002B20C5"/>
    <w:rsid w:val="002B215B"/>
    <w:rsid w:val="002B22BC"/>
    <w:rsid w:val="002B274F"/>
    <w:rsid w:val="002B27BC"/>
    <w:rsid w:val="002B2E19"/>
    <w:rsid w:val="002B2F1B"/>
    <w:rsid w:val="002B2F8F"/>
    <w:rsid w:val="002B3098"/>
    <w:rsid w:val="002B33EA"/>
    <w:rsid w:val="002B3421"/>
    <w:rsid w:val="002B3ADC"/>
    <w:rsid w:val="002B3B3D"/>
    <w:rsid w:val="002B3D01"/>
    <w:rsid w:val="002B3D5A"/>
    <w:rsid w:val="002B3E96"/>
    <w:rsid w:val="002B3FF5"/>
    <w:rsid w:val="002B4010"/>
    <w:rsid w:val="002B4802"/>
    <w:rsid w:val="002B49BB"/>
    <w:rsid w:val="002B49D2"/>
    <w:rsid w:val="002B4A61"/>
    <w:rsid w:val="002B4AC3"/>
    <w:rsid w:val="002B4AD9"/>
    <w:rsid w:val="002B4B5A"/>
    <w:rsid w:val="002B4DA1"/>
    <w:rsid w:val="002B4DF2"/>
    <w:rsid w:val="002B4E6D"/>
    <w:rsid w:val="002B5239"/>
    <w:rsid w:val="002B54C8"/>
    <w:rsid w:val="002B54FA"/>
    <w:rsid w:val="002B5B4D"/>
    <w:rsid w:val="002B5B63"/>
    <w:rsid w:val="002B5E5E"/>
    <w:rsid w:val="002B5EAD"/>
    <w:rsid w:val="002B60D2"/>
    <w:rsid w:val="002B626E"/>
    <w:rsid w:val="002B6303"/>
    <w:rsid w:val="002B637D"/>
    <w:rsid w:val="002B6993"/>
    <w:rsid w:val="002B6C1A"/>
    <w:rsid w:val="002B6CCF"/>
    <w:rsid w:val="002B6D30"/>
    <w:rsid w:val="002B712E"/>
    <w:rsid w:val="002B71BC"/>
    <w:rsid w:val="002B74E3"/>
    <w:rsid w:val="002B78A3"/>
    <w:rsid w:val="002B79AC"/>
    <w:rsid w:val="002B79B0"/>
    <w:rsid w:val="002B7A65"/>
    <w:rsid w:val="002B7BF3"/>
    <w:rsid w:val="002B7C1F"/>
    <w:rsid w:val="002B7DAB"/>
    <w:rsid w:val="002B7FE4"/>
    <w:rsid w:val="002C000A"/>
    <w:rsid w:val="002C000E"/>
    <w:rsid w:val="002C068A"/>
    <w:rsid w:val="002C0752"/>
    <w:rsid w:val="002C0B2A"/>
    <w:rsid w:val="002C0C84"/>
    <w:rsid w:val="002C0E19"/>
    <w:rsid w:val="002C0FA7"/>
    <w:rsid w:val="002C1054"/>
    <w:rsid w:val="002C1220"/>
    <w:rsid w:val="002C1230"/>
    <w:rsid w:val="002C1292"/>
    <w:rsid w:val="002C12C2"/>
    <w:rsid w:val="002C138B"/>
    <w:rsid w:val="002C15B8"/>
    <w:rsid w:val="002C15C3"/>
    <w:rsid w:val="002C16E0"/>
    <w:rsid w:val="002C1902"/>
    <w:rsid w:val="002C1D56"/>
    <w:rsid w:val="002C1DEA"/>
    <w:rsid w:val="002C1FDA"/>
    <w:rsid w:val="002C1FF3"/>
    <w:rsid w:val="002C209D"/>
    <w:rsid w:val="002C2315"/>
    <w:rsid w:val="002C2350"/>
    <w:rsid w:val="002C237F"/>
    <w:rsid w:val="002C27CA"/>
    <w:rsid w:val="002C2938"/>
    <w:rsid w:val="002C2CC2"/>
    <w:rsid w:val="002C2CC6"/>
    <w:rsid w:val="002C2FBF"/>
    <w:rsid w:val="002C3218"/>
    <w:rsid w:val="002C3776"/>
    <w:rsid w:val="002C3975"/>
    <w:rsid w:val="002C39CE"/>
    <w:rsid w:val="002C3A47"/>
    <w:rsid w:val="002C3B61"/>
    <w:rsid w:val="002C3B9E"/>
    <w:rsid w:val="002C3BCF"/>
    <w:rsid w:val="002C3E0F"/>
    <w:rsid w:val="002C4329"/>
    <w:rsid w:val="002C4503"/>
    <w:rsid w:val="002C4806"/>
    <w:rsid w:val="002C4974"/>
    <w:rsid w:val="002C4A9B"/>
    <w:rsid w:val="002C4AF0"/>
    <w:rsid w:val="002C4DBA"/>
    <w:rsid w:val="002C5033"/>
    <w:rsid w:val="002C50C3"/>
    <w:rsid w:val="002C5113"/>
    <w:rsid w:val="002C5235"/>
    <w:rsid w:val="002C529B"/>
    <w:rsid w:val="002C5372"/>
    <w:rsid w:val="002C5416"/>
    <w:rsid w:val="002C5521"/>
    <w:rsid w:val="002C56E3"/>
    <w:rsid w:val="002C586C"/>
    <w:rsid w:val="002C58D6"/>
    <w:rsid w:val="002C5A27"/>
    <w:rsid w:val="002C5EA1"/>
    <w:rsid w:val="002C5F19"/>
    <w:rsid w:val="002C6070"/>
    <w:rsid w:val="002C60EF"/>
    <w:rsid w:val="002C61A7"/>
    <w:rsid w:val="002C629F"/>
    <w:rsid w:val="002C6504"/>
    <w:rsid w:val="002C66D4"/>
    <w:rsid w:val="002C6EAC"/>
    <w:rsid w:val="002C742C"/>
    <w:rsid w:val="002C7461"/>
    <w:rsid w:val="002C79DD"/>
    <w:rsid w:val="002C7A78"/>
    <w:rsid w:val="002C7A7F"/>
    <w:rsid w:val="002C7AB5"/>
    <w:rsid w:val="002C7B83"/>
    <w:rsid w:val="002C7F3A"/>
    <w:rsid w:val="002D0015"/>
    <w:rsid w:val="002D02D4"/>
    <w:rsid w:val="002D03BC"/>
    <w:rsid w:val="002D0819"/>
    <w:rsid w:val="002D0A04"/>
    <w:rsid w:val="002D0DEF"/>
    <w:rsid w:val="002D0E51"/>
    <w:rsid w:val="002D1093"/>
    <w:rsid w:val="002D1353"/>
    <w:rsid w:val="002D1433"/>
    <w:rsid w:val="002D1578"/>
    <w:rsid w:val="002D15B1"/>
    <w:rsid w:val="002D1731"/>
    <w:rsid w:val="002D173E"/>
    <w:rsid w:val="002D1A86"/>
    <w:rsid w:val="002D1C8C"/>
    <w:rsid w:val="002D1FC9"/>
    <w:rsid w:val="002D2128"/>
    <w:rsid w:val="002D2191"/>
    <w:rsid w:val="002D23C8"/>
    <w:rsid w:val="002D2548"/>
    <w:rsid w:val="002D2647"/>
    <w:rsid w:val="002D2C21"/>
    <w:rsid w:val="002D2D06"/>
    <w:rsid w:val="002D2D4A"/>
    <w:rsid w:val="002D2DB4"/>
    <w:rsid w:val="002D3114"/>
    <w:rsid w:val="002D3171"/>
    <w:rsid w:val="002D31E7"/>
    <w:rsid w:val="002D3274"/>
    <w:rsid w:val="002D3325"/>
    <w:rsid w:val="002D3838"/>
    <w:rsid w:val="002D3CFE"/>
    <w:rsid w:val="002D3EDA"/>
    <w:rsid w:val="002D3EE7"/>
    <w:rsid w:val="002D42E1"/>
    <w:rsid w:val="002D45A1"/>
    <w:rsid w:val="002D46D5"/>
    <w:rsid w:val="002D475A"/>
    <w:rsid w:val="002D47C8"/>
    <w:rsid w:val="002D4859"/>
    <w:rsid w:val="002D4B35"/>
    <w:rsid w:val="002D4C3C"/>
    <w:rsid w:val="002D4C6F"/>
    <w:rsid w:val="002D4EE1"/>
    <w:rsid w:val="002D4EF8"/>
    <w:rsid w:val="002D4F2F"/>
    <w:rsid w:val="002D4FA1"/>
    <w:rsid w:val="002D50D5"/>
    <w:rsid w:val="002D5108"/>
    <w:rsid w:val="002D5494"/>
    <w:rsid w:val="002D57F6"/>
    <w:rsid w:val="002D59B8"/>
    <w:rsid w:val="002D5CC5"/>
    <w:rsid w:val="002D5EB5"/>
    <w:rsid w:val="002D63CD"/>
    <w:rsid w:val="002D641F"/>
    <w:rsid w:val="002D672D"/>
    <w:rsid w:val="002D6764"/>
    <w:rsid w:val="002D69E3"/>
    <w:rsid w:val="002D6CF0"/>
    <w:rsid w:val="002D6E5F"/>
    <w:rsid w:val="002D6FC9"/>
    <w:rsid w:val="002D7308"/>
    <w:rsid w:val="002D7388"/>
    <w:rsid w:val="002D75A3"/>
    <w:rsid w:val="002D764B"/>
    <w:rsid w:val="002D7680"/>
    <w:rsid w:val="002D7D6B"/>
    <w:rsid w:val="002D7D83"/>
    <w:rsid w:val="002E0407"/>
    <w:rsid w:val="002E0639"/>
    <w:rsid w:val="002E085E"/>
    <w:rsid w:val="002E0997"/>
    <w:rsid w:val="002E0A38"/>
    <w:rsid w:val="002E0B10"/>
    <w:rsid w:val="002E0BF7"/>
    <w:rsid w:val="002E0DA9"/>
    <w:rsid w:val="002E0E9F"/>
    <w:rsid w:val="002E1279"/>
    <w:rsid w:val="002E1297"/>
    <w:rsid w:val="002E133F"/>
    <w:rsid w:val="002E139D"/>
    <w:rsid w:val="002E1461"/>
    <w:rsid w:val="002E14BD"/>
    <w:rsid w:val="002E1839"/>
    <w:rsid w:val="002E18E9"/>
    <w:rsid w:val="002E1BD6"/>
    <w:rsid w:val="002E1DE2"/>
    <w:rsid w:val="002E20CE"/>
    <w:rsid w:val="002E278C"/>
    <w:rsid w:val="002E293A"/>
    <w:rsid w:val="002E29AD"/>
    <w:rsid w:val="002E2EA8"/>
    <w:rsid w:val="002E306B"/>
    <w:rsid w:val="002E31BA"/>
    <w:rsid w:val="002E3808"/>
    <w:rsid w:val="002E3923"/>
    <w:rsid w:val="002E3C78"/>
    <w:rsid w:val="002E3CEF"/>
    <w:rsid w:val="002E3FD2"/>
    <w:rsid w:val="002E4044"/>
    <w:rsid w:val="002E477C"/>
    <w:rsid w:val="002E4900"/>
    <w:rsid w:val="002E49F4"/>
    <w:rsid w:val="002E4A38"/>
    <w:rsid w:val="002E4A6E"/>
    <w:rsid w:val="002E5645"/>
    <w:rsid w:val="002E572E"/>
    <w:rsid w:val="002E5A2C"/>
    <w:rsid w:val="002E5A2E"/>
    <w:rsid w:val="002E5AE7"/>
    <w:rsid w:val="002E5DEB"/>
    <w:rsid w:val="002E5EB2"/>
    <w:rsid w:val="002E5EBD"/>
    <w:rsid w:val="002E5FA2"/>
    <w:rsid w:val="002E6224"/>
    <w:rsid w:val="002E69EF"/>
    <w:rsid w:val="002E6BE4"/>
    <w:rsid w:val="002E6CA8"/>
    <w:rsid w:val="002E6F18"/>
    <w:rsid w:val="002E71E0"/>
    <w:rsid w:val="002E7206"/>
    <w:rsid w:val="002E747F"/>
    <w:rsid w:val="002E783C"/>
    <w:rsid w:val="002E7A07"/>
    <w:rsid w:val="002E7B17"/>
    <w:rsid w:val="002E7B52"/>
    <w:rsid w:val="002E7BBC"/>
    <w:rsid w:val="002F01C6"/>
    <w:rsid w:val="002F02AA"/>
    <w:rsid w:val="002F0522"/>
    <w:rsid w:val="002F06CD"/>
    <w:rsid w:val="002F0DF1"/>
    <w:rsid w:val="002F1442"/>
    <w:rsid w:val="002F14C0"/>
    <w:rsid w:val="002F151C"/>
    <w:rsid w:val="002F194F"/>
    <w:rsid w:val="002F1D00"/>
    <w:rsid w:val="002F1D40"/>
    <w:rsid w:val="002F2047"/>
    <w:rsid w:val="002F2083"/>
    <w:rsid w:val="002F2102"/>
    <w:rsid w:val="002F2173"/>
    <w:rsid w:val="002F2485"/>
    <w:rsid w:val="002F2A02"/>
    <w:rsid w:val="002F2A49"/>
    <w:rsid w:val="002F2A8E"/>
    <w:rsid w:val="002F2B20"/>
    <w:rsid w:val="002F2B76"/>
    <w:rsid w:val="002F2EE9"/>
    <w:rsid w:val="002F2F0F"/>
    <w:rsid w:val="002F33A5"/>
    <w:rsid w:val="002F34DC"/>
    <w:rsid w:val="002F38C0"/>
    <w:rsid w:val="002F3B7A"/>
    <w:rsid w:val="002F3D34"/>
    <w:rsid w:val="002F482D"/>
    <w:rsid w:val="002F4BAE"/>
    <w:rsid w:val="002F4F7A"/>
    <w:rsid w:val="002F5094"/>
    <w:rsid w:val="002F50AA"/>
    <w:rsid w:val="002F5261"/>
    <w:rsid w:val="002F540A"/>
    <w:rsid w:val="002F5651"/>
    <w:rsid w:val="002F56EF"/>
    <w:rsid w:val="002F5A51"/>
    <w:rsid w:val="002F5C89"/>
    <w:rsid w:val="002F5E0E"/>
    <w:rsid w:val="002F64C4"/>
    <w:rsid w:val="002F66EB"/>
    <w:rsid w:val="002F6779"/>
    <w:rsid w:val="002F67B1"/>
    <w:rsid w:val="002F6B91"/>
    <w:rsid w:val="002F70AD"/>
    <w:rsid w:val="002F7102"/>
    <w:rsid w:val="002F71F2"/>
    <w:rsid w:val="002F7396"/>
    <w:rsid w:val="002F73FF"/>
    <w:rsid w:val="002F77A2"/>
    <w:rsid w:val="002F7994"/>
    <w:rsid w:val="002F79EE"/>
    <w:rsid w:val="002F7ABE"/>
    <w:rsid w:val="002F7BCB"/>
    <w:rsid w:val="002F7DB0"/>
    <w:rsid w:val="002F7E37"/>
    <w:rsid w:val="002F7F02"/>
    <w:rsid w:val="003002F6"/>
    <w:rsid w:val="00300519"/>
    <w:rsid w:val="003006FF"/>
    <w:rsid w:val="0030095B"/>
    <w:rsid w:val="00300BD3"/>
    <w:rsid w:val="00300C0A"/>
    <w:rsid w:val="00300C1D"/>
    <w:rsid w:val="00300DC5"/>
    <w:rsid w:val="00300ED3"/>
    <w:rsid w:val="00300FA5"/>
    <w:rsid w:val="00301066"/>
    <w:rsid w:val="003011B5"/>
    <w:rsid w:val="003012C7"/>
    <w:rsid w:val="0030139E"/>
    <w:rsid w:val="00301525"/>
    <w:rsid w:val="003016D5"/>
    <w:rsid w:val="00301744"/>
    <w:rsid w:val="00301852"/>
    <w:rsid w:val="00301AC3"/>
    <w:rsid w:val="00301B12"/>
    <w:rsid w:val="00301B27"/>
    <w:rsid w:val="00301C4F"/>
    <w:rsid w:val="0030201D"/>
    <w:rsid w:val="00302280"/>
    <w:rsid w:val="00302444"/>
    <w:rsid w:val="00302738"/>
    <w:rsid w:val="00302B03"/>
    <w:rsid w:val="00302CF9"/>
    <w:rsid w:val="00303060"/>
    <w:rsid w:val="0030308A"/>
    <w:rsid w:val="00303104"/>
    <w:rsid w:val="00303170"/>
    <w:rsid w:val="003031B6"/>
    <w:rsid w:val="00303448"/>
    <w:rsid w:val="0030362C"/>
    <w:rsid w:val="00303691"/>
    <w:rsid w:val="003039B2"/>
    <w:rsid w:val="00303EC4"/>
    <w:rsid w:val="00303EC6"/>
    <w:rsid w:val="00303F3E"/>
    <w:rsid w:val="003042B0"/>
    <w:rsid w:val="0030432B"/>
    <w:rsid w:val="00304375"/>
    <w:rsid w:val="003045D0"/>
    <w:rsid w:val="00304982"/>
    <w:rsid w:val="0030499E"/>
    <w:rsid w:val="00304F13"/>
    <w:rsid w:val="00304FBE"/>
    <w:rsid w:val="00305326"/>
    <w:rsid w:val="003054F4"/>
    <w:rsid w:val="00305659"/>
    <w:rsid w:val="003057FB"/>
    <w:rsid w:val="003058D3"/>
    <w:rsid w:val="00305C71"/>
    <w:rsid w:val="00305DA8"/>
    <w:rsid w:val="00306045"/>
    <w:rsid w:val="0030618E"/>
    <w:rsid w:val="0030620F"/>
    <w:rsid w:val="0030623D"/>
    <w:rsid w:val="003063FE"/>
    <w:rsid w:val="0030663C"/>
    <w:rsid w:val="003068BA"/>
    <w:rsid w:val="00306ADE"/>
    <w:rsid w:val="00306DD4"/>
    <w:rsid w:val="00307068"/>
    <w:rsid w:val="003070C8"/>
    <w:rsid w:val="003070E8"/>
    <w:rsid w:val="00307173"/>
    <w:rsid w:val="00307224"/>
    <w:rsid w:val="00307C1D"/>
    <w:rsid w:val="00307D3C"/>
    <w:rsid w:val="00307D8A"/>
    <w:rsid w:val="00310025"/>
    <w:rsid w:val="0031043A"/>
    <w:rsid w:val="00310675"/>
    <w:rsid w:val="00310816"/>
    <w:rsid w:val="0031084C"/>
    <w:rsid w:val="00311188"/>
    <w:rsid w:val="00311238"/>
    <w:rsid w:val="00311553"/>
    <w:rsid w:val="00311683"/>
    <w:rsid w:val="003117D5"/>
    <w:rsid w:val="0031190B"/>
    <w:rsid w:val="003119A8"/>
    <w:rsid w:val="00311E26"/>
    <w:rsid w:val="00311E59"/>
    <w:rsid w:val="0031218E"/>
    <w:rsid w:val="003123AB"/>
    <w:rsid w:val="003124B9"/>
    <w:rsid w:val="00312619"/>
    <w:rsid w:val="00312627"/>
    <w:rsid w:val="00312654"/>
    <w:rsid w:val="00312881"/>
    <w:rsid w:val="0031290D"/>
    <w:rsid w:val="0031298B"/>
    <w:rsid w:val="00312A9C"/>
    <w:rsid w:val="00312B70"/>
    <w:rsid w:val="00313031"/>
    <w:rsid w:val="00313277"/>
    <w:rsid w:val="00313453"/>
    <w:rsid w:val="0031349C"/>
    <w:rsid w:val="00313564"/>
    <w:rsid w:val="00313711"/>
    <w:rsid w:val="0031395E"/>
    <w:rsid w:val="003139E6"/>
    <w:rsid w:val="00313AD4"/>
    <w:rsid w:val="00313F7A"/>
    <w:rsid w:val="00314398"/>
    <w:rsid w:val="003144C7"/>
    <w:rsid w:val="003147A7"/>
    <w:rsid w:val="003147AE"/>
    <w:rsid w:val="0031492D"/>
    <w:rsid w:val="00314B95"/>
    <w:rsid w:val="00314C30"/>
    <w:rsid w:val="00314D62"/>
    <w:rsid w:val="00314E2C"/>
    <w:rsid w:val="00314EDD"/>
    <w:rsid w:val="003151E1"/>
    <w:rsid w:val="00315483"/>
    <w:rsid w:val="0031552F"/>
    <w:rsid w:val="0031582D"/>
    <w:rsid w:val="0031594B"/>
    <w:rsid w:val="00315A0B"/>
    <w:rsid w:val="00315B58"/>
    <w:rsid w:val="00315BEB"/>
    <w:rsid w:val="00315CD7"/>
    <w:rsid w:val="00315D75"/>
    <w:rsid w:val="00315E1C"/>
    <w:rsid w:val="00315E8F"/>
    <w:rsid w:val="00315FA1"/>
    <w:rsid w:val="00316254"/>
    <w:rsid w:val="0031632F"/>
    <w:rsid w:val="003166C9"/>
    <w:rsid w:val="003166E1"/>
    <w:rsid w:val="00316790"/>
    <w:rsid w:val="003167D0"/>
    <w:rsid w:val="00316945"/>
    <w:rsid w:val="00316CA0"/>
    <w:rsid w:val="00316E0E"/>
    <w:rsid w:val="00316FA9"/>
    <w:rsid w:val="00317155"/>
    <w:rsid w:val="003174A4"/>
    <w:rsid w:val="003175CB"/>
    <w:rsid w:val="003175F8"/>
    <w:rsid w:val="00317875"/>
    <w:rsid w:val="00317B05"/>
    <w:rsid w:val="00317BDE"/>
    <w:rsid w:val="00320067"/>
    <w:rsid w:val="0032053A"/>
    <w:rsid w:val="0032057B"/>
    <w:rsid w:val="0032059C"/>
    <w:rsid w:val="003205DA"/>
    <w:rsid w:val="003207ED"/>
    <w:rsid w:val="003208D2"/>
    <w:rsid w:val="00320EF9"/>
    <w:rsid w:val="00321263"/>
    <w:rsid w:val="0032163D"/>
    <w:rsid w:val="003217AB"/>
    <w:rsid w:val="00321997"/>
    <w:rsid w:val="0032252F"/>
    <w:rsid w:val="0032283C"/>
    <w:rsid w:val="00322924"/>
    <w:rsid w:val="00322FB0"/>
    <w:rsid w:val="0032315A"/>
    <w:rsid w:val="0032332E"/>
    <w:rsid w:val="00323376"/>
    <w:rsid w:val="0032344F"/>
    <w:rsid w:val="00323455"/>
    <w:rsid w:val="003234CA"/>
    <w:rsid w:val="00323568"/>
    <w:rsid w:val="0032358A"/>
    <w:rsid w:val="003240E1"/>
    <w:rsid w:val="00324407"/>
    <w:rsid w:val="00324428"/>
    <w:rsid w:val="00324724"/>
    <w:rsid w:val="00324861"/>
    <w:rsid w:val="00324A18"/>
    <w:rsid w:val="00324B39"/>
    <w:rsid w:val="00324E53"/>
    <w:rsid w:val="00324FFB"/>
    <w:rsid w:val="00325157"/>
    <w:rsid w:val="00325192"/>
    <w:rsid w:val="0032538C"/>
    <w:rsid w:val="003256BB"/>
    <w:rsid w:val="003257AE"/>
    <w:rsid w:val="0032597F"/>
    <w:rsid w:val="00325A93"/>
    <w:rsid w:val="00325B8E"/>
    <w:rsid w:val="00325C85"/>
    <w:rsid w:val="00325DCE"/>
    <w:rsid w:val="00326183"/>
    <w:rsid w:val="0032638C"/>
    <w:rsid w:val="00326494"/>
    <w:rsid w:val="00326600"/>
    <w:rsid w:val="00326643"/>
    <w:rsid w:val="00326678"/>
    <w:rsid w:val="00326712"/>
    <w:rsid w:val="00326D4E"/>
    <w:rsid w:val="00326F29"/>
    <w:rsid w:val="003276D6"/>
    <w:rsid w:val="00327764"/>
    <w:rsid w:val="00327932"/>
    <w:rsid w:val="00327A1A"/>
    <w:rsid w:val="00327D9D"/>
    <w:rsid w:val="00327EC1"/>
    <w:rsid w:val="00327FAD"/>
    <w:rsid w:val="00327FB7"/>
    <w:rsid w:val="003300FF"/>
    <w:rsid w:val="00330594"/>
    <w:rsid w:val="00330732"/>
    <w:rsid w:val="00330840"/>
    <w:rsid w:val="003309FE"/>
    <w:rsid w:val="0033101D"/>
    <w:rsid w:val="00331121"/>
    <w:rsid w:val="003313A7"/>
    <w:rsid w:val="003315BC"/>
    <w:rsid w:val="003318A7"/>
    <w:rsid w:val="00331C43"/>
    <w:rsid w:val="00331E65"/>
    <w:rsid w:val="00331F88"/>
    <w:rsid w:val="0033210D"/>
    <w:rsid w:val="003321D8"/>
    <w:rsid w:val="003323C6"/>
    <w:rsid w:val="00332527"/>
    <w:rsid w:val="00332701"/>
    <w:rsid w:val="00332906"/>
    <w:rsid w:val="00332C0D"/>
    <w:rsid w:val="00332CE0"/>
    <w:rsid w:val="00332CF1"/>
    <w:rsid w:val="00333127"/>
    <w:rsid w:val="003331CB"/>
    <w:rsid w:val="00333307"/>
    <w:rsid w:val="00333332"/>
    <w:rsid w:val="003333FE"/>
    <w:rsid w:val="003337E4"/>
    <w:rsid w:val="003338D0"/>
    <w:rsid w:val="00333C58"/>
    <w:rsid w:val="00333E5C"/>
    <w:rsid w:val="003344B2"/>
    <w:rsid w:val="003345A0"/>
    <w:rsid w:val="00334651"/>
    <w:rsid w:val="00334BC3"/>
    <w:rsid w:val="00334D80"/>
    <w:rsid w:val="00334E9F"/>
    <w:rsid w:val="00334EA5"/>
    <w:rsid w:val="00334F26"/>
    <w:rsid w:val="00335233"/>
    <w:rsid w:val="0033549C"/>
    <w:rsid w:val="00335680"/>
    <w:rsid w:val="00335768"/>
    <w:rsid w:val="00335E30"/>
    <w:rsid w:val="00336234"/>
    <w:rsid w:val="00336295"/>
    <w:rsid w:val="003366A0"/>
    <w:rsid w:val="003366E1"/>
    <w:rsid w:val="00336809"/>
    <w:rsid w:val="0033689C"/>
    <w:rsid w:val="003369FE"/>
    <w:rsid w:val="00336CDD"/>
    <w:rsid w:val="00336D00"/>
    <w:rsid w:val="00336E6D"/>
    <w:rsid w:val="00337111"/>
    <w:rsid w:val="00337489"/>
    <w:rsid w:val="003374FD"/>
    <w:rsid w:val="00337594"/>
    <w:rsid w:val="003378E8"/>
    <w:rsid w:val="00337ABE"/>
    <w:rsid w:val="00337C3C"/>
    <w:rsid w:val="00340057"/>
    <w:rsid w:val="00340205"/>
    <w:rsid w:val="00340507"/>
    <w:rsid w:val="003407F5"/>
    <w:rsid w:val="00340814"/>
    <w:rsid w:val="0034082E"/>
    <w:rsid w:val="00340942"/>
    <w:rsid w:val="00340C56"/>
    <w:rsid w:val="00340C8A"/>
    <w:rsid w:val="00340F9E"/>
    <w:rsid w:val="003416C1"/>
    <w:rsid w:val="003416FA"/>
    <w:rsid w:val="00341B90"/>
    <w:rsid w:val="00341CE9"/>
    <w:rsid w:val="00341D2A"/>
    <w:rsid w:val="00342077"/>
    <w:rsid w:val="003420D3"/>
    <w:rsid w:val="003421DC"/>
    <w:rsid w:val="00342765"/>
    <w:rsid w:val="00342938"/>
    <w:rsid w:val="00342ACD"/>
    <w:rsid w:val="00342B9C"/>
    <w:rsid w:val="00342DCD"/>
    <w:rsid w:val="00343059"/>
    <w:rsid w:val="003430B5"/>
    <w:rsid w:val="00343101"/>
    <w:rsid w:val="003431F2"/>
    <w:rsid w:val="0034321D"/>
    <w:rsid w:val="00343552"/>
    <w:rsid w:val="00343730"/>
    <w:rsid w:val="00343743"/>
    <w:rsid w:val="00343752"/>
    <w:rsid w:val="00343A69"/>
    <w:rsid w:val="00343AAD"/>
    <w:rsid w:val="00343AC1"/>
    <w:rsid w:val="00343C10"/>
    <w:rsid w:val="00343C83"/>
    <w:rsid w:val="00343E5B"/>
    <w:rsid w:val="00343E78"/>
    <w:rsid w:val="00343F15"/>
    <w:rsid w:val="0034414D"/>
    <w:rsid w:val="0034432B"/>
    <w:rsid w:val="00344382"/>
    <w:rsid w:val="003445BA"/>
    <w:rsid w:val="003445C7"/>
    <w:rsid w:val="00344947"/>
    <w:rsid w:val="00344A29"/>
    <w:rsid w:val="00344A51"/>
    <w:rsid w:val="00344B21"/>
    <w:rsid w:val="00344B90"/>
    <w:rsid w:val="00344F81"/>
    <w:rsid w:val="0034547E"/>
    <w:rsid w:val="00345504"/>
    <w:rsid w:val="0034570E"/>
    <w:rsid w:val="0034574A"/>
    <w:rsid w:val="003457D9"/>
    <w:rsid w:val="00345990"/>
    <w:rsid w:val="00345AD3"/>
    <w:rsid w:val="00345B09"/>
    <w:rsid w:val="00345B40"/>
    <w:rsid w:val="00345F54"/>
    <w:rsid w:val="00346027"/>
    <w:rsid w:val="0034645B"/>
    <w:rsid w:val="003464C7"/>
    <w:rsid w:val="003465AF"/>
    <w:rsid w:val="00346795"/>
    <w:rsid w:val="003467B4"/>
    <w:rsid w:val="0034698D"/>
    <w:rsid w:val="00346ACA"/>
    <w:rsid w:val="00346C9B"/>
    <w:rsid w:val="00346CEC"/>
    <w:rsid w:val="00346E5C"/>
    <w:rsid w:val="00347045"/>
    <w:rsid w:val="00347306"/>
    <w:rsid w:val="0034745B"/>
    <w:rsid w:val="003474F5"/>
    <w:rsid w:val="00347544"/>
    <w:rsid w:val="003475E2"/>
    <w:rsid w:val="003475F0"/>
    <w:rsid w:val="003478C0"/>
    <w:rsid w:val="003479AE"/>
    <w:rsid w:val="003501D8"/>
    <w:rsid w:val="003504CE"/>
    <w:rsid w:val="003505E6"/>
    <w:rsid w:val="00350764"/>
    <w:rsid w:val="00350899"/>
    <w:rsid w:val="003509B2"/>
    <w:rsid w:val="00350B31"/>
    <w:rsid w:val="00351128"/>
    <w:rsid w:val="003511A8"/>
    <w:rsid w:val="00351383"/>
    <w:rsid w:val="0035140E"/>
    <w:rsid w:val="003518B9"/>
    <w:rsid w:val="00351B04"/>
    <w:rsid w:val="00351BE5"/>
    <w:rsid w:val="00351C07"/>
    <w:rsid w:val="00351CC4"/>
    <w:rsid w:val="00351CE5"/>
    <w:rsid w:val="00351D60"/>
    <w:rsid w:val="00351FA8"/>
    <w:rsid w:val="0035205D"/>
    <w:rsid w:val="00352071"/>
    <w:rsid w:val="003524A3"/>
    <w:rsid w:val="00352952"/>
    <w:rsid w:val="00352E48"/>
    <w:rsid w:val="00352EEF"/>
    <w:rsid w:val="00352F1E"/>
    <w:rsid w:val="00352F4E"/>
    <w:rsid w:val="00352FE9"/>
    <w:rsid w:val="00353022"/>
    <w:rsid w:val="0035303F"/>
    <w:rsid w:val="0035304E"/>
    <w:rsid w:val="003533A1"/>
    <w:rsid w:val="003539E7"/>
    <w:rsid w:val="003539F6"/>
    <w:rsid w:val="00353C22"/>
    <w:rsid w:val="00353DC7"/>
    <w:rsid w:val="00353EB0"/>
    <w:rsid w:val="00353EBB"/>
    <w:rsid w:val="003540A2"/>
    <w:rsid w:val="003540BD"/>
    <w:rsid w:val="00354345"/>
    <w:rsid w:val="0035438D"/>
    <w:rsid w:val="003543DE"/>
    <w:rsid w:val="00354442"/>
    <w:rsid w:val="00354570"/>
    <w:rsid w:val="00354CFB"/>
    <w:rsid w:val="003551A3"/>
    <w:rsid w:val="00355258"/>
    <w:rsid w:val="00355393"/>
    <w:rsid w:val="00355776"/>
    <w:rsid w:val="00355792"/>
    <w:rsid w:val="0035579C"/>
    <w:rsid w:val="00355924"/>
    <w:rsid w:val="00355AE2"/>
    <w:rsid w:val="00355F1D"/>
    <w:rsid w:val="00355FC3"/>
    <w:rsid w:val="0035606D"/>
    <w:rsid w:val="0035616F"/>
    <w:rsid w:val="003561CF"/>
    <w:rsid w:val="0035650B"/>
    <w:rsid w:val="00356731"/>
    <w:rsid w:val="00356ADE"/>
    <w:rsid w:val="00356E78"/>
    <w:rsid w:val="00357137"/>
    <w:rsid w:val="00357198"/>
    <w:rsid w:val="003573B5"/>
    <w:rsid w:val="003577BA"/>
    <w:rsid w:val="003578AF"/>
    <w:rsid w:val="003579A5"/>
    <w:rsid w:val="00357AC2"/>
    <w:rsid w:val="00357AF8"/>
    <w:rsid w:val="00357B65"/>
    <w:rsid w:val="00360188"/>
    <w:rsid w:val="003602DC"/>
    <w:rsid w:val="003603DF"/>
    <w:rsid w:val="00360706"/>
    <w:rsid w:val="00360780"/>
    <w:rsid w:val="00360861"/>
    <w:rsid w:val="00360979"/>
    <w:rsid w:val="00360A0F"/>
    <w:rsid w:val="00360C02"/>
    <w:rsid w:val="00360DAD"/>
    <w:rsid w:val="003611CC"/>
    <w:rsid w:val="00361392"/>
    <w:rsid w:val="00361B67"/>
    <w:rsid w:val="00362096"/>
    <w:rsid w:val="003622B6"/>
    <w:rsid w:val="00362385"/>
    <w:rsid w:val="00362468"/>
    <w:rsid w:val="00362675"/>
    <w:rsid w:val="0036275D"/>
    <w:rsid w:val="00362976"/>
    <w:rsid w:val="00362C48"/>
    <w:rsid w:val="00362D07"/>
    <w:rsid w:val="00362F73"/>
    <w:rsid w:val="003634A5"/>
    <w:rsid w:val="003635B1"/>
    <w:rsid w:val="0036365F"/>
    <w:rsid w:val="00363D1D"/>
    <w:rsid w:val="00363FEA"/>
    <w:rsid w:val="00364090"/>
    <w:rsid w:val="00364486"/>
    <w:rsid w:val="0036462E"/>
    <w:rsid w:val="003648C4"/>
    <w:rsid w:val="00364DE8"/>
    <w:rsid w:val="00365037"/>
    <w:rsid w:val="0036527D"/>
    <w:rsid w:val="00365688"/>
    <w:rsid w:val="00365850"/>
    <w:rsid w:val="003659A5"/>
    <w:rsid w:val="00365AFA"/>
    <w:rsid w:val="00365D5F"/>
    <w:rsid w:val="0036602F"/>
    <w:rsid w:val="00366145"/>
    <w:rsid w:val="00366201"/>
    <w:rsid w:val="00366233"/>
    <w:rsid w:val="003662EF"/>
    <w:rsid w:val="00366326"/>
    <w:rsid w:val="0036640E"/>
    <w:rsid w:val="00366B8C"/>
    <w:rsid w:val="00366C49"/>
    <w:rsid w:val="00366CCB"/>
    <w:rsid w:val="00366E21"/>
    <w:rsid w:val="00366FEF"/>
    <w:rsid w:val="0036706B"/>
    <w:rsid w:val="0036706C"/>
    <w:rsid w:val="0036738B"/>
    <w:rsid w:val="0036752E"/>
    <w:rsid w:val="00367962"/>
    <w:rsid w:val="00367B35"/>
    <w:rsid w:val="00367DD5"/>
    <w:rsid w:val="00367E04"/>
    <w:rsid w:val="00367E68"/>
    <w:rsid w:val="00367E6F"/>
    <w:rsid w:val="0037007A"/>
    <w:rsid w:val="00370094"/>
    <w:rsid w:val="0037011D"/>
    <w:rsid w:val="0037060B"/>
    <w:rsid w:val="0037069D"/>
    <w:rsid w:val="00370A62"/>
    <w:rsid w:val="00370E63"/>
    <w:rsid w:val="00370EB5"/>
    <w:rsid w:val="00370F56"/>
    <w:rsid w:val="003710EA"/>
    <w:rsid w:val="0037156B"/>
    <w:rsid w:val="00371B03"/>
    <w:rsid w:val="00371CB8"/>
    <w:rsid w:val="0037206D"/>
    <w:rsid w:val="003721B1"/>
    <w:rsid w:val="003723D6"/>
    <w:rsid w:val="003723DC"/>
    <w:rsid w:val="003723F0"/>
    <w:rsid w:val="00372437"/>
    <w:rsid w:val="00372BF6"/>
    <w:rsid w:val="00372D5B"/>
    <w:rsid w:val="00372D9D"/>
    <w:rsid w:val="00372EDA"/>
    <w:rsid w:val="00373010"/>
    <w:rsid w:val="0037310F"/>
    <w:rsid w:val="0037320D"/>
    <w:rsid w:val="00373D69"/>
    <w:rsid w:val="00373E0D"/>
    <w:rsid w:val="00373FE6"/>
    <w:rsid w:val="003744A5"/>
    <w:rsid w:val="0037457B"/>
    <w:rsid w:val="003745D1"/>
    <w:rsid w:val="003751CB"/>
    <w:rsid w:val="003752C4"/>
    <w:rsid w:val="00375313"/>
    <w:rsid w:val="003758E8"/>
    <w:rsid w:val="0037597D"/>
    <w:rsid w:val="00375B65"/>
    <w:rsid w:val="00375E55"/>
    <w:rsid w:val="00375F4A"/>
    <w:rsid w:val="00375FA2"/>
    <w:rsid w:val="003761C9"/>
    <w:rsid w:val="003761D3"/>
    <w:rsid w:val="00376355"/>
    <w:rsid w:val="00376730"/>
    <w:rsid w:val="0037676E"/>
    <w:rsid w:val="003769FF"/>
    <w:rsid w:val="003770D3"/>
    <w:rsid w:val="003775A7"/>
    <w:rsid w:val="003776AA"/>
    <w:rsid w:val="003776CA"/>
    <w:rsid w:val="00377D2F"/>
    <w:rsid w:val="00380135"/>
    <w:rsid w:val="0038019B"/>
    <w:rsid w:val="0038059D"/>
    <w:rsid w:val="00380862"/>
    <w:rsid w:val="00380A46"/>
    <w:rsid w:val="00381084"/>
    <w:rsid w:val="003811F6"/>
    <w:rsid w:val="003812A6"/>
    <w:rsid w:val="00381366"/>
    <w:rsid w:val="00381449"/>
    <w:rsid w:val="003814F9"/>
    <w:rsid w:val="00381592"/>
    <w:rsid w:val="0038159D"/>
    <w:rsid w:val="003817CF"/>
    <w:rsid w:val="003817F5"/>
    <w:rsid w:val="00381E92"/>
    <w:rsid w:val="00381E9F"/>
    <w:rsid w:val="00382045"/>
    <w:rsid w:val="003820A1"/>
    <w:rsid w:val="003820EC"/>
    <w:rsid w:val="003821AC"/>
    <w:rsid w:val="003821BA"/>
    <w:rsid w:val="003822D7"/>
    <w:rsid w:val="003823C3"/>
    <w:rsid w:val="0038259A"/>
    <w:rsid w:val="00382626"/>
    <w:rsid w:val="0038276D"/>
    <w:rsid w:val="00382785"/>
    <w:rsid w:val="0038279F"/>
    <w:rsid w:val="00382B39"/>
    <w:rsid w:val="00382B7E"/>
    <w:rsid w:val="00383343"/>
    <w:rsid w:val="00383398"/>
    <w:rsid w:val="00383424"/>
    <w:rsid w:val="00383811"/>
    <w:rsid w:val="00383B37"/>
    <w:rsid w:val="00383CD0"/>
    <w:rsid w:val="00384480"/>
    <w:rsid w:val="003844D3"/>
    <w:rsid w:val="0038485C"/>
    <w:rsid w:val="003848A8"/>
    <w:rsid w:val="00384998"/>
    <w:rsid w:val="00384C98"/>
    <w:rsid w:val="00384E50"/>
    <w:rsid w:val="00384E8D"/>
    <w:rsid w:val="00385004"/>
    <w:rsid w:val="00385159"/>
    <w:rsid w:val="0038522F"/>
    <w:rsid w:val="003858F4"/>
    <w:rsid w:val="00385982"/>
    <w:rsid w:val="00385AC9"/>
    <w:rsid w:val="00385EAD"/>
    <w:rsid w:val="00386137"/>
    <w:rsid w:val="0038635A"/>
    <w:rsid w:val="00386483"/>
    <w:rsid w:val="00386496"/>
    <w:rsid w:val="00386A07"/>
    <w:rsid w:val="0038705B"/>
    <w:rsid w:val="003871B8"/>
    <w:rsid w:val="0038745B"/>
    <w:rsid w:val="003874DA"/>
    <w:rsid w:val="00387785"/>
    <w:rsid w:val="0038798E"/>
    <w:rsid w:val="00387A05"/>
    <w:rsid w:val="00387AB8"/>
    <w:rsid w:val="00387AFA"/>
    <w:rsid w:val="00387B4E"/>
    <w:rsid w:val="00387C04"/>
    <w:rsid w:val="00387C2C"/>
    <w:rsid w:val="00387DAE"/>
    <w:rsid w:val="00387F6D"/>
    <w:rsid w:val="003901B1"/>
    <w:rsid w:val="003903AC"/>
    <w:rsid w:val="0039062D"/>
    <w:rsid w:val="003909A3"/>
    <w:rsid w:val="00390A1E"/>
    <w:rsid w:val="00390A26"/>
    <w:rsid w:val="00390ACA"/>
    <w:rsid w:val="00390C41"/>
    <w:rsid w:val="0039120A"/>
    <w:rsid w:val="00391218"/>
    <w:rsid w:val="00391413"/>
    <w:rsid w:val="00391509"/>
    <w:rsid w:val="0039170E"/>
    <w:rsid w:val="00391A00"/>
    <w:rsid w:val="00391A7D"/>
    <w:rsid w:val="00391BFC"/>
    <w:rsid w:val="00391D67"/>
    <w:rsid w:val="00391DCC"/>
    <w:rsid w:val="003920E6"/>
    <w:rsid w:val="00392192"/>
    <w:rsid w:val="003925AC"/>
    <w:rsid w:val="003927CC"/>
    <w:rsid w:val="0039299A"/>
    <w:rsid w:val="00392A2D"/>
    <w:rsid w:val="00392A33"/>
    <w:rsid w:val="00392A38"/>
    <w:rsid w:val="00392A39"/>
    <w:rsid w:val="00392C1E"/>
    <w:rsid w:val="00392D7A"/>
    <w:rsid w:val="00393051"/>
    <w:rsid w:val="003935DF"/>
    <w:rsid w:val="003936B8"/>
    <w:rsid w:val="00393B9D"/>
    <w:rsid w:val="00393DF1"/>
    <w:rsid w:val="00393E5B"/>
    <w:rsid w:val="00393FC1"/>
    <w:rsid w:val="00394003"/>
    <w:rsid w:val="003940D5"/>
    <w:rsid w:val="003942FE"/>
    <w:rsid w:val="003945C3"/>
    <w:rsid w:val="00394885"/>
    <w:rsid w:val="003949C7"/>
    <w:rsid w:val="00394B52"/>
    <w:rsid w:val="00394CDB"/>
    <w:rsid w:val="00394F8E"/>
    <w:rsid w:val="003951B4"/>
    <w:rsid w:val="003951EF"/>
    <w:rsid w:val="0039536F"/>
    <w:rsid w:val="00395496"/>
    <w:rsid w:val="003954B3"/>
    <w:rsid w:val="00395525"/>
    <w:rsid w:val="003956D8"/>
    <w:rsid w:val="00395835"/>
    <w:rsid w:val="00395D19"/>
    <w:rsid w:val="003961A4"/>
    <w:rsid w:val="003964BC"/>
    <w:rsid w:val="0039680A"/>
    <w:rsid w:val="003968B4"/>
    <w:rsid w:val="00396E7C"/>
    <w:rsid w:val="00396ED8"/>
    <w:rsid w:val="00397035"/>
    <w:rsid w:val="00397101"/>
    <w:rsid w:val="00397189"/>
    <w:rsid w:val="003971C8"/>
    <w:rsid w:val="003972D5"/>
    <w:rsid w:val="00397A95"/>
    <w:rsid w:val="00397DA4"/>
    <w:rsid w:val="00397E21"/>
    <w:rsid w:val="003A044A"/>
    <w:rsid w:val="003A0725"/>
    <w:rsid w:val="003A0794"/>
    <w:rsid w:val="003A0935"/>
    <w:rsid w:val="003A0958"/>
    <w:rsid w:val="003A0962"/>
    <w:rsid w:val="003A09E3"/>
    <w:rsid w:val="003A0A3F"/>
    <w:rsid w:val="003A0AD5"/>
    <w:rsid w:val="003A122E"/>
    <w:rsid w:val="003A1574"/>
    <w:rsid w:val="003A163C"/>
    <w:rsid w:val="003A17E0"/>
    <w:rsid w:val="003A1D8D"/>
    <w:rsid w:val="003A297A"/>
    <w:rsid w:val="003A2FED"/>
    <w:rsid w:val="003A3051"/>
    <w:rsid w:val="003A3267"/>
    <w:rsid w:val="003A332B"/>
    <w:rsid w:val="003A3589"/>
    <w:rsid w:val="003A3E65"/>
    <w:rsid w:val="003A3ED4"/>
    <w:rsid w:val="003A3FCF"/>
    <w:rsid w:val="003A414C"/>
    <w:rsid w:val="003A44F7"/>
    <w:rsid w:val="003A4632"/>
    <w:rsid w:val="003A496B"/>
    <w:rsid w:val="003A49A4"/>
    <w:rsid w:val="003A4C80"/>
    <w:rsid w:val="003A4D16"/>
    <w:rsid w:val="003A4D2C"/>
    <w:rsid w:val="003A4F11"/>
    <w:rsid w:val="003A4FEB"/>
    <w:rsid w:val="003A50DF"/>
    <w:rsid w:val="003A511B"/>
    <w:rsid w:val="003A5158"/>
    <w:rsid w:val="003A5229"/>
    <w:rsid w:val="003A5802"/>
    <w:rsid w:val="003A5E9C"/>
    <w:rsid w:val="003A5EB5"/>
    <w:rsid w:val="003A5F90"/>
    <w:rsid w:val="003A643B"/>
    <w:rsid w:val="003A68C4"/>
    <w:rsid w:val="003A694E"/>
    <w:rsid w:val="003A6C3B"/>
    <w:rsid w:val="003A70B6"/>
    <w:rsid w:val="003A7D27"/>
    <w:rsid w:val="003B0341"/>
    <w:rsid w:val="003B05E3"/>
    <w:rsid w:val="003B0644"/>
    <w:rsid w:val="003B0828"/>
    <w:rsid w:val="003B08F1"/>
    <w:rsid w:val="003B0A24"/>
    <w:rsid w:val="003B0A85"/>
    <w:rsid w:val="003B0FC5"/>
    <w:rsid w:val="003B0FEC"/>
    <w:rsid w:val="003B14A3"/>
    <w:rsid w:val="003B1527"/>
    <w:rsid w:val="003B18A1"/>
    <w:rsid w:val="003B1C64"/>
    <w:rsid w:val="003B1CAB"/>
    <w:rsid w:val="003B1CF1"/>
    <w:rsid w:val="003B1E47"/>
    <w:rsid w:val="003B219B"/>
    <w:rsid w:val="003B2397"/>
    <w:rsid w:val="003B2441"/>
    <w:rsid w:val="003B2683"/>
    <w:rsid w:val="003B268C"/>
    <w:rsid w:val="003B295C"/>
    <w:rsid w:val="003B2B9D"/>
    <w:rsid w:val="003B2BE9"/>
    <w:rsid w:val="003B2E31"/>
    <w:rsid w:val="003B2F5F"/>
    <w:rsid w:val="003B3092"/>
    <w:rsid w:val="003B31AF"/>
    <w:rsid w:val="003B3258"/>
    <w:rsid w:val="003B325F"/>
    <w:rsid w:val="003B3AAB"/>
    <w:rsid w:val="003B3C78"/>
    <w:rsid w:val="003B3DD8"/>
    <w:rsid w:val="003B41C2"/>
    <w:rsid w:val="003B436C"/>
    <w:rsid w:val="003B43C1"/>
    <w:rsid w:val="003B4765"/>
    <w:rsid w:val="003B4B77"/>
    <w:rsid w:val="003B537B"/>
    <w:rsid w:val="003B5559"/>
    <w:rsid w:val="003B5575"/>
    <w:rsid w:val="003B56A8"/>
    <w:rsid w:val="003B5862"/>
    <w:rsid w:val="003B59E9"/>
    <w:rsid w:val="003B5B56"/>
    <w:rsid w:val="003B5D25"/>
    <w:rsid w:val="003B5E04"/>
    <w:rsid w:val="003B5E34"/>
    <w:rsid w:val="003B5F0B"/>
    <w:rsid w:val="003B600C"/>
    <w:rsid w:val="003B6015"/>
    <w:rsid w:val="003B607D"/>
    <w:rsid w:val="003B61E7"/>
    <w:rsid w:val="003B61F6"/>
    <w:rsid w:val="003B6332"/>
    <w:rsid w:val="003B647A"/>
    <w:rsid w:val="003B6576"/>
    <w:rsid w:val="003B65CB"/>
    <w:rsid w:val="003B6674"/>
    <w:rsid w:val="003B6A6C"/>
    <w:rsid w:val="003B6D29"/>
    <w:rsid w:val="003B729D"/>
    <w:rsid w:val="003B739D"/>
    <w:rsid w:val="003B74C5"/>
    <w:rsid w:val="003C006F"/>
    <w:rsid w:val="003C0115"/>
    <w:rsid w:val="003C01FA"/>
    <w:rsid w:val="003C021B"/>
    <w:rsid w:val="003C0370"/>
    <w:rsid w:val="003C053A"/>
    <w:rsid w:val="003C0774"/>
    <w:rsid w:val="003C0CDD"/>
    <w:rsid w:val="003C0F19"/>
    <w:rsid w:val="003C0F5A"/>
    <w:rsid w:val="003C1098"/>
    <w:rsid w:val="003C112D"/>
    <w:rsid w:val="003C19DE"/>
    <w:rsid w:val="003C1A8A"/>
    <w:rsid w:val="003C1AD9"/>
    <w:rsid w:val="003C1CC5"/>
    <w:rsid w:val="003C1D97"/>
    <w:rsid w:val="003C238A"/>
    <w:rsid w:val="003C23A4"/>
    <w:rsid w:val="003C2420"/>
    <w:rsid w:val="003C24A0"/>
    <w:rsid w:val="003C25BC"/>
    <w:rsid w:val="003C2866"/>
    <w:rsid w:val="003C2B85"/>
    <w:rsid w:val="003C2F00"/>
    <w:rsid w:val="003C3060"/>
    <w:rsid w:val="003C311C"/>
    <w:rsid w:val="003C3179"/>
    <w:rsid w:val="003C31EC"/>
    <w:rsid w:val="003C321F"/>
    <w:rsid w:val="003C36DD"/>
    <w:rsid w:val="003C37C8"/>
    <w:rsid w:val="003C3AF9"/>
    <w:rsid w:val="003C3B33"/>
    <w:rsid w:val="003C3CD6"/>
    <w:rsid w:val="003C3CF9"/>
    <w:rsid w:val="003C3E88"/>
    <w:rsid w:val="003C4021"/>
    <w:rsid w:val="003C40EB"/>
    <w:rsid w:val="003C418E"/>
    <w:rsid w:val="003C4404"/>
    <w:rsid w:val="003C484A"/>
    <w:rsid w:val="003C48F8"/>
    <w:rsid w:val="003C49BB"/>
    <w:rsid w:val="003C4A45"/>
    <w:rsid w:val="003C4A6F"/>
    <w:rsid w:val="003C4B0C"/>
    <w:rsid w:val="003C4E7A"/>
    <w:rsid w:val="003C510A"/>
    <w:rsid w:val="003C5157"/>
    <w:rsid w:val="003C5186"/>
    <w:rsid w:val="003C5EBF"/>
    <w:rsid w:val="003C5FA9"/>
    <w:rsid w:val="003C601F"/>
    <w:rsid w:val="003C6216"/>
    <w:rsid w:val="003C63E2"/>
    <w:rsid w:val="003C661A"/>
    <w:rsid w:val="003C6922"/>
    <w:rsid w:val="003C6A74"/>
    <w:rsid w:val="003C6AE9"/>
    <w:rsid w:val="003C6E0F"/>
    <w:rsid w:val="003C6EE6"/>
    <w:rsid w:val="003C7086"/>
    <w:rsid w:val="003C73F8"/>
    <w:rsid w:val="003C771A"/>
    <w:rsid w:val="003C7984"/>
    <w:rsid w:val="003C7A55"/>
    <w:rsid w:val="003C7B81"/>
    <w:rsid w:val="003C7DD4"/>
    <w:rsid w:val="003C7DE3"/>
    <w:rsid w:val="003C7DFB"/>
    <w:rsid w:val="003C7EF5"/>
    <w:rsid w:val="003C7F63"/>
    <w:rsid w:val="003D0223"/>
    <w:rsid w:val="003D03EA"/>
    <w:rsid w:val="003D07AF"/>
    <w:rsid w:val="003D08FE"/>
    <w:rsid w:val="003D098E"/>
    <w:rsid w:val="003D099C"/>
    <w:rsid w:val="003D0BD6"/>
    <w:rsid w:val="003D0F64"/>
    <w:rsid w:val="003D10BE"/>
    <w:rsid w:val="003D11E7"/>
    <w:rsid w:val="003D1825"/>
    <w:rsid w:val="003D18A4"/>
    <w:rsid w:val="003D2128"/>
    <w:rsid w:val="003D231D"/>
    <w:rsid w:val="003D249D"/>
    <w:rsid w:val="003D27D2"/>
    <w:rsid w:val="003D2A6D"/>
    <w:rsid w:val="003D2AAE"/>
    <w:rsid w:val="003D2B73"/>
    <w:rsid w:val="003D30CD"/>
    <w:rsid w:val="003D33F2"/>
    <w:rsid w:val="003D3A0C"/>
    <w:rsid w:val="003D3C0F"/>
    <w:rsid w:val="003D3E09"/>
    <w:rsid w:val="003D3F7B"/>
    <w:rsid w:val="003D41A7"/>
    <w:rsid w:val="003D4205"/>
    <w:rsid w:val="003D42CE"/>
    <w:rsid w:val="003D46BC"/>
    <w:rsid w:val="003D4921"/>
    <w:rsid w:val="003D49B1"/>
    <w:rsid w:val="003D4B73"/>
    <w:rsid w:val="003D4CBC"/>
    <w:rsid w:val="003D4CF8"/>
    <w:rsid w:val="003D4E06"/>
    <w:rsid w:val="003D4EE6"/>
    <w:rsid w:val="003D4EF7"/>
    <w:rsid w:val="003D514E"/>
    <w:rsid w:val="003D524B"/>
    <w:rsid w:val="003D5340"/>
    <w:rsid w:val="003D545D"/>
    <w:rsid w:val="003D546C"/>
    <w:rsid w:val="003D5554"/>
    <w:rsid w:val="003D5CA2"/>
    <w:rsid w:val="003D5D48"/>
    <w:rsid w:val="003D5D80"/>
    <w:rsid w:val="003D5E9F"/>
    <w:rsid w:val="003D60DD"/>
    <w:rsid w:val="003D61A3"/>
    <w:rsid w:val="003D69CD"/>
    <w:rsid w:val="003D6BDE"/>
    <w:rsid w:val="003D6C44"/>
    <w:rsid w:val="003D6D39"/>
    <w:rsid w:val="003D6F07"/>
    <w:rsid w:val="003D737E"/>
    <w:rsid w:val="003D74EB"/>
    <w:rsid w:val="003D75ED"/>
    <w:rsid w:val="003D76B7"/>
    <w:rsid w:val="003D76EA"/>
    <w:rsid w:val="003D7772"/>
    <w:rsid w:val="003D7781"/>
    <w:rsid w:val="003D77C4"/>
    <w:rsid w:val="003D77ED"/>
    <w:rsid w:val="003D7A35"/>
    <w:rsid w:val="003D7B3E"/>
    <w:rsid w:val="003D7BD2"/>
    <w:rsid w:val="003D7BEA"/>
    <w:rsid w:val="003D7D50"/>
    <w:rsid w:val="003D7D56"/>
    <w:rsid w:val="003D7DB0"/>
    <w:rsid w:val="003D7DDF"/>
    <w:rsid w:val="003E0076"/>
    <w:rsid w:val="003E018F"/>
    <w:rsid w:val="003E0681"/>
    <w:rsid w:val="003E08F9"/>
    <w:rsid w:val="003E0DD2"/>
    <w:rsid w:val="003E0EEB"/>
    <w:rsid w:val="003E11BD"/>
    <w:rsid w:val="003E1333"/>
    <w:rsid w:val="003E1535"/>
    <w:rsid w:val="003E19A9"/>
    <w:rsid w:val="003E20EE"/>
    <w:rsid w:val="003E22C7"/>
    <w:rsid w:val="003E265C"/>
    <w:rsid w:val="003E2919"/>
    <w:rsid w:val="003E2E2D"/>
    <w:rsid w:val="003E2FC7"/>
    <w:rsid w:val="003E2FCC"/>
    <w:rsid w:val="003E304A"/>
    <w:rsid w:val="003E308F"/>
    <w:rsid w:val="003E3416"/>
    <w:rsid w:val="003E3465"/>
    <w:rsid w:val="003E3891"/>
    <w:rsid w:val="003E391C"/>
    <w:rsid w:val="003E393E"/>
    <w:rsid w:val="003E39BD"/>
    <w:rsid w:val="003E3A72"/>
    <w:rsid w:val="003E3D50"/>
    <w:rsid w:val="003E3E36"/>
    <w:rsid w:val="003E42B2"/>
    <w:rsid w:val="003E4376"/>
    <w:rsid w:val="003E4652"/>
    <w:rsid w:val="003E4CCE"/>
    <w:rsid w:val="003E4D4D"/>
    <w:rsid w:val="003E4E39"/>
    <w:rsid w:val="003E4E85"/>
    <w:rsid w:val="003E4F18"/>
    <w:rsid w:val="003E5017"/>
    <w:rsid w:val="003E509A"/>
    <w:rsid w:val="003E50C8"/>
    <w:rsid w:val="003E521B"/>
    <w:rsid w:val="003E5498"/>
    <w:rsid w:val="003E56AB"/>
    <w:rsid w:val="003E5B19"/>
    <w:rsid w:val="003E5F4F"/>
    <w:rsid w:val="003E6126"/>
    <w:rsid w:val="003E61C4"/>
    <w:rsid w:val="003E63AF"/>
    <w:rsid w:val="003E66C7"/>
    <w:rsid w:val="003E6D70"/>
    <w:rsid w:val="003E71CE"/>
    <w:rsid w:val="003E72B4"/>
    <w:rsid w:val="003E72CE"/>
    <w:rsid w:val="003E7336"/>
    <w:rsid w:val="003E74A4"/>
    <w:rsid w:val="003E74D3"/>
    <w:rsid w:val="003E763F"/>
    <w:rsid w:val="003E79CE"/>
    <w:rsid w:val="003E7C63"/>
    <w:rsid w:val="003E7D50"/>
    <w:rsid w:val="003E7D95"/>
    <w:rsid w:val="003E7E50"/>
    <w:rsid w:val="003E7E9E"/>
    <w:rsid w:val="003F0049"/>
    <w:rsid w:val="003F00C4"/>
    <w:rsid w:val="003F00E8"/>
    <w:rsid w:val="003F0220"/>
    <w:rsid w:val="003F0313"/>
    <w:rsid w:val="003F0340"/>
    <w:rsid w:val="003F0499"/>
    <w:rsid w:val="003F0CE8"/>
    <w:rsid w:val="003F0EF4"/>
    <w:rsid w:val="003F0F3B"/>
    <w:rsid w:val="003F0F46"/>
    <w:rsid w:val="003F1180"/>
    <w:rsid w:val="003F1186"/>
    <w:rsid w:val="003F123D"/>
    <w:rsid w:val="003F184E"/>
    <w:rsid w:val="003F22FA"/>
    <w:rsid w:val="003F23A5"/>
    <w:rsid w:val="003F24D9"/>
    <w:rsid w:val="003F27C0"/>
    <w:rsid w:val="003F2886"/>
    <w:rsid w:val="003F2C27"/>
    <w:rsid w:val="003F2EA5"/>
    <w:rsid w:val="003F310C"/>
    <w:rsid w:val="003F34A1"/>
    <w:rsid w:val="003F3607"/>
    <w:rsid w:val="003F3660"/>
    <w:rsid w:val="003F36B1"/>
    <w:rsid w:val="003F3906"/>
    <w:rsid w:val="003F3C78"/>
    <w:rsid w:val="003F3D90"/>
    <w:rsid w:val="003F4106"/>
    <w:rsid w:val="003F458F"/>
    <w:rsid w:val="003F4768"/>
    <w:rsid w:val="003F487A"/>
    <w:rsid w:val="003F488D"/>
    <w:rsid w:val="003F4891"/>
    <w:rsid w:val="003F4984"/>
    <w:rsid w:val="003F4A91"/>
    <w:rsid w:val="003F4B80"/>
    <w:rsid w:val="003F4C07"/>
    <w:rsid w:val="003F4C1C"/>
    <w:rsid w:val="003F4CAF"/>
    <w:rsid w:val="003F4D4A"/>
    <w:rsid w:val="003F4F00"/>
    <w:rsid w:val="003F50AC"/>
    <w:rsid w:val="003F538A"/>
    <w:rsid w:val="003F5782"/>
    <w:rsid w:val="003F5E53"/>
    <w:rsid w:val="003F5EDF"/>
    <w:rsid w:val="003F5EFB"/>
    <w:rsid w:val="003F6312"/>
    <w:rsid w:val="003F638E"/>
    <w:rsid w:val="003F63C4"/>
    <w:rsid w:val="003F6520"/>
    <w:rsid w:val="003F65B1"/>
    <w:rsid w:val="003F66D2"/>
    <w:rsid w:val="003F676B"/>
    <w:rsid w:val="003F696F"/>
    <w:rsid w:val="003F6B86"/>
    <w:rsid w:val="003F6BAA"/>
    <w:rsid w:val="003F70AF"/>
    <w:rsid w:val="003F7114"/>
    <w:rsid w:val="003F718F"/>
    <w:rsid w:val="003F7215"/>
    <w:rsid w:val="003F73DF"/>
    <w:rsid w:val="003F750F"/>
    <w:rsid w:val="003F7601"/>
    <w:rsid w:val="003F7642"/>
    <w:rsid w:val="003F7855"/>
    <w:rsid w:val="003F7859"/>
    <w:rsid w:val="003F79D6"/>
    <w:rsid w:val="003F7A4C"/>
    <w:rsid w:val="003F7AB6"/>
    <w:rsid w:val="003F7B9F"/>
    <w:rsid w:val="003F7BB1"/>
    <w:rsid w:val="003F7CEC"/>
    <w:rsid w:val="003F7DB5"/>
    <w:rsid w:val="00400168"/>
    <w:rsid w:val="0040024A"/>
    <w:rsid w:val="004002A3"/>
    <w:rsid w:val="00400478"/>
    <w:rsid w:val="0040087B"/>
    <w:rsid w:val="00400A77"/>
    <w:rsid w:val="00400AB4"/>
    <w:rsid w:val="00400F4E"/>
    <w:rsid w:val="004011A9"/>
    <w:rsid w:val="0040131D"/>
    <w:rsid w:val="004016C1"/>
    <w:rsid w:val="004018CE"/>
    <w:rsid w:val="00401E95"/>
    <w:rsid w:val="00402978"/>
    <w:rsid w:val="0040297A"/>
    <w:rsid w:val="00402A68"/>
    <w:rsid w:val="00402BCE"/>
    <w:rsid w:val="00402E19"/>
    <w:rsid w:val="00402F04"/>
    <w:rsid w:val="00402F38"/>
    <w:rsid w:val="00403126"/>
    <w:rsid w:val="004031F2"/>
    <w:rsid w:val="00403364"/>
    <w:rsid w:val="00403E8E"/>
    <w:rsid w:val="00403FE2"/>
    <w:rsid w:val="004040D5"/>
    <w:rsid w:val="004043A1"/>
    <w:rsid w:val="004044AD"/>
    <w:rsid w:val="004046A7"/>
    <w:rsid w:val="004046B3"/>
    <w:rsid w:val="00404DB0"/>
    <w:rsid w:val="00404F8B"/>
    <w:rsid w:val="00404FE2"/>
    <w:rsid w:val="0040511F"/>
    <w:rsid w:val="00405186"/>
    <w:rsid w:val="004052AB"/>
    <w:rsid w:val="0040554E"/>
    <w:rsid w:val="00405600"/>
    <w:rsid w:val="00405E58"/>
    <w:rsid w:val="004060A5"/>
    <w:rsid w:val="004060B0"/>
    <w:rsid w:val="004060E5"/>
    <w:rsid w:val="00406107"/>
    <w:rsid w:val="0040617B"/>
    <w:rsid w:val="0040630C"/>
    <w:rsid w:val="004063B7"/>
    <w:rsid w:val="004063EA"/>
    <w:rsid w:val="00406643"/>
    <w:rsid w:val="0040696B"/>
    <w:rsid w:val="004069FA"/>
    <w:rsid w:val="00406A75"/>
    <w:rsid w:val="004070FF"/>
    <w:rsid w:val="004074E4"/>
    <w:rsid w:val="00407571"/>
    <w:rsid w:val="00407660"/>
    <w:rsid w:val="004078A3"/>
    <w:rsid w:val="00407ED6"/>
    <w:rsid w:val="00407EFF"/>
    <w:rsid w:val="00407FB8"/>
    <w:rsid w:val="00407FBF"/>
    <w:rsid w:val="00410388"/>
    <w:rsid w:val="004103F8"/>
    <w:rsid w:val="0041087E"/>
    <w:rsid w:val="00410BD6"/>
    <w:rsid w:val="00410D53"/>
    <w:rsid w:val="00410E55"/>
    <w:rsid w:val="0041107E"/>
    <w:rsid w:val="004117A1"/>
    <w:rsid w:val="004119BA"/>
    <w:rsid w:val="004119FD"/>
    <w:rsid w:val="00411DE6"/>
    <w:rsid w:val="00411E4E"/>
    <w:rsid w:val="00411FA4"/>
    <w:rsid w:val="00412376"/>
    <w:rsid w:val="00412451"/>
    <w:rsid w:val="004124CE"/>
    <w:rsid w:val="00412667"/>
    <w:rsid w:val="00412706"/>
    <w:rsid w:val="004127AC"/>
    <w:rsid w:val="00412891"/>
    <w:rsid w:val="00412D5F"/>
    <w:rsid w:val="00412DE9"/>
    <w:rsid w:val="00413018"/>
    <w:rsid w:val="00413204"/>
    <w:rsid w:val="0041337A"/>
    <w:rsid w:val="004133F0"/>
    <w:rsid w:val="0041342A"/>
    <w:rsid w:val="00413674"/>
    <w:rsid w:val="00413746"/>
    <w:rsid w:val="00413C00"/>
    <w:rsid w:val="00413D81"/>
    <w:rsid w:val="00413DAA"/>
    <w:rsid w:val="00413DF9"/>
    <w:rsid w:val="00413FC8"/>
    <w:rsid w:val="004141CD"/>
    <w:rsid w:val="0041449A"/>
    <w:rsid w:val="004144F7"/>
    <w:rsid w:val="0041451C"/>
    <w:rsid w:val="00414740"/>
    <w:rsid w:val="004149B0"/>
    <w:rsid w:val="00414B8D"/>
    <w:rsid w:val="00414BA4"/>
    <w:rsid w:val="00414BBA"/>
    <w:rsid w:val="0041568E"/>
    <w:rsid w:val="004156DE"/>
    <w:rsid w:val="00415918"/>
    <w:rsid w:val="00415C67"/>
    <w:rsid w:val="00415CB1"/>
    <w:rsid w:val="00415CDA"/>
    <w:rsid w:val="00415E47"/>
    <w:rsid w:val="0041634E"/>
    <w:rsid w:val="004163C1"/>
    <w:rsid w:val="004164E5"/>
    <w:rsid w:val="00416620"/>
    <w:rsid w:val="004168CB"/>
    <w:rsid w:val="00416A35"/>
    <w:rsid w:val="00416EF2"/>
    <w:rsid w:val="00417081"/>
    <w:rsid w:val="0041715E"/>
    <w:rsid w:val="00417298"/>
    <w:rsid w:val="00417628"/>
    <w:rsid w:val="004177FD"/>
    <w:rsid w:val="00417986"/>
    <w:rsid w:val="004179C4"/>
    <w:rsid w:val="00417AD9"/>
    <w:rsid w:val="00417B75"/>
    <w:rsid w:val="00417D64"/>
    <w:rsid w:val="00417FE3"/>
    <w:rsid w:val="0042015D"/>
    <w:rsid w:val="00420504"/>
    <w:rsid w:val="0042054F"/>
    <w:rsid w:val="004207F0"/>
    <w:rsid w:val="00420820"/>
    <w:rsid w:val="0042098F"/>
    <w:rsid w:val="004209AC"/>
    <w:rsid w:val="00420B86"/>
    <w:rsid w:val="00420BDC"/>
    <w:rsid w:val="00420F8B"/>
    <w:rsid w:val="004210AB"/>
    <w:rsid w:val="004211A6"/>
    <w:rsid w:val="004212AD"/>
    <w:rsid w:val="0042130A"/>
    <w:rsid w:val="00421591"/>
    <w:rsid w:val="00421A7E"/>
    <w:rsid w:val="00421C55"/>
    <w:rsid w:val="00421DD0"/>
    <w:rsid w:val="00421E54"/>
    <w:rsid w:val="00421F2D"/>
    <w:rsid w:val="00421F46"/>
    <w:rsid w:val="00422585"/>
    <w:rsid w:val="00422738"/>
    <w:rsid w:val="00422A65"/>
    <w:rsid w:val="00422C1A"/>
    <w:rsid w:val="00422C39"/>
    <w:rsid w:val="00422D08"/>
    <w:rsid w:val="004230EC"/>
    <w:rsid w:val="00423356"/>
    <w:rsid w:val="00423601"/>
    <w:rsid w:val="0042366D"/>
    <w:rsid w:val="00423AB5"/>
    <w:rsid w:val="00423B4C"/>
    <w:rsid w:val="00423DD4"/>
    <w:rsid w:val="00423F2E"/>
    <w:rsid w:val="004240AD"/>
    <w:rsid w:val="004248D9"/>
    <w:rsid w:val="00424938"/>
    <w:rsid w:val="00424AA2"/>
    <w:rsid w:val="00424F8D"/>
    <w:rsid w:val="0042529A"/>
    <w:rsid w:val="0042544B"/>
    <w:rsid w:val="00425533"/>
    <w:rsid w:val="00425582"/>
    <w:rsid w:val="0042559C"/>
    <w:rsid w:val="0042573A"/>
    <w:rsid w:val="00425A1F"/>
    <w:rsid w:val="00425AD2"/>
    <w:rsid w:val="00425D51"/>
    <w:rsid w:val="00425EF3"/>
    <w:rsid w:val="00426499"/>
    <w:rsid w:val="00426992"/>
    <w:rsid w:val="00426B50"/>
    <w:rsid w:val="00426C3C"/>
    <w:rsid w:val="00427243"/>
    <w:rsid w:val="0042733B"/>
    <w:rsid w:val="00427350"/>
    <w:rsid w:val="00427384"/>
    <w:rsid w:val="0042740C"/>
    <w:rsid w:val="0042756A"/>
    <w:rsid w:val="00427A81"/>
    <w:rsid w:val="00427AA0"/>
    <w:rsid w:val="00427CBC"/>
    <w:rsid w:val="00427EF8"/>
    <w:rsid w:val="00427F4E"/>
    <w:rsid w:val="0043028C"/>
    <w:rsid w:val="004302BB"/>
    <w:rsid w:val="004306E9"/>
    <w:rsid w:val="00430AF7"/>
    <w:rsid w:val="00430EA3"/>
    <w:rsid w:val="00430F2D"/>
    <w:rsid w:val="00430FCF"/>
    <w:rsid w:val="00431093"/>
    <w:rsid w:val="0043111F"/>
    <w:rsid w:val="00431211"/>
    <w:rsid w:val="004313A8"/>
    <w:rsid w:val="004313BB"/>
    <w:rsid w:val="0043158F"/>
    <w:rsid w:val="00431989"/>
    <w:rsid w:val="00431D88"/>
    <w:rsid w:val="00431FE9"/>
    <w:rsid w:val="00432066"/>
    <w:rsid w:val="0043209D"/>
    <w:rsid w:val="0043231E"/>
    <w:rsid w:val="004323CF"/>
    <w:rsid w:val="0043243C"/>
    <w:rsid w:val="004326E4"/>
    <w:rsid w:val="00432BD2"/>
    <w:rsid w:val="00432D6F"/>
    <w:rsid w:val="00432DAF"/>
    <w:rsid w:val="00432E4C"/>
    <w:rsid w:val="00432E72"/>
    <w:rsid w:val="00433246"/>
    <w:rsid w:val="004334A7"/>
    <w:rsid w:val="00433524"/>
    <w:rsid w:val="00433740"/>
    <w:rsid w:val="00433A65"/>
    <w:rsid w:val="00433BB1"/>
    <w:rsid w:val="00433CAA"/>
    <w:rsid w:val="004341C5"/>
    <w:rsid w:val="00434364"/>
    <w:rsid w:val="00434408"/>
    <w:rsid w:val="00434BAC"/>
    <w:rsid w:val="00434C40"/>
    <w:rsid w:val="004352D0"/>
    <w:rsid w:val="00435381"/>
    <w:rsid w:val="0043551F"/>
    <w:rsid w:val="0043567C"/>
    <w:rsid w:val="00435A84"/>
    <w:rsid w:val="00435B50"/>
    <w:rsid w:val="00435BCC"/>
    <w:rsid w:val="00435CF0"/>
    <w:rsid w:val="00435D2E"/>
    <w:rsid w:val="00435FDF"/>
    <w:rsid w:val="00436069"/>
    <w:rsid w:val="004361A5"/>
    <w:rsid w:val="004361CC"/>
    <w:rsid w:val="004364C9"/>
    <w:rsid w:val="00436561"/>
    <w:rsid w:val="004366C3"/>
    <w:rsid w:val="00436842"/>
    <w:rsid w:val="00436854"/>
    <w:rsid w:val="00436B27"/>
    <w:rsid w:val="00436BCE"/>
    <w:rsid w:val="00436CC9"/>
    <w:rsid w:val="00436D06"/>
    <w:rsid w:val="0043736B"/>
    <w:rsid w:val="0043737D"/>
    <w:rsid w:val="004375AD"/>
    <w:rsid w:val="0043775D"/>
    <w:rsid w:val="00437784"/>
    <w:rsid w:val="004378D7"/>
    <w:rsid w:val="00440000"/>
    <w:rsid w:val="00440519"/>
    <w:rsid w:val="00440737"/>
    <w:rsid w:val="0044078F"/>
    <w:rsid w:val="004408D6"/>
    <w:rsid w:val="0044096E"/>
    <w:rsid w:val="00440A3B"/>
    <w:rsid w:val="00440B99"/>
    <w:rsid w:val="00440EE7"/>
    <w:rsid w:val="00440F21"/>
    <w:rsid w:val="004411A1"/>
    <w:rsid w:val="00441604"/>
    <w:rsid w:val="0044184D"/>
    <w:rsid w:val="004422ED"/>
    <w:rsid w:val="00442467"/>
    <w:rsid w:val="004427AE"/>
    <w:rsid w:val="0044289B"/>
    <w:rsid w:val="00442942"/>
    <w:rsid w:val="00442A91"/>
    <w:rsid w:val="00442B76"/>
    <w:rsid w:val="00442D6E"/>
    <w:rsid w:val="0044319F"/>
    <w:rsid w:val="004434A1"/>
    <w:rsid w:val="0044351B"/>
    <w:rsid w:val="0044352C"/>
    <w:rsid w:val="0044353B"/>
    <w:rsid w:val="00443738"/>
    <w:rsid w:val="0044390E"/>
    <w:rsid w:val="00443B43"/>
    <w:rsid w:val="00443DC0"/>
    <w:rsid w:val="004441F0"/>
    <w:rsid w:val="00444620"/>
    <w:rsid w:val="00444754"/>
    <w:rsid w:val="00444932"/>
    <w:rsid w:val="0044497D"/>
    <w:rsid w:val="00444A64"/>
    <w:rsid w:val="00444F4E"/>
    <w:rsid w:val="00445123"/>
    <w:rsid w:val="0044517D"/>
    <w:rsid w:val="00445270"/>
    <w:rsid w:val="0044594C"/>
    <w:rsid w:val="00445977"/>
    <w:rsid w:val="00445CFA"/>
    <w:rsid w:val="00445FF2"/>
    <w:rsid w:val="00446097"/>
    <w:rsid w:val="004463B5"/>
    <w:rsid w:val="0044642A"/>
    <w:rsid w:val="00446582"/>
    <w:rsid w:val="00446619"/>
    <w:rsid w:val="004468BA"/>
    <w:rsid w:val="00446985"/>
    <w:rsid w:val="00446C00"/>
    <w:rsid w:val="00446E26"/>
    <w:rsid w:val="004471E1"/>
    <w:rsid w:val="004471F8"/>
    <w:rsid w:val="004479B5"/>
    <w:rsid w:val="004500BB"/>
    <w:rsid w:val="004505F1"/>
    <w:rsid w:val="00450D1A"/>
    <w:rsid w:val="00450EC4"/>
    <w:rsid w:val="0045127C"/>
    <w:rsid w:val="004516A4"/>
    <w:rsid w:val="00451814"/>
    <w:rsid w:val="00451B10"/>
    <w:rsid w:val="00451B5D"/>
    <w:rsid w:val="00451BC2"/>
    <w:rsid w:val="00451BCB"/>
    <w:rsid w:val="00451E0C"/>
    <w:rsid w:val="00452046"/>
    <w:rsid w:val="0045226D"/>
    <w:rsid w:val="004523AE"/>
    <w:rsid w:val="004523DF"/>
    <w:rsid w:val="004524CB"/>
    <w:rsid w:val="00452546"/>
    <w:rsid w:val="00452B44"/>
    <w:rsid w:val="00452B52"/>
    <w:rsid w:val="00452BDA"/>
    <w:rsid w:val="00452E94"/>
    <w:rsid w:val="00452EAA"/>
    <w:rsid w:val="00452ED5"/>
    <w:rsid w:val="00453336"/>
    <w:rsid w:val="004533FE"/>
    <w:rsid w:val="00453594"/>
    <w:rsid w:val="004535E1"/>
    <w:rsid w:val="00453AC0"/>
    <w:rsid w:val="00453B98"/>
    <w:rsid w:val="00453F23"/>
    <w:rsid w:val="00453FC9"/>
    <w:rsid w:val="004540C6"/>
    <w:rsid w:val="0045416F"/>
    <w:rsid w:val="0045423A"/>
    <w:rsid w:val="0045438F"/>
    <w:rsid w:val="00454645"/>
    <w:rsid w:val="004548A7"/>
    <w:rsid w:val="00454B6B"/>
    <w:rsid w:val="00454FE2"/>
    <w:rsid w:val="004550B5"/>
    <w:rsid w:val="004550FC"/>
    <w:rsid w:val="0045562C"/>
    <w:rsid w:val="00455BF6"/>
    <w:rsid w:val="00455C85"/>
    <w:rsid w:val="00455DE9"/>
    <w:rsid w:val="0045615F"/>
    <w:rsid w:val="004563ED"/>
    <w:rsid w:val="00456537"/>
    <w:rsid w:val="00456562"/>
    <w:rsid w:val="00456C5B"/>
    <w:rsid w:val="00456E1B"/>
    <w:rsid w:val="00457042"/>
    <w:rsid w:val="004572E2"/>
    <w:rsid w:val="004573F4"/>
    <w:rsid w:val="00457A76"/>
    <w:rsid w:val="00457B63"/>
    <w:rsid w:val="00457BB3"/>
    <w:rsid w:val="00457DFE"/>
    <w:rsid w:val="00457FCA"/>
    <w:rsid w:val="00460135"/>
    <w:rsid w:val="00460673"/>
    <w:rsid w:val="00460705"/>
    <w:rsid w:val="00460A12"/>
    <w:rsid w:val="00460CD0"/>
    <w:rsid w:val="0046117C"/>
    <w:rsid w:val="0046128D"/>
    <w:rsid w:val="00461446"/>
    <w:rsid w:val="00461542"/>
    <w:rsid w:val="00461A97"/>
    <w:rsid w:val="00461B6A"/>
    <w:rsid w:val="00461D6B"/>
    <w:rsid w:val="00461DFF"/>
    <w:rsid w:val="00461E95"/>
    <w:rsid w:val="00461FC3"/>
    <w:rsid w:val="004621E9"/>
    <w:rsid w:val="0046265E"/>
    <w:rsid w:val="004626DA"/>
    <w:rsid w:val="00462948"/>
    <w:rsid w:val="00462D68"/>
    <w:rsid w:val="00462DAC"/>
    <w:rsid w:val="00462E23"/>
    <w:rsid w:val="00462F24"/>
    <w:rsid w:val="00463034"/>
    <w:rsid w:val="004630E7"/>
    <w:rsid w:val="0046318D"/>
    <w:rsid w:val="0046322E"/>
    <w:rsid w:val="00463545"/>
    <w:rsid w:val="00463590"/>
    <w:rsid w:val="0046377B"/>
    <w:rsid w:val="00463885"/>
    <w:rsid w:val="004638FA"/>
    <w:rsid w:val="00463A68"/>
    <w:rsid w:val="00463EFB"/>
    <w:rsid w:val="00464414"/>
    <w:rsid w:val="00464460"/>
    <w:rsid w:val="004644FD"/>
    <w:rsid w:val="004645F2"/>
    <w:rsid w:val="004646C9"/>
    <w:rsid w:val="0046474A"/>
    <w:rsid w:val="00464E76"/>
    <w:rsid w:val="004652C2"/>
    <w:rsid w:val="00465354"/>
    <w:rsid w:val="004656A5"/>
    <w:rsid w:val="004656C6"/>
    <w:rsid w:val="0046592C"/>
    <w:rsid w:val="00465993"/>
    <w:rsid w:val="00465BC8"/>
    <w:rsid w:val="00465C8C"/>
    <w:rsid w:val="00465C91"/>
    <w:rsid w:val="00465CF0"/>
    <w:rsid w:val="00465F97"/>
    <w:rsid w:val="00466059"/>
    <w:rsid w:val="0046614B"/>
    <w:rsid w:val="00466614"/>
    <w:rsid w:val="004666FF"/>
    <w:rsid w:val="00466796"/>
    <w:rsid w:val="0046697B"/>
    <w:rsid w:val="00466B95"/>
    <w:rsid w:val="00466CD3"/>
    <w:rsid w:val="00466FAC"/>
    <w:rsid w:val="00467330"/>
    <w:rsid w:val="00467333"/>
    <w:rsid w:val="004674D6"/>
    <w:rsid w:val="00467548"/>
    <w:rsid w:val="0046792B"/>
    <w:rsid w:val="004679DB"/>
    <w:rsid w:val="00467AA6"/>
    <w:rsid w:val="004702FE"/>
    <w:rsid w:val="0047053D"/>
    <w:rsid w:val="00470748"/>
    <w:rsid w:val="004708BF"/>
    <w:rsid w:val="00470920"/>
    <w:rsid w:val="00470965"/>
    <w:rsid w:val="00470A13"/>
    <w:rsid w:val="00470D7B"/>
    <w:rsid w:val="00470FC8"/>
    <w:rsid w:val="004710E5"/>
    <w:rsid w:val="00471153"/>
    <w:rsid w:val="00471426"/>
    <w:rsid w:val="0047170C"/>
    <w:rsid w:val="00471791"/>
    <w:rsid w:val="00471A43"/>
    <w:rsid w:val="00471AE7"/>
    <w:rsid w:val="004720E8"/>
    <w:rsid w:val="00472135"/>
    <w:rsid w:val="00472321"/>
    <w:rsid w:val="0047260D"/>
    <w:rsid w:val="004726F8"/>
    <w:rsid w:val="00472A72"/>
    <w:rsid w:val="00472A7F"/>
    <w:rsid w:val="00472BD1"/>
    <w:rsid w:val="00472ECE"/>
    <w:rsid w:val="004733B5"/>
    <w:rsid w:val="0047359E"/>
    <w:rsid w:val="00473777"/>
    <w:rsid w:val="00473BA0"/>
    <w:rsid w:val="00473E04"/>
    <w:rsid w:val="00473E42"/>
    <w:rsid w:val="00473FEA"/>
    <w:rsid w:val="004740EA"/>
    <w:rsid w:val="004743CB"/>
    <w:rsid w:val="00474918"/>
    <w:rsid w:val="00474A55"/>
    <w:rsid w:val="00474A78"/>
    <w:rsid w:val="00474CF3"/>
    <w:rsid w:val="00474D59"/>
    <w:rsid w:val="00474E69"/>
    <w:rsid w:val="00474ECC"/>
    <w:rsid w:val="00474F3F"/>
    <w:rsid w:val="00475080"/>
    <w:rsid w:val="004753D5"/>
    <w:rsid w:val="00475442"/>
    <w:rsid w:val="004754C0"/>
    <w:rsid w:val="004755DE"/>
    <w:rsid w:val="00475677"/>
    <w:rsid w:val="004757A2"/>
    <w:rsid w:val="004757B2"/>
    <w:rsid w:val="004757F9"/>
    <w:rsid w:val="004758D9"/>
    <w:rsid w:val="004759BA"/>
    <w:rsid w:val="00475BDC"/>
    <w:rsid w:val="00475F48"/>
    <w:rsid w:val="004765A2"/>
    <w:rsid w:val="00476776"/>
    <w:rsid w:val="00476A1A"/>
    <w:rsid w:val="00476CB9"/>
    <w:rsid w:val="00476CBB"/>
    <w:rsid w:val="00476CFA"/>
    <w:rsid w:val="00476D9A"/>
    <w:rsid w:val="00476DB9"/>
    <w:rsid w:val="00477047"/>
    <w:rsid w:val="004770C1"/>
    <w:rsid w:val="00477119"/>
    <w:rsid w:val="004773B7"/>
    <w:rsid w:val="0047745B"/>
    <w:rsid w:val="00477588"/>
    <w:rsid w:val="00477AEE"/>
    <w:rsid w:val="00477C07"/>
    <w:rsid w:val="00477C4A"/>
    <w:rsid w:val="00477C75"/>
    <w:rsid w:val="00477ED9"/>
    <w:rsid w:val="004800A8"/>
    <w:rsid w:val="00480112"/>
    <w:rsid w:val="0048029C"/>
    <w:rsid w:val="0048050D"/>
    <w:rsid w:val="00480618"/>
    <w:rsid w:val="0048072A"/>
    <w:rsid w:val="00480847"/>
    <w:rsid w:val="00480907"/>
    <w:rsid w:val="00480A67"/>
    <w:rsid w:val="00480C65"/>
    <w:rsid w:val="00480CFA"/>
    <w:rsid w:val="00480F04"/>
    <w:rsid w:val="00480F5D"/>
    <w:rsid w:val="00480FD5"/>
    <w:rsid w:val="004815C3"/>
    <w:rsid w:val="00481631"/>
    <w:rsid w:val="00481668"/>
    <w:rsid w:val="004817FE"/>
    <w:rsid w:val="004818ED"/>
    <w:rsid w:val="004819CB"/>
    <w:rsid w:val="00481B15"/>
    <w:rsid w:val="00481BB6"/>
    <w:rsid w:val="00481E66"/>
    <w:rsid w:val="004820A9"/>
    <w:rsid w:val="00482575"/>
    <w:rsid w:val="004825C4"/>
    <w:rsid w:val="0048282D"/>
    <w:rsid w:val="0048286F"/>
    <w:rsid w:val="00482901"/>
    <w:rsid w:val="00482CBF"/>
    <w:rsid w:val="00482DAF"/>
    <w:rsid w:val="00482EAF"/>
    <w:rsid w:val="00482F00"/>
    <w:rsid w:val="00483295"/>
    <w:rsid w:val="004832AE"/>
    <w:rsid w:val="004834D6"/>
    <w:rsid w:val="004838AD"/>
    <w:rsid w:val="00483955"/>
    <w:rsid w:val="00483A85"/>
    <w:rsid w:val="00483C34"/>
    <w:rsid w:val="00484095"/>
    <w:rsid w:val="004841DF"/>
    <w:rsid w:val="00484213"/>
    <w:rsid w:val="004844FD"/>
    <w:rsid w:val="00484655"/>
    <w:rsid w:val="004846CB"/>
    <w:rsid w:val="004847B4"/>
    <w:rsid w:val="00484812"/>
    <w:rsid w:val="00484C19"/>
    <w:rsid w:val="00484ED8"/>
    <w:rsid w:val="004852F0"/>
    <w:rsid w:val="0048531F"/>
    <w:rsid w:val="00485683"/>
    <w:rsid w:val="00485772"/>
    <w:rsid w:val="00485989"/>
    <w:rsid w:val="004859C6"/>
    <w:rsid w:val="00485AC3"/>
    <w:rsid w:val="00485D24"/>
    <w:rsid w:val="00485EE7"/>
    <w:rsid w:val="0048609F"/>
    <w:rsid w:val="00486236"/>
    <w:rsid w:val="00486261"/>
    <w:rsid w:val="00486312"/>
    <w:rsid w:val="00486548"/>
    <w:rsid w:val="004866AB"/>
    <w:rsid w:val="004866D4"/>
    <w:rsid w:val="00486D3A"/>
    <w:rsid w:val="00487155"/>
    <w:rsid w:val="0048718B"/>
    <w:rsid w:val="0048736C"/>
    <w:rsid w:val="0048765A"/>
    <w:rsid w:val="004877A5"/>
    <w:rsid w:val="004877AE"/>
    <w:rsid w:val="00487844"/>
    <w:rsid w:val="00487A2A"/>
    <w:rsid w:val="004900DD"/>
    <w:rsid w:val="0049031D"/>
    <w:rsid w:val="004903AA"/>
    <w:rsid w:val="004903EF"/>
    <w:rsid w:val="00490B44"/>
    <w:rsid w:val="00490B7F"/>
    <w:rsid w:val="00490D1F"/>
    <w:rsid w:val="00490DCF"/>
    <w:rsid w:val="0049138B"/>
    <w:rsid w:val="0049155D"/>
    <w:rsid w:val="004916E6"/>
    <w:rsid w:val="00491834"/>
    <w:rsid w:val="004918EA"/>
    <w:rsid w:val="00491AE0"/>
    <w:rsid w:val="00491CC6"/>
    <w:rsid w:val="00491D07"/>
    <w:rsid w:val="00491D21"/>
    <w:rsid w:val="0049200B"/>
    <w:rsid w:val="00492342"/>
    <w:rsid w:val="0049256B"/>
    <w:rsid w:val="004925B0"/>
    <w:rsid w:val="00492639"/>
    <w:rsid w:val="004929C2"/>
    <w:rsid w:val="00492AEB"/>
    <w:rsid w:val="00492F13"/>
    <w:rsid w:val="00493207"/>
    <w:rsid w:val="00493242"/>
    <w:rsid w:val="0049335A"/>
    <w:rsid w:val="0049338B"/>
    <w:rsid w:val="004937CC"/>
    <w:rsid w:val="004938F5"/>
    <w:rsid w:val="0049390F"/>
    <w:rsid w:val="00493BF0"/>
    <w:rsid w:val="00493E15"/>
    <w:rsid w:val="00494029"/>
    <w:rsid w:val="00494271"/>
    <w:rsid w:val="00494AA4"/>
    <w:rsid w:val="00494AF5"/>
    <w:rsid w:val="00494AFB"/>
    <w:rsid w:val="00494BA6"/>
    <w:rsid w:val="00494D15"/>
    <w:rsid w:val="00495107"/>
    <w:rsid w:val="0049547E"/>
    <w:rsid w:val="0049588E"/>
    <w:rsid w:val="004960AD"/>
    <w:rsid w:val="004962D2"/>
    <w:rsid w:val="004964A8"/>
    <w:rsid w:val="00496550"/>
    <w:rsid w:val="00496B39"/>
    <w:rsid w:val="00496C06"/>
    <w:rsid w:val="00496FF3"/>
    <w:rsid w:val="004971E1"/>
    <w:rsid w:val="0049736E"/>
    <w:rsid w:val="00497541"/>
    <w:rsid w:val="00497729"/>
    <w:rsid w:val="0049790B"/>
    <w:rsid w:val="00497B26"/>
    <w:rsid w:val="00497C21"/>
    <w:rsid w:val="00497C87"/>
    <w:rsid w:val="00497DCF"/>
    <w:rsid w:val="00497EDF"/>
    <w:rsid w:val="004A0048"/>
    <w:rsid w:val="004A0130"/>
    <w:rsid w:val="004A058C"/>
    <w:rsid w:val="004A0926"/>
    <w:rsid w:val="004A0BB8"/>
    <w:rsid w:val="004A0EA4"/>
    <w:rsid w:val="004A0EB1"/>
    <w:rsid w:val="004A0EDF"/>
    <w:rsid w:val="004A0F51"/>
    <w:rsid w:val="004A11C5"/>
    <w:rsid w:val="004A152F"/>
    <w:rsid w:val="004A1896"/>
    <w:rsid w:val="004A18B5"/>
    <w:rsid w:val="004A1D57"/>
    <w:rsid w:val="004A1FBB"/>
    <w:rsid w:val="004A214F"/>
    <w:rsid w:val="004A239C"/>
    <w:rsid w:val="004A2476"/>
    <w:rsid w:val="004A25DA"/>
    <w:rsid w:val="004A2700"/>
    <w:rsid w:val="004A2B23"/>
    <w:rsid w:val="004A2CA9"/>
    <w:rsid w:val="004A306D"/>
    <w:rsid w:val="004A3094"/>
    <w:rsid w:val="004A316F"/>
    <w:rsid w:val="004A31DB"/>
    <w:rsid w:val="004A32B2"/>
    <w:rsid w:val="004A330E"/>
    <w:rsid w:val="004A3329"/>
    <w:rsid w:val="004A349A"/>
    <w:rsid w:val="004A34BD"/>
    <w:rsid w:val="004A384D"/>
    <w:rsid w:val="004A38CF"/>
    <w:rsid w:val="004A38F6"/>
    <w:rsid w:val="004A3ACB"/>
    <w:rsid w:val="004A3B80"/>
    <w:rsid w:val="004A3CFB"/>
    <w:rsid w:val="004A3EBC"/>
    <w:rsid w:val="004A4317"/>
    <w:rsid w:val="004A453C"/>
    <w:rsid w:val="004A4570"/>
    <w:rsid w:val="004A462D"/>
    <w:rsid w:val="004A495D"/>
    <w:rsid w:val="004A4AB0"/>
    <w:rsid w:val="004A52EB"/>
    <w:rsid w:val="004A5742"/>
    <w:rsid w:val="004A577E"/>
    <w:rsid w:val="004A5F6B"/>
    <w:rsid w:val="004A6360"/>
    <w:rsid w:val="004A6827"/>
    <w:rsid w:val="004A6BD0"/>
    <w:rsid w:val="004A6D64"/>
    <w:rsid w:val="004A6EAF"/>
    <w:rsid w:val="004A72EA"/>
    <w:rsid w:val="004A758C"/>
    <w:rsid w:val="004A75E5"/>
    <w:rsid w:val="004A7617"/>
    <w:rsid w:val="004A7896"/>
    <w:rsid w:val="004A79C2"/>
    <w:rsid w:val="004A7D92"/>
    <w:rsid w:val="004A7DAB"/>
    <w:rsid w:val="004A7E80"/>
    <w:rsid w:val="004A7EB0"/>
    <w:rsid w:val="004A7EC8"/>
    <w:rsid w:val="004B0047"/>
    <w:rsid w:val="004B0139"/>
    <w:rsid w:val="004B0140"/>
    <w:rsid w:val="004B02C9"/>
    <w:rsid w:val="004B0312"/>
    <w:rsid w:val="004B0336"/>
    <w:rsid w:val="004B05BF"/>
    <w:rsid w:val="004B10A2"/>
    <w:rsid w:val="004B11CA"/>
    <w:rsid w:val="004B1456"/>
    <w:rsid w:val="004B15F8"/>
    <w:rsid w:val="004B176C"/>
    <w:rsid w:val="004B1B22"/>
    <w:rsid w:val="004B2051"/>
    <w:rsid w:val="004B23BC"/>
    <w:rsid w:val="004B2422"/>
    <w:rsid w:val="004B2515"/>
    <w:rsid w:val="004B2675"/>
    <w:rsid w:val="004B26B3"/>
    <w:rsid w:val="004B281A"/>
    <w:rsid w:val="004B2827"/>
    <w:rsid w:val="004B288B"/>
    <w:rsid w:val="004B2984"/>
    <w:rsid w:val="004B2B28"/>
    <w:rsid w:val="004B2BF3"/>
    <w:rsid w:val="004B2D30"/>
    <w:rsid w:val="004B2EF5"/>
    <w:rsid w:val="004B2F4B"/>
    <w:rsid w:val="004B306B"/>
    <w:rsid w:val="004B341A"/>
    <w:rsid w:val="004B3509"/>
    <w:rsid w:val="004B3678"/>
    <w:rsid w:val="004B390C"/>
    <w:rsid w:val="004B3C18"/>
    <w:rsid w:val="004B3F5F"/>
    <w:rsid w:val="004B4555"/>
    <w:rsid w:val="004B4694"/>
    <w:rsid w:val="004B4755"/>
    <w:rsid w:val="004B4760"/>
    <w:rsid w:val="004B4BC7"/>
    <w:rsid w:val="004B4E5C"/>
    <w:rsid w:val="004B52BD"/>
    <w:rsid w:val="004B52E8"/>
    <w:rsid w:val="004B5316"/>
    <w:rsid w:val="004B57FF"/>
    <w:rsid w:val="004B5C67"/>
    <w:rsid w:val="004B5FA3"/>
    <w:rsid w:val="004B6043"/>
    <w:rsid w:val="004B60D0"/>
    <w:rsid w:val="004B6124"/>
    <w:rsid w:val="004B615D"/>
    <w:rsid w:val="004B6297"/>
    <w:rsid w:val="004B6339"/>
    <w:rsid w:val="004B6353"/>
    <w:rsid w:val="004B63CE"/>
    <w:rsid w:val="004B6543"/>
    <w:rsid w:val="004B659B"/>
    <w:rsid w:val="004B67DA"/>
    <w:rsid w:val="004B67F9"/>
    <w:rsid w:val="004B6B3C"/>
    <w:rsid w:val="004B6B68"/>
    <w:rsid w:val="004B6D30"/>
    <w:rsid w:val="004B7117"/>
    <w:rsid w:val="004B7129"/>
    <w:rsid w:val="004B712A"/>
    <w:rsid w:val="004B7185"/>
    <w:rsid w:val="004B742A"/>
    <w:rsid w:val="004B751F"/>
    <w:rsid w:val="004B7527"/>
    <w:rsid w:val="004B7586"/>
    <w:rsid w:val="004B7731"/>
    <w:rsid w:val="004B7753"/>
    <w:rsid w:val="004B78D2"/>
    <w:rsid w:val="004B7DCD"/>
    <w:rsid w:val="004B7DF4"/>
    <w:rsid w:val="004B7E0C"/>
    <w:rsid w:val="004B7E5E"/>
    <w:rsid w:val="004B7F76"/>
    <w:rsid w:val="004C0976"/>
    <w:rsid w:val="004C0AF3"/>
    <w:rsid w:val="004C0C55"/>
    <w:rsid w:val="004C0FDC"/>
    <w:rsid w:val="004C105A"/>
    <w:rsid w:val="004C11E6"/>
    <w:rsid w:val="004C12BF"/>
    <w:rsid w:val="004C1687"/>
    <w:rsid w:val="004C1749"/>
    <w:rsid w:val="004C18C6"/>
    <w:rsid w:val="004C19D4"/>
    <w:rsid w:val="004C1A2B"/>
    <w:rsid w:val="004C1CF6"/>
    <w:rsid w:val="004C1D0F"/>
    <w:rsid w:val="004C1DAD"/>
    <w:rsid w:val="004C1DB5"/>
    <w:rsid w:val="004C1F66"/>
    <w:rsid w:val="004C20C1"/>
    <w:rsid w:val="004C22F3"/>
    <w:rsid w:val="004C2795"/>
    <w:rsid w:val="004C2A04"/>
    <w:rsid w:val="004C2BDD"/>
    <w:rsid w:val="004C2C12"/>
    <w:rsid w:val="004C33C2"/>
    <w:rsid w:val="004C344F"/>
    <w:rsid w:val="004C3491"/>
    <w:rsid w:val="004C35A0"/>
    <w:rsid w:val="004C35CF"/>
    <w:rsid w:val="004C372C"/>
    <w:rsid w:val="004C3DCA"/>
    <w:rsid w:val="004C4376"/>
    <w:rsid w:val="004C438C"/>
    <w:rsid w:val="004C4567"/>
    <w:rsid w:val="004C46B6"/>
    <w:rsid w:val="004C4706"/>
    <w:rsid w:val="004C4877"/>
    <w:rsid w:val="004C4F70"/>
    <w:rsid w:val="004C51F9"/>
    <w:rsid w:val="004C541C"/>
    <w:rsid w:val="004C57D5"/>
    <w:rsid w:val="004C5913"/>
    <w:rsid w:val="004C593F"/>
    <w:rsid w:val="004C5B10"/>
    <w:rsid w:val="004C5C2B"/>
    <w:rsid w:val="004C5D42"/>
    <w:rsid w:val="004C5F50"/>
    <w:rsid w:val="004C6051"/>
    <w:rsid w:val="004C63E4"/>
    <w:rsid w:val="004C652C"/>
    <w:rsid w:val="004C665A"/>
    <w:rsid w:val="004C6709"/>
    <w:rsid w:val="004C6742"/>
    <w:rsid w:val="004C69CE"/>
    <w:rsid w:val="004C6A2E"/>
    <w:rsid w:val="004C6A50"/>
    <w:rsid w:val="004C6C79"/>
    <w:rsid w:val="004C70C3"/>
    <w:rsid w:val="004C70E4"/>
    <w:rsid w:val="004C72E0"/>
    <w:rsid w:val="004C7944"/>
    <w:rsid w:val="004C7C48"/>
    <w:rsid w:val="004C7E9F"/>
    <w:rsid w:val="004C7FBA"/>
    <w:rsid w:val="004D05D4"/>
    <w:rsid w:val="004D09B8"/>
    <w:rsid w:val="004D0AC1"/>
    <w:rsid w:val="004D0BE2"/>
    <w:rsid w:val="004D0EB6"/>
    <w:rsid w:val="004D1127"/>
    <w:rsid w:val="004D1294"/>
    <w:rsid w:val="004D13E3"/>
    <w:rsid w:val="004D15C6"/>
    <w:rsid w:val="004D1A4C"/>
    <w:rsid w:val="004D1DAB"/>
    <w:rsid w:val="004D1E0A"/>
    <w:rsid w:val="004D2082"/>
    <w:rsid w:val="004D21CA"/>
    <w:rsid w:val="004D23D7"/>
    <w:rsid w:val="004D2484"/>
    <w:rsid w:val="004D27B8"/>
    <w:rsid w:val="004D319C"/>
    <w:rsid w:val="004D342A"/>
    <w:rsid w:val="004D35B1"/>
    <w:rsid w:val="004D3785"/>
    <w:rsid w:val="004D3B62"/>
    <w:rsid w:val="004D3BD7"/>
    <w:rsid w:val="004D3D1C"/>
    <w:rsid w:val="004D415A"/>
    <w:rsid w:val="004D47C2"/>
    <w:rsid w:val="004D4B33"/>
    <w:rsid w:val="004D4E79"/>
    <w:rsid w:val="004D4F49"/>
    <w:rsid w:val="004D50E3"/>
    <w:rsid w:val="004D51F8"/>
    <w:rsid w:val="004D5290"/>
    <w:rsid w:val="004D5458"/>
    <w:rsid w:val="004D5461"/>
    <w:rsid w:val="004D596F"/>
    <w:rsid w:val="004D5C4F"/>
    <w:rsid w:val="004D6356"/>
    <w:rsid w:val="004D6812"/>
    <w:rsid w:val="004D6A79"/>
    <w:rsid w:val="004D6E19"/>
    <w:rsid w:val="004D6EBE"/>
    <w:rsid w:val="004D6F04"/>
    <w:rsid w:val="004D723C"/>
    <w:rsid w:val="004D72AB"/>
    <w:rsid w:val="004D7418"/>
    <w:rsid w:val="004D7598"/>
    <w:rsid w:val="004D75A9"/>
    <w:rsid w:val="004D76B0"/>
    <w:rsid w:val="004D7A27"/>
    <w:rsid w:val="004D7C44"/>
    <w:rsid w:val="004D7F82"/>
    <w:rsid w:val="004E0010"/>
    <w:rsid w:val="004E0225"/>
    <w:rsid w:val="004E05B3"/>
    <w:rsid w:val="004E088B"/>
    <w:rsid w:val="004E0A14"/>
    <w:rsid w:val="004E0F8C"/>
    <w:rsid w:val="004E101C"/>
    <w:rsid w:val="004E123A"/>
    <w:rsid w:val="004E13C7"/>
    <w:rsid w:val="004E153E"/>
    <w:rsid w:val="004E168A"/>
    <w:rsid w:val="004E1894"/>
    <w:rsid w:val="004E18AF"/>
    <w:rsid w:val="004E1BBF"/>
    <w:rsid w:val="004E1C51"/>
    <w:rsid w:val="004E1CA4"/>
    <w:rsid w:val="004E1D38"/>
    <w:rsid w:val="004E2073"/>
    <w:rsid w:val="004E2161"/>
    <w:rsid w:val="004E22AB"/>
    <w:rsid w:val="004E22C6"/>
    <w:rsid w:val="004E2402"/>
    <w:rsid w:val="004E2951"/>
    <w:rsid w:val="004E2C79"/>
    <w:rsid w:val="004E2C9C"/>
    <w:rsid w:val="004E2D29"/>
    <w:rsid w:val="004E2EF1"/>
    <w:rsid w:val="004E2FCB"/>
    <w:rsid w:val="004E307D"/>
    <w:rsid w:val="004E32D0"/>
    <w:rsid w:val="004E34D7"/>
    <w:rsid w:val="004E37CD"/>
    <w:rsid w:val="004E3875"/>
    <w:rsid w:val="004E3A5C"/>
    <w:rsid w:val="004E3CED"/>
    <w:rsid w:val="004E3E26"/>
    <w:rsid w:val="004E3E81"/>
    <w:rsid w:val="004E3F41"/>
    <w:rsid w:val="004E4155"/>
    <w:rsid w:val="004E43ED"/>
    <w:rsid w:val="004E44C5"/>
    <w:rsid w:val="004E44C8"/>
    <w:rsid w:val="004E454E"/>
    <w:rsid w:val="004E4685"/>
    <w:rsid w:val="004E488D"/>
    <w:rsid w:val="004E4900"/>
    <w:rsid w:val="004E4973"/>
    <w:rsid w:val="004E4D9B"/>
    <w:rsid w:val="004E4DBC"/>
    <w:rsid w:val="004E5067"/>
    <w:rsid w:val="004E511B"/>
    <w:rsid w:val="004E515A"/>
    <w:rsid w:val="004E51BB"/>
    <w:rsid w:val="004E5457"/>
    <w:rsid w:val="004E5611"/>
    <w:rsid w:val="004E576D"/>
    <w:rsid w:val="004E5A4C"/>
    <w:rsid w:val="004E5BB1"/>
    <w:rsid w:val="004E6530"/>
    <w:rsid w:val="004E6545"/>
    <w:rsid w:val="004E679C"/>
    <w:rsid w:val="004E68D8"/>
    <w:rsid w:val="004E6C98"/>
    <w:rsid w:val="004E7361"/>
    <w:rsid w:val="004E74E6"/>
    <w:rsid w:val="004E77D2"/>
    <w:rsid w:val="004E7ABA"/>
    <w:rsid w:val="004E7BA7"/>
    <w:rsid w:val="004E7FEC"/>
    <w:rsid w:val="004F0165"/>
    <w:rsid w:val="004F04F1"/>
    <w:rsid w:val="004F065C"/>
    <w:rsid w:val="004F0754"/>
    <w:rsid w:val="004F0989"/>
    <w:rsid w:val="004F0B19"/>
    <w:rsid w:val="004F0B88"/>
    <w:rsid w:val="004F0C03"/>
    <w:rsid w:val="004F0CEA"/>
    <w:rsid w:val="004F1024"/>
    <w:rsid w:val="004F10DF"/>
    <w:rsid w:val="004F11A9"/>
    <w:rsid w:val="004F165A"/>
    <w:rsid w:val="004F19AB"/>
    <w:rsid w:val="004F1A96"/>
    <w:rsid w:val="004F1B23"/>
    <w:rsid w:val="004F1CBB"/>
    <w:rsid w:val="004F207D"/>
    <w:rsid w:val="004F213A"/>
    <w:rsid w:val="004F2332"/>
    <w:rsid w:val="004F2340"/>
    <w:rsid w:val="004F23A2"/>
    <w:rsid w:val="004F23C0"/>
    <w:rsid w:val="004F23D0"/>
    <w:rsid w:val="004F2471"/>
    <w:rsid w:val="004F2517"/>
    <w:rsid w:val="004F25A7"/>
    <w:rsid w:val="004F25F9"/>
    <w:rsid w:val="004F2653"/>
    <w:rsid w:val="004F2A0E"/>
    <w:rsid w:val="004F31E1"/>
    <w:rsid w:val="004F3219"/>
    <w:rsid w:val="004F34E0"/>
    <w:rsid w:val="004F3A4B"/>
    <w:rsid w:val="004F3A72"/>
    <w:rsid w:val="004F3E27"/>
    <w:rsid w:val="004F3FAF"/>
    <w:rsid w:val="004F405D"/>
    <w:rsid w:val="004F4250"/>
    <w:rsid w:val="004F4470"/>
    <w:rsid w:val="004F48E1"/>
    <w:rsid w:val="004F4941"/>
    <w:rsid w:val="004F4D91"/>
    <w:rsid w:val="004F4E17"/>
    <w:rsid w:val="004F4E35"/>
    <w:rsid w:val="004F4ECD"/>
    <w:rsid w:val="004F51EE"/>
    <w:rsid w:val="004F52FA"/>
    <w:rsid w:val="004F5482"/>
    <w:rsid w:val="004F5538"/>
    <w:rsid w:val="004F56C5"/>
    <w:rsid w:val="004F5748"/>
    <w:rsid w:val="004F580E"/>
    <w:rsid w:val="004F583C"/>
    <w:rsid w:val="004F59F3"/>
    <w:rsid w:val="004F6138"/>
    <w:rsid w:val="004F6318"/>
    <w:rsid w:val="004F631C"/>
    <w:rsid w:val="004F6450"/>
    <w:rsid w:val="004F64A3"/>
    <w:rsid w:val="004F6A27"/>
    <w:rsid w:val="004F6B33"/>
    <w:rsid w:val="004F6E87"/>
    <w:rsid w:val="004F711D"/>
    <w:rsid w:val="004F7122"/>
    <w:rsid w:val="004F71AD"/>
    <w:rsid w:val="004F7347"/>
    <w:rsid w:val="004F73C4"/>
    <w:rsid w:val="004F7449"/>
    <w:rsid w:val="004F74D0"/>
    <w:rsid w:val="004F7990"/>
    <w:rsid w:val="004F7A3E"/>
    <w:rsid w:val="004F7B67"/>
    <w:rsid w:val="004F7F5D"/>
    <w:rsid w:val="00500121"/>
    <w:rsid w:val="00500261"/>
    <w:rsid w:val="00500416"/>
    <w:rsid w:val="005005F3"/>
    <w:rsid w:val="005005FC"/>
    <w:rsid w:val="00500BEE"/>
    <w:rsid w:val="00500F41"/>
    <w:rsid w:val="00501441"/>
    <w:rsid w:val="005014DD"/>
    <w:rsid w:val="00501690"/>
    <w:rsid w:val="00501B46"/>
    <w:rsid w:val="00501EF5"/>
    <w:rsid w:val="005025B7"/>
    <w:rsid w:val="00502721"/>
    <w:rsid w:val="00502845"/>
    <w:rsid w:val="00502B5E"/>
    <w:rsid w:val="00502C42"/>
    <w:rsid w:val="00502CA2"/>
    <w:rsid w:val="00502E28"/>
    <w:rsid w:val="00502F20"/>
    <w:rsid w:val="00503119"/>
    <w:rsid w:val="0050317A"/>
    <w:rsid w:val="0050372E"/>
    <w:rsid w:val="0050381D"/>
    <w:rsid w:val="00503856"/>
    <w:rsid w:val="005038DA"/>
    <w:rsid w:val="00503ACA"/>
    <w:rsid w:val="00503C02"/>
    <w:rsid w:val="00503C64"/>
    <w:rsid w:val="00503DDC"/>
    <w:rsid w:val="00503E61"/>
    <w:rsid w:val="00503F06"/>
    <w:rsid w:val="00503FE3"/>
    <w:rsid w:val="0050427D"/>
    <w:rsid w:val="005046A1"/>
    <w:rsid w:val="005046F1"/>
    <w:rsid w:val="00504854"/>
    <w:rsid w:val="00504885"/>
    <w:rsid w:val="00504B6C"/>
    <w:rsid w:val="005050E7"/>
    <w:rsid w:val="0050510A"/>
    <w:rsid w:val="005051C9"/>
    <w:rsid w:val="0050532A"/>
    <w:rsid w:val="0050542F"/>
    <w:rsid w:val="005056ED"/>
    <w:rsid w:val="00505BE0"/>
    <w:rsid w:val="00505C53"/>
    <w:rsid w:val="00505D01"/>
    <w:rsid w:val="00505E0B"/>
    <w:rsid w:val="00505E55"/>
    <w:rsid w:val="005060A9"/>
    <w:rsid w:val="00506108"/>
    <w:rsid w:val="0050625A"/>
    <w:rsid w:val="0050638B"/>
    <w:rsid w:val="00506535"/>
    <w:rsid w:val="005068B9"/>
    <w:rsid w:val="00506958"/>
    <w:rsid w:val="00507045"/>
    <w:rsid w:val="00507292"/>
    <w:rsid w:val="005075AE"/>
    <w:rsid w:val="005075CA"/>
    <w:rsid w:val="005078E8"/>
    <w:rsid w:val="0050791C"/>
    <w:rsid w:val="00507C1D"/>
    <w:rsid w:val="00507D57"/>
    <w:rsid w:val="00507D5F"/>
    <w:rsid w:val="00507F2F"/>
    <w:rsid w:val="00510024"/>
    <w:rsid w:val="00510247"/>
    <w:rsid w:val="005107B5"/>
    <w:rsid w:val="005107C5"/>
    <w:rsid w:val="00510837"/>
    <w:rsid w:val="00511098"/>
    <w:rsid w:val="0051119B"/>
    <w:rsid w:val="005111B7"/>
    <w:rsid w:val="005111CB"/>
    <w:rsid w:val="00511220"/>
    <w:rsid w:val="005112C8"/>
    <w:rsid w:val="0051135F"/>
    <w:rsid w:val="0051137C"/>
    <w:rsid w:val="005114D9"/>
    <w:rsid w:val="00511500"/>
    <w:rsid w:val="0051150E"/>
    <w:rsid w:val="0051154E"/>
    <w:rsid w:val="0051170B"/>
    <w:rsid w:val="00511B8D"/>
    <w:rsid w:val="00511D76"/>
    <w:rsid w:val="0051209E"/>
    <w:rsid w:val="0051254E"/>
    <w:rsid w:val="005126D9"/>
    <w:rsid w:val="00512833"/>
    <w:rsid w:val="00512952"/>
    <w:rsid w:val="00512982"/>
    <w:rsid w:val="00512ACD"/>
    <w:rsid w:val="00512DC7"/>
    <w:rsid w:val="00513025"/>
    <w:rsid w:val="00513035"/>
    <w:rsid w:val="005130EA"/>
    <w:rsid w:val="00513264"/>
    <w:rsid w:val="0051338F"/>
    <w:rsid w:val="0051368F"/>
    <w:rsid w:val="005138FB"/>
    <w:rsid w:val="00513B4F"/>
    <w:rsid w:val="00513E54"/>
    <w:rsid w:val="005142F9"/>
    <w:rsid w:val="00514302"/>
    <w:rsid w:val="00514330"/>
    <w:rsid w:val="0051449E"/>
    <w:rsid w:val="00514513"/>
    <w:rsid w:val="00514523"/>
    <w:rsid w:val="005146D0"/>
    <w:rsid w:val="00514784"/>
    <w:rsid w:val="0051499A"/>
    <w:rsid w:val="00514AF6"/>
    <w:rsid w:val="00514B65"/>
    <w:rsid w:val="00514E07"/>
    <w:rsid w:val="0051519A"/>
    <w:rsid w:val="0051523B"/>
    <w:rsid w:val="0051550C"/>
    <w:rsid w:val="00515578"/>
    <w:rsid w:val="005156A0"/>
    <w:rsid w:val="00515745"/>
    <w:rsid w:val="005157F7"/>
    <w:rsid w:val="00515929"/>
    <w:rsid w:val="00515AD0"/>
    <w:rsid w:val="00515E4F"/>
    <w:rsid w:val="00515F4B"/>
    <w:rsid w:val="005160DC"/>
    <w:rsid w:val="0051614D"/>
    <w:rsid w:val="005161EC"/>
    <w:rsid w:val="0051647F"/>
    <w:rsid w:val="005168ED"/>
    <w:rsid w:val="00516B00"/>
    <w:rsid w:val="00516D61"/>
    <w:rsid w:val="00516DDA"/>
    <w:rsid w:val="00516E5D"/>
    <w:rsid w:val="00516F4F"/>
    <w:rsid w:val="0051724C"/>
    <w:rsid w:val="00517361"/>
    <w:rsid w:val="00517782"/>
    <w:rsid w:val="00517798"/>
    <w:rsid w:val="00517802"/>
    <w:rsid w:val="0051788C"/>
    <w:rsid w:val="00517898"/>
    <w:rsid w:val="005179A8"/>
    <w:rsid w:val="005179B0"/>
    <w:rsid w:val="00517B22"/>
    <w:rsid w:val="00517BE7"/>
    <w:rsid w:val="005200D5"/>
    <w:rsid w:val="005204DF"/>
    <w:rsid w:val="005205F3"/>
    <w:rsid w:val="0052089E"/>
    <w:rsid w:val="00520A46"/>
    <w:rsid w:val="00520A6B"/>
    <w:rsid w:val="00520AF4"/>
    <w:rsid w:val="00520B1B"/>
    <w:rsid w:val="00520B4A"/>
    <w:rsid w:val="00520B86"/>
    <w:rsid w:val="005211FE"/>
    <w:rsid w:val="0052130D"/>
    <w:rsid w:val="00521C5F"/>
    <w:rsid w:val="005222BE"/>
    <w:rsid w:val="005222E4"/>
    <w:rsid w:val="005224FA"/>
    <w:rsid w:val="005225DE"/>
    <w:rsid w:val="00522619"/>
    <w:rsid w:val="00522CE0"/>
    <w:rsid w:val="00522F7B"/>
    <w:rsid w:val="00522FBD"/>
    <w:rsid w:val="0052310D"/>
    <w:rsid w:val="005232B1"/>
    <w:rsid w:val="005232FD"/>
    <w:rsid w:val="00523438"/>
    <w:rsid w:val="00523542"/>
    <w:rsid w:val="005235B9"/>
    <w:rsid w:val="0052386F"/>
    <w:rsid w:val="005238DC"/>
    <w:rsid w:val="00523950"/>
    <w:rsid w:val="005239A5"/>
    <w:rsid w:val="00523AF0"/>
    <w:rsid w:val="00523C13"/>
    <w:rsid w:val="00524544"/>
    <w:rsid w:val="0052464D"/>
    <w:rsid w:val="005248E1"/>
    <w:rsid w:val="005249E0"/>
    <w:rsid w:val="00524C79"/>
    <w:rsid w:val="00524CCC"/>
    <w:rsid w:val="00524E54"/>
    <w:rsid w:val="00524EF8"/>
    <w:rsid w:val="005251D0"/>
    <w:rsid w:val="00525682"/>
    <w:rsid w:val="0052583F"/>
    <w:rsid w:val="00525A1B"/>
    <w:rsid w:val="00525A1D"/>
    <w:rsid w:val="00525B3D"/>
    <w:rsid w:val="00525E42"/>
    <w:rsid w:val="00525F18"/>
    <w:rsid w:val="00526174"/>
    <w:rsid w:val="005264EE"/>
    <w:rsid w:val="00526671"/>
    <w:rsid w:val="005266C2"/>
    <w:rsid w:val="005267DB"/>
    <w:rsid w:val="00526914"/>
    <w:rsid w:val="00526C72"/>
    <w:rsid w:val="00526ECF"/>
    <w:rsid w:val="00527199"/>
    <w:rsid w:val="005271ED"/>
    <w:rsid w:val="00527258"/>
    <w:rsid w:val="005272C2"/>
    <w:rsid w:val="00527318"/>
    <w:rsid w:val="0052796F"/>
    <w:rsid w:val="00527B22"/>
    <w:rsid w:val="00527B8C"/>
    <w:rsid w:val="00527BCF"/>
    <w:rsid w:val="00527C7B"/>
    <w:rsid w:val="00527E25"/>
    <w:rsid w:val="00527FC7"/>
    <w:rsid w:val="0053014C"/>
    <w:rsid w:val="005302B4"/>
    <w:rsid w:val="005303F0"/>
    <w:rsid w:val="00530915"/>
    <w:rsid w:val="00530CBA"/>
    <w:rsid w:val="0053131F"/>
    <w:rsid w:val="0053133F"/>
    <w:rsid w:val="0053134D"/>
    <w:rsid w:val="005313C0"/>
    <w:rsid w:val="00531647"/>
    <w:rsid w:val="005316A7"/>
    <w:rsid w:val="005318E9"/>
    <w:rsid w:val="005319A2"/>
    <w:rsid w:val="00531A18"/>
    <w:rsid w:val="00531D1C"/>
    <w:rsid w:val="00531D87"/>
    <w:rsid w:val="0053212B"/>
    <w:rsid w:val="00532276"/>
    <w:rsid w:val="0053253B"/>
    <w:rsid w:val="00532655"/>
    <w:rsid w:val="005328E9"/>
    <w:rsid w:val="00532B20"/>
    <w:rsid w:val="0053312E"/>
    <w:rsid w:val="00533312"/>
    <w:rsid w:val="0053336B"/>
    <w:rsid w:val="005333F0"/>
    <w:rsid w:val="005334A2"/>
    <w:rsid w:val="005337A6"/>
    <w:rsid w:val="005337DE"/>
    <w:rsid w:val="005339AD"/>
    <w:rsid w:val="00533AF9"/>
    <w:rsid w:val="005340F3"/>
    <w:rsid w:val="0053444B"/>
    <w:rsid w:val="0053448C"/>
    <w:rsid w:val="00534BC4"/>
    <w:rsid w:val="00534CD2"/>
    <w:rsid w:val="00535045"/>
    <w:rsid w:val="00535153"/>
    <w:rsid w:val="00535598"/>
    <w:rsid w:val="00535654"/>
    <w:rsid w:val="005356CE"/>
    <w:rsid w:val="00535846"/>
    <w:rsid w:val="005358C2"/>
    <w:rsid w:val="00535919"/>
    <w:rsid w:val="005359C9"/>
    <w:rsid w:val="00535A7E"/>
    <w:rsid w:val="00535FBD"/>
    <w:rsid w:val="00536DCD"/>
    <w:rsid w:val="00537093"/>
    <w:rsid w:val="0053719B"/>
    <w:rsid w:val="005375D9"/>
    <w:rsid w:val="0053788E"/>
    <w:rsid w:val="005379BA"/>
    <w:rsid w:val="00537E54"/>
    <w:rsid w:val="00537ED5"/>
    <w:rsid w:val="005401C4"/>
    <w:rsid w:val="00540623"/>
    <w:rsid w:val="0054079D"/>
    <w:rsid w:val="00540938"/>
    <w:rsid w:val="005409B8"/>
    <w:rsid w:val="00540A1B"/>
    <w:rsid w:val="00540BDA"/>
    <w:rsid w:val="00541572"/>
    <w:rsid w:val="00541A94"/>
    <w:rsid w:val="00541B79"/>
    <w:rsid w:val="00541B7B"/>
    <w:rsid w:val="00541BCA"/>
    <w:rsid w:val="00541D93"/>
    <w:rsid w:val="00542051"/>
    <w:rsid w:val="005421D8"/>
    <w:rsid w:val="0054240E"/>
    <w:rsid w:val="00542617"/>
    <w:rsid w:val="0054268A"/>
    <w:rsid w:val="00542B06"/>
    <w:rsid w:val="00542B38"/>
    <w:rsid w:val="00542BD8"/>
    <w:rsid w:val="00542C01"/>
    <w:rsid w:val="00542C4C"/>
    <w:rsid w:val="00542D51"/>
    <w:rsid w:val="00543003"/>
    <w:rsid w:val="005431EC"/>
    <w:rsid w:val="005436E2"/>
    <w:rsid w:val="005438A5"/>
    <w:rsid w:val="00543A5D"/>
    <w:rsid w:val="00543A8C"/>
    <w:rsid w:val="00543B62"/>
    <w:rsid w:val="00543C87"/>
    <w:rsid w:val="005441E4"/>
    <w:rsid w:val="005441E9"/>
    <w:rsid w:val="005442ED"/>
    <w:rsid w:val="0054476E"/>
    <w:rsid w:val="00544820"/>
    <w:rsid w:val="00544FD3"/>
    <w:rsid w:val="00545071"/>
    <w:rsid w:val="005451FE"/>
    <w:rsid w:val="005455CF"/>
    <w:rsid w:val="005456B3"/>
    <w:rsid w:val="00545B60"/>
    <w:rsid w:val="00545BAE"/>
    <w:rsid w:val="0054601A"/>
    <w:rsid w:val="00546090"/>
    <w:rsid w:val="0054618A"/>
    <w:rsid w:val="00546269"/>
    <w:rsid w:val="0054632D"/>
    <w:rsid w:val="00546390"/>
    <w:rsid w:val="00546BB8"/>
    <w:rsid w:val="00546C22"/>
    <w:rsid w:val="00546E38"/>
    <w:rsid w:val="00546E3C"/>
    <w:rsid w:val="00546E71"/>
    <w:rsid w:val="00546F77"/>
    <w:rsid w:val="00547223"/>
    <w:rsid w:val="0054723A"/>
    <w:rsid w:val="00547511"/>
    <w:rsid w:val="005478A3"/>
    <w:rsid w:val="00547B13"/>
    <w:rsid w:val="00547F75"/>
    <w:rsid w:val="00547F88"/>
    <w:rsid w:val="00550117"/>
    <w:rsid w:val="0055039A"/>
    <w:rsid w:val="00550513"/>
    <w:rsid w:val="005506D0"/>
    <w:rsid w:val="005508B4"/>
    <w:rsid w:val="005509A8"/>
    <w:rsid w:val="005512FF"/>
    <w:rsid w:val="005513B7"/>
    <w:rsid w:val="005514A1"/>
    <w:rsid w:val="005514B2"/>
    <w:rsid w:val="0055156C"/>
    <w:rsid w:val="00551627"/>
    <w:rsid w:val="005517B3"/>
    <w:rsid w:val="005518B0"/>
    <w:rsid w:val="00551A65"/>
    <w:rsid w:val="00551B63"/>
    <w:rsid w:val="00551C23"/>
    <w:rsid w:val="00551EF3"/>
    <w:rsid w:val="0055200A"/>
    <w:rsid w:val="00552045"/>
    <w:rsid w:val="00552564"/>
    <w:rsid w:val="005526F8"/>
    <w:rsid w:val="0055280D"/>
    <w:rsid w:val="00552A23"/>
    <w:rsid w:val="00552AE0"/>
    <w:rsid w:val="00552F0A"/>
    <w:rsid w:val="005530CE"/>
    <w:rsid w:val="0055314B"/>
    <w:rsid w:val="005531F4"/>
    <w:rsid w:val="00553431"/>
    <w:rsid w:val="0055344C"/>
    <w:rsid w:val="005534C9"/>
    <w:rsid w:val="00553583"/>
    <w:rsid w:val="0055377E"/>
    <w:rsid w:val="005538CC"/>
    <w:rsid w:val="005538D3"/>
    <w:rsid w:val="00553ECE"/>
    <w:rsid w:val="00553FEC"/>
    <w:rsid w:val="00554205"/>
    <w:rsid w:val="0055424A"/>
    <w:rsid w:val="00554383"/>
    <w:rsid w:val="00554562"/>
    <w:rsid w:val="0055477A"/>
    <w:rsid w:val="00554786"/>
    <w:rsid w:val="005549C5"/>
    <w:rsid w:val="005549D7"/>
    <w:rsid w:val="00554D6E"/>
    <w:rsid w:val="0055520F"/>
    <w:rsid w:val="0055546B"/>
    <w:rsid w:val="005554E7"/>
    <w:rsid w:val="00555677"/>
    <w:rsid w:val="005559F6"/>
    <w:rsid w:val="00555AB0"/>
    <w:rsid w:val="00555CA5"/>
    <w:rsid w:val="00555CC6"/>
    <w:rsid w:val="00555E03"/>
    <w:rsid w:val="00555E35"/>
    <w:rsid w:val="00555F06"/>
    <w:rsid w:val="00555FD3"/>
    <w:rsid w:val="005562E1"/>
    <w:rsid w:val="00556435"/>
    <w:rsid w:val="00556504"/>
    <w:rsid w:val="005566D3"/>
    <w:rsid w:val="005569AD"/>
    <w:rsid w:val="00556A22"/>
    <w:rsid w:val="00556AA7"/>
    <w:rsid w:val="00556B5A"/>
    <w:rsid w:val="00556F43"/>
    <w:rsid w:val="0055745A"/>
    <w:rsid w:val="00557466"/>
    <w:rsid w:val="005574ED"/>
    <w:rsid w:val="00557538"/>
    <w:rsid w:val="005576EF"/>
    <w:rsid w:val="0055783A"/>
    <w:rsid w:val="00557E8D"/>
    <w:rsid w:val="00560031"/>
    <w:rsid w:val="00560092"/>
    <w:rsid w:val="005603F1"/>
    <w:rsid w:val="005606F5"/>
    <w:rsid w:val="00560B1E"/>
    <w:rsid w:val="00560C93"/>
    <w:rsid w:val="00560E63"/>
    <w:rsid w:val="00560E79"/>
    <w:rsid w:val="00560EA8"/>
    <w:rsid w:val="00561288"/>
    <w:rsid w:val="005612B8"/>
    <w:rsid w:val="00561473"/>
    <w:rsid w:val="00561775"/>
    <w:rsid w:val="00561A4A"/>
    <w:rsid w:val="00561B7A"/>
    <w:rsid w:val="00561EBA"/>
    <w:rsid w:val="00561FC7"/>
    <w:rsid w:val="00562020"/>
    <w:rsid w:val="0056224D"/>
    <w:rsid w:val="005625B2"/>
    <w:rsid w:val="005629BC"/>
    <w:rsid w:val="00562C8F"/>
    <w:rsid w:val="00562EC4"/>
    <w:rsid w:val="00563002"/>
    <w:rsid w:val="0056304A"/>
    <w:rsid w:val="005631D1"/>
    <w:rsid w:val="005635B1"/>
    <w:rsid w:val="0056364B"/>
    <w:rsid w:val="0056388E"/>
    <w:rsid w:val="00563971"/>
    <w:rsid w:val="00563AA8"/>
    <w:rsid w:val="00563BFD"/>
    <w:rsid w:val="00563F09"/>
    <w:rsid w:val="00564110"/>
    <w:rsid w:val="00564120"/>
    <w:rsid w:val="00564530"/>
    <w:rsid w:val="00564824"/>
    <w:rsid w:val="005650E8"/>
    <w:rsid w:val="00565209"/>
    <w:rsid w:val="005653B9"/>
    <w:rsid w:val="005654BD"/>
    <w:rsid w:val="005654DC"/>
    <w:rsid w:val="00565570"/>
    <w:rsid w:val="00565857"/>
    <w:rsid w:val="005658AD"/>
    <w:rsid w:val="00565986"/>
    <w:rsid w:val="00565AD7"/>
    <w:rsid w:val="00565D84"/>
    <w:rsid w:val="00565FAE"/>
    <w:rsid w:val="00566272"/>
    <w:rsid w:val="005663D0"/>
    <w:rsid w:val="00566634"/>
    <w:rsid w:val="00566A1B"/>
    <w:rsid w:val="00566C83"/>
    <w:rsid w:val="00566E3A"/>
    <w:rsid w:val="00566E6A"/>
    <w:rsid w:val="00566E97"/>
    <w:rsid w:val="005674A1"/>
    <w:rsid w:val="00567591"/>
    <w:rsid w:val="00567646"/>
    <w:rsid w:val="005677BC"/>
    <w:rsid w:val="005678F7"/>
    <w:rsid w:val="00567A6E"/>
    <w:rsid w:val="00567B7E"/>
    <w:rsid w:val="00567EAC"/>
    <w:rsid w:val="0057001A"/>
    <w:rsid w:val="00570240"/>
    <w:rsid w:val="005705BF"/>
    <w:rsid w:val="00570732"/>
    <w:rsid w:val="00570B28"/>
    <w:rsid w:val="00570B58"/>
    <w:rsid w:val="00570E85"/>
    <w:rsid w:val="00570F1B"/>
    <w:rsid w:val="00570F42"/>
    <w:rsid w:val="00570FBA"/>
    <w:rsid w:val="0057129C"/>
    <w:rsid w:val="00571669"/>
    <w:rsid w:val="005716A8"/>
    <w:rsid w:val="005718BB"/>
    <w:rsid w:val="00571B3E"/>
    <w:rsid w:val="00571D6A"/>
    <w:rsid w:val="005720D6"/>
    <w:rsid w:val="005720FF"/>
    <w:rsid w:val="005724D7"/>
    <w:rsid w:val="0057271F"/>
    <w:rsid w:val="00572859"/>
    <w:rsid w:val="00572A08"/>
    <w:rsid w:val="00572A27"/>
    <w:rsid w:val="00572A29"/>
    <w:rsid w:val="0057318D"/>
    <w:rsid w:val="00573196"/>
    <w:rsid w:val="005731C4"/>
    <w:rsid w:val="00573559"/>
    <w:rsid w:val="00573A97"/>
    <w:rsid w:val="00573C51"/>
    <w:rsid w:val="00573C8D"/>
    <w:rsid w:val="00573C9A"/>
    <w:rsid w:val="005740B8"/>
    <w:rsid w:val="005740C7"/>
    <w:rsid w:val="005741FD"/>
    <w:rsid w:val="00574342"/>
    <w:rsid w:val="005744EC"/>
    <w:rsid w:val="005747DC"/>
    <w:rsid w:val="005749A4"/>
    <w:rsid w:val="00574B5A"/>
    <w:rsid w:val="00574BBB"/>
    <w:rsid w:val="00574BDA"/>
    <w:rsid w:val="00575227"/>
    <w:rsid w:val="00575634"/>
    <w:rsid w:val="0057585B"/>
    <w:rsid w:val="00575F8D"/>
    <w:rsid w:val="0057611C"/>
    <w:rsid w:val="005762BB"/>
    <w:rsid w:val="00576771"/>
    <w:rsid w:val="005767F9"/>
    <w:rsid w:val="00576852"/>
    <w:rsid w:val="00576932"/>
    <w:rsid w:val="00576974"/>
    <w:rsid w:val="005769BF"/>
    <w:rsid w:val="00576AB1"/>
    <w:rsid w:val="00576E01"/>
    <w:rsid w:val="00576EF1"/>
    <w:rsid w:val="00576F70"/>
    <w:rsid w:val="0057760A"/>
    <w:rsid w:val="00577AAA"/>
    <w:rsid w:val="00577AC0"/>
    <w:rsid w:val="00577E93"/>
    <w:rsid w:val="005801B7"/>
    <w:rsid w:val="0058027E"/>
    <w:rsid w:val="0058040D"/>
    <w:rsid w:val="00580424"/>
    <w:rsid w:val="00580431"/>
    <w:rsid w:val="00580953"/>
    <w:rsid w:val="005809F2"/>
    <w:rsid w:val="00580CEE"/>
    <w:rsid w:val="00580FE8"/>
    <w:rsid w:val="00580FF9"/>
    <w:rsid w:val="00581170"/>
    <w:rsid w:val="0058118B"/>
    <w:rsid w:val="00581445"/>
    <w:rsid w:val="00581592"/>
    <w:rsid w:val="00581B0B"/>
    <w:rsid w:val="00581CC2"/>
    <w:rsid w:val="00581F62"/>
    <w:rsid w:val="0058284D"/>
    <w:rsid w:val="005828A1"/>
    <w:rsid w:val="005828C9"/>
    <w:rsid w:val="00582B75"/>
    <w:rsid w:val="00582D53"/>
    <w:rsid w:val="00582E3E"/>
    <w:rsid w:val="00582FAC"/>
    <w:rsid w:val="0058338D"/>
    <w:rsid w:val="0058341D"/>
    <w:rsid w:val="00583451"/>
    <w:rsid w:val="00583642"/>
    <w:rsid w:val="005836AB"/>
    <w:rsid w:val="005836FF"/>
    <w:rsid w:val="0058376F"/>
    <w:rsid w:val="005837BF"/>
    <w:rsid w:val="00583A2A"/>
    <w:rsid w:val="00583CF3"/>
    <w:rsid w:val="00583FBE"/>
    <w:rsid w:val="005843E7"/>
    <w:rsid w:val="0058484E"/>
    <w:rsid w:val="00584D14"/>
    <w:rsid w:val="00584E96"/>
    <w:rsid w:val="00584EF7"/>
    <w:rsid w:val="0058562D"/>
    <w:rsid w:val="005856BC"/>
    <w:rsid w:val="005858E8"/>
    <w:rsid w:val="00585C0B"/>
    <w:rsid w:val="00585CB0"/>
    <w:rsid w:val="00585DD4"/>
    <w:rsid w:val="005865F4"/>
    <w:rsid w:val="0058670E"/>
    <w:rsid w:val="00586757"/>
    <w:rsid w:val="0058692A"/>
    <w:rsid w:val="005869AD"/>
    <w:rsid w:val="005869C0"/>
    <w:rsid w:val="00586AD0"/>
    <w:rsid w:val="00586D3F"/>
    <w:rsid w:val="0058701C"/>
    <w:rsid w:val="0058721C"/>
    <w:rsid w:val="00587257"/>
    <w:rsid w:val="00587405"/>
    <w:rsid w:val="005876DA"/>
    <w:rsid w:val="00587967"/>
    <w:rsid w:val="00587C07"/>
    <w:rsid w:val="00587F01"/>
    <w:rsid w:val="00587F45"/>
    <w:rsid w:val="0059022A"/>
    <w:rsid w:val="005905F1"/>
    <w:rsid w:val="00590650"/>
    <w:rsid w:val="00590875"/>
    <w:rsid w:val="0059094D"/>
    <w:rsid w:val="00590969"/>
    <w:rsid w:val="005909E8"/>
    <w:rsid w:val="00590A0A"/>
    <w:rsid w:val="00590ADC"/>
    <w:rsid w:val="00590C54"/>
    <w:rsid w:val="00590E0D"/>
    <w:rsid w:val="0059106D"/>
    <w:rsid w:val="00591171"/>
    <w:rsid w:val="0059144E"/>
    <w:rsid w:val="00591960"/>
    <w:rsid w:val="00591974"/>
    <w:rsid w:val="00591A4B"/>
    <w:rsid w:val="00591E77"/>
    <w:rsid w:val="00591EC5"/>
    <w:rsid w:val="00591FB0"/>
    <w:rsid w:val="0059238C"/>
    <w:rsid w:val="00592651"/>
    <w:rsid w:val="005926A3"/>
    <w:rsid w:val="0059294C"/>
    <w:rsid w:val="00592B9F"/>
    <w:rsid w:val="00592BCA"/>
    <w:rsid w:val="00592FF8"/>
    <w:rsid w:val="00593188"/>
    <w:rsid w:val="0059340C"/>
    <w:rsid w:val="0059379E"/>
    <w:rsid w:val="005938E0"/>
    <w:rsid w:val="00593984"/>
    <w:rsid w:val="00593A25"/>
    <w:rsid w:val="00593C32"/>
    <w:rsid w:val="005940D9"/>
    <w:rsid w:val="00594241"/>
    <w:rsid w:val="005942D3"/>
    <w:rsid w:val="00594321"/>
    <w:rsid w:val="00594434"/>
    <w:rsid w:val="005946DF"/>
    <w:rsid w:val="005947DC"/>
    <w:rsid w:val="00594AF7"/>
    <w:rsid w:val="00594B74"/>
    <w:rsid w:val="00594BA1"/>
    <w:rsid w:val="00594D87"/>
    <w:rsid w:val="00594F88"/>
    <w:rsid w:val="0059519F"/>
    <w:rsid w:val="005953CC"/>
    <w:rsid w:val="00595454"/>
    <w:rsid w:val="00595814"/>
    <w:rsid w:val="00595E60"/>
    <w:rsid w:val="005964FE"/>
    <w:rsid w:val="0059674A"/>
    <w:rsid w:val="005967B0"/>
    <w:rsid w:val="00596BEC"/>
    <w:rsid w:val="00596D65"/>
    <w:rsid w:val="00596F39"/>
    <w:rsid w:val="00597563"/>
    <w:rsid w:val="00597590"/>
    <w:rsid w:val="0059785D"/>
    <w:rsid w:val="00597BED"/>
    <w:rsid w:val="00597C8F"/>
    <w:rsid w:val="005A01D9"/>
    <w:rsid w:val="005A0685"/>
    <w:rsid w:val="005A08A8"/>
    <w:rsid w:val="005A0C5A"/>
    <w:rsid w:val="005A0EF4"/>
    <w:rsid w:val="005A14EA"/>
    <w:rsid w:val="005A1E18"/>
    <w:rsid w:val="005A1F8B"/>
    <w:rsid w:val="005A218B"/>
    <w:rsid w:val="005A21A8"/>
    <w:rsid w:val="005A22F9"/>
    <w:rsid w:val="005A235D"/>
    <w:rsid w:val="005A236C"/>
    <w:rsid w:val="005A27B5"/>
    <w:rsid w:val="005A2962"/>
    <w:rsid w:val="005A2B0E"/>
    <w:rsid w:val="005A320B"/>
    <w:rsid w:val="005A3379"/>
    <w:rsid w:val="005A3543"/>
    <w:rsid w:val="005A3918"/>
    <w:rsid w:val="005A3BEA"/>
    <w:rsid w:val="005A3CA8"/>
    <w:rsid w:val="005A401D"/>
    <w:rsid w:val="005A4223"/>
    <w:rsid w:val="005A44C0"/>
    <w:rsid w:val="005A45DB"/>
    <w:rsid w:val="005A473B"/>
    <w:rsid w:val="005A47D1"/>
    <w:rsid w:val="005A48AC"/>
    <w:rsid w:val="005A4A45"/>
    <w:rsid w:val="005A4BD0"/>
    <w:rsid w:val="005A4BF3"/>
    <w:rsid w:val="005A4D14"/>
    <w:rsid w:val="005A4DF8"/>
    <w:rsid w:val="005A4E0A"/>
    <w:rsid w:val="005A508D"/>
    <w:rsid w:val="005A565F"/>
    <w:rsid w:val="005A5692"/>
    <w:rsid w:val="005A5742"/>
    <w:rsid w:val="005A5C93"/>
    <w:rsid w:val="005A5EA8"/>
    <w:rsid w:val="005A66B5"/>
    <w:rsid w:val="005A66C9"/>
    <w:rsid w:val="005A67F0"/>
    <w:rsid w:val="005A689C"/>
    <w:rsid w:val="005A68C9"/>
    <w:rsid w:val="005A6F83"/>
    <w:rsid w:val="005A72C6"/>
    <w:rsid w:val="005A7580"/>
    <w:rsid w:val="005A75F5"/>
    <w:rsid w:val="005A7A8F"/>
    <w:rsid w:val="005A7B59"/>
    <w:rsid w:val="005B0458"/>
    <w:rsid w:val="005B08F2"/>
    <w:rsid w:val="005B0BB9"/>
    <w:rsid w:val="005B0CB7"/>
    <w:rsid w:val="005B0E2D"/>
    <w:rsid w:val="005B0E87"/>
    <w:rsid w:val="005B0F9B"/>
    <w:rsid w:val="005B10A9"/>
    <w:rsid w:val="005B170F"/>
    <w:rsid w:val="005B17EA"/>
    <w:rsid w:val="005B1B1D"/>
    <w:rsid w:val="005B1B2D"/>
    <w:rsid w:val="005B1B7A"/>
    <w:rsid w:val="005B22B7"/>
    <w:rsid w:val="005B25C2"/>
    <w:rsid w:val="005B2646"/>
    <w:rsid w:val="005B2D34"/>
    <w:rsid w:val="005B2DEA"/>
    <w:rsid w:val="005B37C7"/>
    <w:rsid w:val="005B380C"/>
    <w:rsid w:val="005B383D"/>
    <w:rsid w:val="005B3D4B"/>
    <w:rsid w:val="005B3DB1"/>
    <w:rsid w:val="005B4183"/>
    <w:rsid w:val="005B43D4"/>
    <w:rsid w:val="005B447B"/>
    <w:rsid w:val="005B462D"/>
    <w:rsid w:val="005B4A76"/>
    <w:rsid w:val="005B4CB7"/>
    <w:rsid w:val="005B4CEB"/>
    <w:rsid w:val="005B50C3"/>
    <w:rsid w:val="005B5945"/>
    <w:rsid w:val="005B5977"/>
    <w:rsid w:val="005B5EC0"/>
    <w:rsid w:val="005B5F9A"/>
    <w:rsid w:val="005B6197"/>
    <w:rsid w:val="005B6613"/>
    <w:rsid w:val="005B6632"/>
    <w:rsid w:val="005B6656"/>
    <w:rsid w:val="005B6689"/>
    <w:rsid w:val="005B679B"/>
    <w:rsid w:val="005B67BA"/>
    <w:rsid w:val="005B6921"/>
    <w:rsid w:val="005B6A9D"/>
    <w:rsid w:val="005B6AC6"/>
    <w:rsid w:val="005B6C9B"/>
    <w:rsid w:val="005B7009"/>
    <w:rsid w:val="005B728B"/>
    <w:rsid w:val="005B7377"/>
    <w:rsid w:val="005B7415"/>
    <w:rsid w:val="005B755F"/>
    <w:rsid w:val="005B7913"/>
    <w:rsid w:val="005B7A7C"/>
    <w:rsid w:val="005B7C53"/>
    <w:rsid w:val="005B7D1A"/>
    <w:rsid w:val="005B7F31"/>
    <w:rsid w:val="005C00B8"/>
    <w:rsid w:val="005C0150"/>
    <w:rsid w:val="005C021C"/>
    <w:rsid w:val="005C02FB"/>
    <w:rsid w:val="005C0896"/>
    <w:rsid w:val="005C09FA"/>
    <w:rsid w:val="005C0C7B"/>
    <w:rsid w:val="005C12E6"/>
    <w:rsid w:val="005C141C"/>
    <w:rsid w:val="005C14A1"/>
    <w:rsid w:val="005C18C2"/>
    <w:rsid w:val="005C1A5A"/>
    <w:rsid w:val="005C1BB2"/>
    <w:rsid w:val="005C1BFB"/>
    <w:rsid w:val="005C1C1B"/>
    <w:rsid w:val="005C2010"/>
    <w:rsid w:val="005C2085"/>
    <w:rsid w:val="005C2100"/>
    <w:rsid w:val="005C2138"/>
    <w:rsid w:val="005C224C"/>
    <w:rsid w:val="005C226C"/>
    <w:rsid w:val="005C2579"/>
    <w:rsid w:val="005C2591"/>
    <w:rsid w:val="005C27B2"/>
    <w:rsid w:val="005C27C2"/>
    <w:rsid w:val="005C27EF"/>
    <w:rsid w:val="005C2E87"/>
    <w:rsid w:val="005C2EB0"/>
    <w:rsid w:val="005C2F1F"/>
    <w:rsid w:val="005C32AC"/>
    <w:rsid w:val="005C33F9"/>
    <w:rsid w:val="005C34CA"/>
    <w:rsid w:val="005C3516"/>
    <w:rsid w:val="005C390E"/>
    <w:rsid w:val="005C3962"/>
    <w:rsid w:val="005C3CCB"/>
    <w:rsid w:val="005C3D64"/>
    <w:rsid w:val="005C3FE7"/>
    <w:rsid w:val="005C414C"/>
    <w:rsid w:val="005C4198"/>
    <w:rsid w:val="005C4236"/>
    <w:rsid w:val="005C432B"/>
    <w:rsid w:val="005C465E"/>
    <w:rsid w:val="005C4A1D"/>
    <w:rsid w:val="005C4B16"/>
    <w:rsid w:val="005C4BFC"/>
    <w:rsid w:val="005C4DAF"/>
    <w:rsid w:val="005C4F38"/>
    <w:rsid w:val="005C51E0"/>
    <w:rsid w:val="005C5555"/>
    <w:rsid w:val="005C5570"/>
    <w:rsid w:val="005C569D"/>
    <w:rsid w:val="005C596F"/>
    <w:rsid w:val="005C5B19"/>
    <w:rsid w:val="005C5B77"/>
    <w:rsid w:val="005C5BC0"/>
    <w:rsid w:val="005C5E33"/>
    <w:rsid w:val="005C5F96"/>
    <w:rsid w:val="005C6153"/>
    <w:rsid w:val="005C6277"/>
    <w:rsid w:val="005C644A"/>
    <w:rsid w:val="005C695D"/>
    <w:rsid w:val="005C6A8A"/>
    <w:rsid w:val="005C6B80"/>
    <w:rsid w:val="005C6BC4"/>
    <w:rsid w:val="005C6BDC"/>
    <w:rsid w:val="005C6CA8"/>
    <w:rsid w:val="005C702B"/>
    <w:rsid w:val="005C708F"/>
    <w:rsid w:val="005C70F0"/>
    <w:rsid w:val="005C730B"/>
    <w:rsid w:val="005C75B4"/>
    <w:rsid w:val="005C75BA"/>
    <w:rsid w:val="005C75E3"/>
    <w:rsid w:val="005C7A27"/>
    <w:rsid w:val="005C7D07"/>
    <w:rsid w:val="005C7D2F"/>
    <w:rsid w:val="005C7D49"/>
    <w:rsid w:val="005C7E3D"/>
    <w:rsid w:val="005C7E6A"/>
    <w:rsid w:val="005D01C2"/>
    <w:rsid w:val="005D01E2"/>
    <w:rsid w:val="005D0208"/>
    <w:rsid w:val="005D04D7"/>
    <w:rsid w:val="005D0615"/>
    <w:rsid w:val="005D0638"/>
    <w:rsid w:val="005D0805"/>
    <w:rsid w:val="005D098F"/>
    <w:rsid w:val="005D09EB"/>
    <w:rsid w:val="005D0BE5"/>
    <w:rsid w:val="005D0C4F"/>
    <w:rsid w:val="005D0DC2"/>
    <w:rsid w:val="005D11E3"/>
    <w:rsid w:val="005D1676"/>
    <w:rsid w:val="005D170E"/>
    <w:rsid w:val="005D18A0"/>
    <w:rsid w:val="005D1A14"/>
    <w:rsid w:val="005D1AB8"/>
    <w:rsid w:val="005D1AD2"/>
    <w:rsid w:val="005D1E8E"/>
    <w:rsid w:val="005D210A"/>
    <w:rsid w:val="005D23FF"/>
    <w:rsid w:val="005D2480"/>
    <w:rsid w:val="005D296B"/>
    <w:rsid w:val="005D2989"/>
    <w:rsid w:val="005D2AAE"/>
    <w:rsid w:val="005D2B10"/>
    <w:rsid w:val="005D31B1"/>
    <w:rsid w:val="005D32CA"/>
    <w:rsid w:val="005D3485"/>
    <w:rsid w:val="005D37DF"/>
    <w:rsid w:val="005D37F1"/>
    <w:rsid w:val="005D39F7"/>
    <w:rsid w:val="005D3A8F"/>
    <w:rsid w:val="005D3D06"/>
    <w:rsid w:val="005D3E65"/>
    <w:rsid w:val="005D3EFE"/>
    <w:rsid w:val="005D3F28"/>
    <w:rsid w:val="005D4044"/>
    <w:rsid w:val="005D423E"/>
    <w:rsid w:val="005D4278"/>
    <w:rsid w:val="005D4585"/>
    <w:rsid w:val="005D48C6"/>
    <w:rsid w:val="005D4CB0"/>
    <w:rsid w:val="005D4DC6"/>
    <w:rsid w:val="005D4EBC"/>
    <w:rsid w:val="005D4F6D"/>
    <w:rsid w:val="005D510E"/>
    <w:rsid w:val="005D516C"/>
    <w:rsid w:val="005D5319"/>
    <w:rsid w:val="005D5367"/>
    <w:rsid w:val="005D53F5"/>
    <w:rsid w:val="005D5416"/>
    <w:rsid w:val="005D54F4"/>
    <w:rsid w:val="005D55B7"/>
    <w:rsid w:val="005D5747"/>
    <w:rsid w:val="005D58E6"/>
    <w:rsid w:val="005D5AC6"/>
    <w:rsid w:val="005D5B12"/>
    <w:rsid w:val="005D5D1C"/>
    <w:rsid w:val="005D5F36"/>
    <w:rsid w:val="005D5FEE"/>
    <w:rsid w:val="005D6130"/>
    <w:rsid w:val="005D6142"/>
    <w:rsid w:val="005D65A9"/>
    <w:rsid w:val="005D69AC"/>
    <w:rsid w:val="005D6A36"/>
    <w:rsid w:val="005D6B03"/>
    <w:rsid w:val="005D6D97"/>
    <w:rsid w:val="005D704B"/>
    <w:rsid w:val="005D70DA"/>
    <w:rsid w:val="005D7306"/>
    <w:rsid w:val="005D75DE"/>
    <w:rsid w:val="005D76A3"/>
    <w:rsid w:val="005D7C8F"/>
    <w:rsid w:val="005D7ECE"/>
    <w:rsid w:val="005E0008"/>
    <w:rsid w:val="005E02F2"/>
    <w:rsid w:val="005E0369"/>
    <w:rsid w:val="005E054A"/>
    <w:rsid w:val="005E0733"/>
    <w:rsid w:val="005E077D"/>
    <w:rsid w:val="005E0874"/>
    <w:rsid w:val="005E090B"/>
    <w:rsid w:val="005E0CEE"/>
    <w:rsid w:val="005E0D76"/>
    <w:rsid w:val="005E0F6E"/>
    <w:rsid w:val="005E10CE"/>
    <w:rsid w:val="005E110D"/>
    <w:rsid w:val="005E124B"/>
    <w:rsid w:val="005E1250"/>
    <w:rsid w:val="005E127C"/>
    <w:rsid w:val="005E1328"/>
    <w:rsid w:val="005E13CB"/>
    <w:rsid w:val="005E1447"/>
    <w:rsid w:val="005E17B6"/>
    <w:rsid w:val="005E1846"/>
    <w:rsid w:val="005E1AE8"/>
    <w:rsid w:val="005E1B56"/>
    <w:rsid w:val="005E1CF5"/>
    <w:rsid w:val="005E1DFF"/>
    <w:rsid w:val="005E1E5B"/>
    <w:rsid w:val="005E2007"/>
    <w:rsid w:val="005E22D0"/>
    <w:rsid w:val="005E232E"/>
    <w:rsid w:val="005E25B4"/>
    <w:rsid w:val="005E2E8A"/>
    <w:rsid w:val="005E32A2"/>
    <w:rsid w:val="005E334E"/>
    <w:rsid w:val="005E344E"/>
    <w:rsid w:val="005E351F"/>
    <w:rsid w:val="005E36F7"/>
    <w:rsid w:val="005E3761"/>
    <w:rsid w:val="005E38AF"/>
    <w:rsid w:val="005E3909"/>
    <w:rsid w:val="005E3944"/>
    <w:rsid w:val="005E3B44"/>
    <w:rsid w:val="005E3B76"/>
    <w:rsid w:val="005E3C05"/>
    <w:rsid w:val="005E3CBE"/>
    <w:rsid w:val="005E3FAA"/>
    <w:rsid w:val="005E41E2"/>
    <w:rsid w:val="005E4261"/>
    <w:rsid w:val="005E4340"/>
    <w:rsid w:val="005E44A4"/>
    <w:rsid w:val="005E4785"/>
    <w:rsid w:val="005E48A5"/>
    <w:rsid w:val="005E4D1C"/>
    <w:rsid w:val="005E4EE9"/>
    <w:rsid w:val="005E4F87"/>
    <w:rsid w:val="005E4FEA"/>
    <w:rsid w:val="005E5012"/>
    <w:rsid w:val="005E5134"/>
    <w:rsid w:val="005E5395"/>
    <w:rsid w:val="005E5596"/>
    <w:rsid w:val="005E5B49"/>
    <w:rsid w:val="005E5B9B"/>
    <w:rsid w:val="005E5C86"/>
    <w:rsid w:val="005E63B5"/>
    <w:rsid w:val="005E6438"/>
    <w:rsid w:val="005E644D"/>
    <w:rsid w:val="005E6906"/>
    <w:rsid w:val="005E69AB"/>
    <w:rsid w:val="005E6AFF"/>
    <w:rsid w:val="005E6E05"/>
    <w:rsid w:val="005E6E23"/>
    <w:rsid w:val="005E7128"/>
    <w:rsid w:val="005E7393"/>
    <w:rsid w:val="005E7435"/>
    <w:rsid w:val="005E7467"/>
    <w:rsid w:val="005E77D0"/>
    <w:rsid w:val="005E79E0"/>
    <w:rsid w:val="005E7B6C"/>
    <w:rsid w:val="005E7C11"/>
    <w:rsid w:val="005E7C8A"/>
    <w:rsid w:val="005E7FBA"/>
    <w:rsid w:val="005F071E"/>
    <w:rsid w:val="005F07EC"/>
    <w:rsid w:val="005F0A86"/>
    <w:rsid w:val="005F0CD8"/>
    <w:rsid w:val="005F0D3B"/>
    <w:rsid w:val="005F0EB2"/>
    <w:rsid w:val="005F0FD5"/>
    <w:rsid w:val="005F107E"/>
    <w:rsid w:val="005F1253"/>
    <w:rsid w:val="005F14EC"/>
    <w:rsid w:val="005F152D"/>
    <w:rsid w:val="005F1559"/>
    <w:rsid w:val="005F16FE"/>
    <w:rsid w:val="005F1702"/>
    <w:rsid w:val="005F1734"/>
    <w:rsid w:val="005F197E"/>
    <w:rsid w:val="005F1A9F"/>
    <w:rsid w:val="005F1B6A"/>
    <w:rsid w:val="005F1F68"/>
    <w:rsid w:val="005F1F7B"/>
    <w:rsid w:val="005F202A"/>
    <w:rsid w:val="005F2284"/>
    <w:rsid w:val="005F2420"/>
    <w:rsid w:val="005F248F"/>
    <w:rsid w:val="005F2855"/>
    <w:rsid w:val="005F28A8"/>
    <w:rsid w:val="005F28C3"/>
    <w:rsid w:val="005F2B61"/>
    <w:rsid w:val="005F2F9D"/>
    <w:rsid w:val="005F30F5"/>
    <w:rsid w:val="005F3227"/>
    <w:rsid w:val="005F3245"/>
    <w:rsid w:val="005F3281"/>
    <w:rsid w:val="005F33CA"/>
    <w:rsid w:val="005F356E"/>
    <w:rsid w:val="005F368B"/>
    <w:rsid w:val="005F39DF"/>
    <w:rsid w:val="005F3D0C"/>
    <w:rsid w:val="005F3D1B"/>
    <w:rsid w:val="005F3D7C"/>
    <w:rsid w:val="005F3E11"/>
    <w:rsid w:val="005F3EDA"/>
    <w:rsid w:val="005F4052"/>
    <w:rsid w:val="005F424F"/>
    <w:rsid w:val="005F426A"/>
    <w:rsid w:val="005F43A2"/>
    <w:rsid w:val="005F44C7"/>
    <w:rsid w:val="005F485B"/>
    <w:rsid w:val="005F4891"/>
    <w:rsid w:val="005F4974"/>
    <w:rsid w:val="005F4A32"/>
    <w:rsid w:val="005F4A76"/>
    <w:rsid w:val="005F4B33"/>
    <w:rsid w:val="005F4BAA"/>
    <w:rsid w:val="005F522A"/>
    <w:rsid w:val="005F53AB"/>
    <w:rsid w:val="005F561E"/>
    <w:rsid w:val="005F56E5"/>
    <w:rsid w:val="005F5938"/>
    <w:rsid w:val="005F5DA2"/>
    <w:rsid w:val="005F61C1"/>
    <w:rsid w:val="005F64D8"/>
    <w:rsid w:val="005F6C78"/>
    <w:rsid w:val="005F710B"/>
    <w:rsid w:val="005F7372"/>
    <w:rsid w:val="005F7431"/>
    <w:rsid w:val="005F75DF"/>
    <w:rsid w:val="005F7886"/>
    <w:rsid w:val="005F7C18"/>
    <w:rsid w:val="005F7DD6"/>
    <w:rsid w:val="00600393"/>
    <w:rsid w:val="0060069F"/>
    <w:rsid w:val="006008A1"/>
    <w:rsid w:val="00600C6C"/>
    <w:rsid w:val="00600E08"/>
    <w:rsid w:val="00601198"/>
    <w:rsid w:val="00601487"/>
    <w:rsid w:val="00601638"/>
    <w:rsid w:val="006016E5"/>
    <w:rsid w:val="00601865"/>
    <w:rsid w:val="006019C2"/>
    <w:rsid w:val="00601DBF"/>
    <w:rsid w:val="0060201B"/>
    <w:rsid w:val="0060213B"/>
    <w:rsid w:val="0060214A"/>
    <w:rsid w:val="00602202"/>
    <w:rsid w:val="00602421"/>
    <w:rsid w:val="0060265B"/>
    <w:rsid w:val="0060266A"/>
    <w:rsid w:val="00602915"/>
    <w:rsid w:val="00602BF5"/>
    <w:rsid w:val="00602E50"/>
    <w:rsid w:val="00602F1E"/>
    <w:rsid w:val="00603180"/>
    <w:rsid w:val="00603218"/>
    <w:rsid w:val="006033C1"/>
    <w:rsid w:val="0060359A"/>
    <w:rsid w:val="006035DC"/>
    <w:rsid w:val="0060376A"/>
    <w:rsid w:val="00603971"/>
    <w:rsid w:val="006039A1"/>
    <w:rsid w:val="00603CB9"/>
    <w:rsid w:val="00603D51"/>
    <w:rsid w:val="006040CC"/>
    <w:rsid w:val="00604444"/>
    <w:rsid w:val="006044B8"/>
    <w:rsid w:val="006045FF"/>
    <w:rsid w:val="006047D8"/>
    <w:rsid w:val="0060492C"/>
    <w:rsid w:val="00604A70"/>
    <w:rsid w:val="00604A9C"/>
    <w:rsid w:val="00604BF1"/>
    <w:rsid w:val="00604CF6"/>
    <w:rsid w:val="00604D09"/>
    <w:rsid w:val="00604EA0"/>
    <w:rsid w:val="0060529B"/>
    <w:rsid w:val="006052DA"/>
    <w:rsid w:val="0060570E"/>
    <w:rsid w:val="00605B64"/>
    <w:rsid w:val="00605B69"/>
    <w:rsid w:val="006061AC"/>
    <w:rsid w:val="00606210"/>
    <w:rsid w:val="006066BD"/>
    <w:rsid w:val="006067B2"/>
    <w:rsid w:val="00606907"/>
    <w:rsid w:val="00606D05"/>
    <w:rsid w:val="00606D6B"/>
    <w:rsid w:val="00606EC6"/>
    <w:rsid w:val="006070E5"/>
    <w:rsid w:val="0060712D"/>
    <w:rsid w:val="006071FB"/>
    <w:rsid w:val="00607275"/>
    <w:rsid w:val="006072E4"/>
    <w:rsid w:val="00607843"/>
    <w:rsid w:val="00607B51"/>
    <w:rsid w:val="00607B9D"/>
    <w:rsid w:val="00607D02"/>
    <w:rsid w:val="00607DD0"/>
    <w:rsid w:val="0061010E"/>
    <w:rsid w:val="00610980"/>
    <w:rsid w:val="00610CE1"/>
    <w:rsid w:val="00610EDA"/>
    <w:rsid w:val="00610F17"/>
    <w:rsid w:val="0061102C"/>
    <w:rsid w:val="00611335"/>
    <w:rsid w:val="0061139C"/>
    <w:rsid w:val="00611432"/>
    <w:rsid w:val="006116E5"/>
    <w:rsid w:val="0061190B"/>
    <w:rsid w:val="006119C1"/>
    <w:rsid w:val="00611AA7"/>
    <w:rsid w:val="00611B77"/>
    <w:rsid w:val="006120C3"/>
    <w:rsid w:val="0061263D"/>
    <w:rsid w:val="00612743"/>
    <w:rsid w:val="006127B4"/>
    <w:rsid w:val="00612831"/>
    <w:rsid w:val="00612A6F"/>
    <w:rsid w:val="00612B7B"/>
    <w:rsid w:val="00612D90"/>
    <w:rsid w:val="00613422"/>
    <w:rsid w:val="006136E7"/>
    <w:rsid w:val="00613B1A"/>
    <w:rsid w:val="00613D92"/>
    <w:rsid w:val="00613E1E"/>
    <w:rsid w:val="00614107"/>
    <w:rsid w:val="00614189"/>
    <w:rsid w:val="006142F4"/>
    <w:rsid w:val="006144F6"/>
    <w:rsid w:val="0061460B"/>
    <w:rsid w:val="00614766"/>
    <w:rsid w:val="00614907"/>
    <w:rsid w:val="00614AF9"/>
    <w:rsid w:val="0061529D"/>
    <w:rsid w:val="00615449"/>
    <w:rsid w:val="006155B6"/>
    <w:rsid w:val="00615B50"/>
    <w:rsid w:val="00615D20"/>
    <w:rsid w:val="00615D21"/>
    <w:rsid w:val="00615ECB"/>
    <w:rsid w:val="0061607D"/>
    <w:rsid w:val="00616368"/>
    <w:rsid w:val="0061647E"/>
    <w:rsid w:val="006164C1"/>
    <w:rsid w:val="006164C7"/>
    <w:rsid w:val="006165BD"/>
    <w:rsid w:val="00616771"/>
    <w:rsid w:val="006167F0"/>
    <w:rsid w:val="00616998"/>
    <w:rsid w:val="00616A44"/>
    <w:rsid w:val="00616AFB"/>
    <w:rsid w:val="00616B62"/>
    <w:rsid w:val="00616B88"/>
    <w:rsid w:val="00616BD5"/>
    <w:rsid w:val="00616C47"/>
    <w:rsid w:val="00616E3B"/>
    <w:rsid w:val="006170E6"/>
    <w:rsid w:val="00617136"/>
    <w:rsid w:val="00617429"/>
    <w:rsid w:val="0061748B"/>
    <w:rsid w:val="00617878"/>
    <w:rsid w:val="0061794B"/>
    <w:rsid w:val="0061797A"/>
    <w:rsid w:val="00620216"/>
    <w:rsid w:val="00620314"/>
    <w:rsid w:val="006203ED"/>
    <w:rsid w:val="0062042C"/>
    <w:rsid w:val="0062045E"/>
    <w:rsid w:val="00620AC6"/>
    <w:rsid w:val="00620B5C"/>
    <w:rsid w:val="00620F74"/>
    <w:rsid w:val="006210C7"/>
    <w:rsid w:val="006213AB"/>
    <w:rsid w:val="006218CB"/>
    <w:rsid w:val="00621A79"/>
    <w:rsid w:val="00621A88"/>
    <w:rsid w:val="00621DDF"/>
    <w:rsid w:val="00622617"/>
    <w:rsid w:val="00622784"/>
    <w:rsid w:val="00622811"/>
    <w:rsid w:val="00622891"/>
    <w:rsid w:val="00622BD5"/>
    <w:rsid w:val="00622C06"/>
    <w:rsid w:val="00622EE9"/>
    <w:rsid w:val="00622F8C"/>
    <w:rsid w:val="006233FC"/>
    <w:rsid w:val="00623756"/>
    <w:rsid w:val="00623A8B"/>
    <w:rsid w:val="006241F8"/>
    <w:rsid w:val="0062440C"/>
    <w:rsid w:val="00624650"/>
    <w:rsid w:val="006247E3"/>
    <w:rsid w:val="00624C2C"/>
    <w:rsid w:val="00624CCC"/>
    <w:rsid w:val="00624FF3"/>
    <w:rsid w:val="00625379"/>
    <w:rsid w:val="006253BD"/>
    <w:rsid w:val="006254D0"/>
    <w:rsid w:val="00625C61"/>
    <w:rsid w:val="00625D1B"/>
    <w:rsid w:val="00625D8F"/>
    <w:rsid w:val="006263EF"/>
    <w:rsid w:val="0062683A"/>
    <w:rsid w:val="006269C9"/>
    <w:rsid w:val="00626CC1"/>
    <w:rsid w:val="0062716A"/>
    <w:rsid w:val="006276EE"/>
    <w:rsid w:val="0062774F"/>
    <w:rsid w:val="006300EB"/>
    <w:rsid w:val="00630414"/>
    <w:rsid w:val="006304E6"/>
    <w:rsid w:val="006304EB"/>
    <w:rsid w:val="006309F1"/>
    <w:rsid w:val="006309F3"/>
    <w:rsid w:val="00630B09"/>
    <w:rsid w:val="00630C18"/>
    <w:rsid w:val="006311A6"/>
    <w:rsid w:val="006312DC"/>
    <w:rsid w:val="0063130A"/>
    <w:rsid w:val="006315E1"/>
    <w:rsid w:val="006315F7"/>
    <w:rsid w:val="00631981"/>
    <w:rsid w:val="006319F0"/>
    <w:rsid w:val="00631BEE"/>
    <w:rsid w:val="00631C1D"/>
    <w:rsid w:val="00631D39"/>
    <w:rsid w:val="00632076"/>
    <w:rsid w:val="00632175"/>
    <w:rsid w:val="006321BF"/>
    <w:rsid w:val="006321C6"/>
    <w:rsid w:val="006322CA"/>
    <w:rsid w:val="006324A2"/>
    <w:rsid w:val="006324AB"/>
    <w:rsid w:val="006325FD"/>
    <w:rsid w:val="00632639"/>
    <w:rsid w:val="00632B5B"/>
    <w:rsid w:val="00632DB2"/>
    <w:rsid w:val="0063315E"/>
    <w:rsid w:val="00633330"/>
    <w:rsid w:val="006333B6"/>
    <w:rsid w:val="006336CB"/>
    <w:rsid w:val="00633725"/>
    <w:rsid w:val="0063374C"/>
    <w:rsid w:val="006337E2"/>
    <w:rsid w:val="00633801"/>
    <w:rsid w:val="00633857"/>
    <w:rsid w:val="00633BE9"/>
    <w:rsid w:val="00633C31"/>
    <w:rsid w:val="00633C39"/>
    <w:rsid w:val="00634037"/>
    <w:rsid w:val="00634486"/>
    <w:rsid w:val="00634608"/>
    <w:rsid w:val="00634ABC"/>
    <w:rsid w:val="00634C34"/>
    <w:rsid w:val="00635037"/>
    <w:rsid w:val="00635160"/>
    <w:rsid w:val="0063520F"/>
    <w:rsid w:val="00635404"/>
    <w:rsid w:val="00635409"/>
    <w:rsid w:val="00635410"/>
    <w:rsid w:val="006357FF"/>
    <w:rsid w:val="00635897"/>
    <w:rsid w:val="00635922"/>
    <w:rsid w:val="00635A26"/>
    <w:rsid w:val="00635AB0"/>
    <w:rsid w:val="00635D1B"/>
    <w:rsid w:val="0063603F"/>
    <w:rsid w:val="006368FB"/>
    <w:rsid w:val="00636A70"/>
    <w:rsid w:val="00636A7A"/>
    <w:rsid w:val="00636A92"/>
    <w:rsid w:val="00636C86"/>
    <w:rsid w:val="00636DFC"/>
    <w:rsid w:val="00637193"/>
    <w:rsid w:val="00637245"/>
    <w:rsid w:val="0063724D"/>
    <w:rsid w:val="00637381"/>
    <w:rsid w:val="006373AF"/>
    <w:rsid w:val="006373CD"/>
    <w:rsid w:val="006375A1"/>
    <w:rsid w:val="006375C6"/>
    <w:rsid w:val="00637629"/>
    <w:rsid w:val="006378A7"/>
    <w:rsid w:val="00637C14"/>
    <w:rsid w:val="00637E62"/>
    <w:rsid w:val="00637E6B"/>
    <w:rsid w:val="00637F84"/>
    <w:rsid w:val="00640111"/>
    <w:rsid w:val="006402B6"/>
    <w:rsid w:val="00640325"/>
    <w:rsid w:val="0064034B"/>
    <w:rsid w:val="00640378"/>
    <w:rsid w:val="00640610"/>
    <w:rsid w:val="00640768"/>
    <w:rsid w:val="006407C3"/>
    <w:rsid w:val="0064088A"/>
    <w:rsid w:val="00640B61"/>
    <w:rsid w:val="00640D23"/>
    <w:rsid w:val="00640DA1"/>
    <w:rsid w:val="00640E7C"/>
    <w:rsid w:val="006416BE"/>
    <w:rsid w:val="006417D2"/>
    <w:rsid w:val="00641855"/>
    <w:rsid w:val="00641F77"/>
    <w:rsid w:val="00642087"/>
    <w:rsid w:val="0064217B"/>
    <w:rsid w:val="00642326"/>
    <w:rsid w:val="0064244E"/>
    <w:rsid w:val="0064276D"/>
    <w:rsid w:val="006428BB"/>
    <w:rsid w:val="00642A5F"/>
    <w:rsid w:val="00642B2F"/>
    <w:rsid w:val="00642BB5"/>
    <w:rsid w:val="00642CA9"/>
    <w:rsid w:val="00642F54"/>
    <w:rsid w:val="00643148"/>
    <w:rsid w:val="006431F5"/>
    <w:rsid w:val="00643479"/>
    <w:rsid w:val="00643646"/>
    <w:rsid w:val="00643963"/>
    <w:rsid w:val="00643BFE"/>
    <w:rsid w:val="00643CCA"/>
    <w:rsid w:val="00643D25"/>
    <w:rsid w:val="00643DB9"/>
    <w:rsid w:val="00643E04"/>
    <w:rsid w:val="00643ED4"/>
    <w:rsid w:val="00643F31"/>
    <w:rsid w:val="0064406D"/>
    <w:rsid w:val="006444B4"/>
    <w:rsid w:val="00644655"/>
    <w:rsid w:val="006452DA"/>
    <w:rsid w:val="00645355"/>
    <w:rsid w:val="006454BF"/>
    <w:rsid w:val="00645B04"/>
    <w:rsid w:val="00645C23"/>
    <w:rsid w:val="00645D2F"/>
    <w:rsid w:val="00645D7C"/>
    <w:rsid w:val="00645FB2"/>
    <w:rsid w:val="00645FDF"/>
    <w:rsid w:val="006466F6"/>
    <w:rsid w:val="006469C5"/>
    <w:rsid w:val="00646CA0"/>
    <w:rsid w:val="00646E52"/>
    <w:rsid w:val="00646EEB"/>
    <w:rsid w:val="00646FC9"/>
    <w:rsid w:val="00647042"/>
    <w:rsid w:val="006470AE"/>
    <w:rsid w:val="00647457"/>
    <w:rsid w:val="00647774"/>
    <w:rsid w:val="006478EA"/>
    <w:rsid w:val="00647BE3"/>
    <w:rsid w:val="00647CCC"/>
    <w:rsid w:val="00647D1D"/>
    <w:rsid w:val="00647DFD"/>
    <w:rsid w:val="006501E4"/>
    <w:rsid w:val="0065093B"/>
    <w:rsid w:val="00651113"/>
    <w:rsid w:val="00651584"/>
    <w:rsid w:val="00651627"/>
    <w:rsid w:val="006516F7"/>
    <w:rsid w:val="006517B4"/>
    <w:rsid w:val="00651833"/>
    <w:rsid w:val="006519E4"/>
    <w:rsid w:val="00651D3E"/>
    <w:rsid w:val="0065229E"/>
    <w:rsid w:val="006523B8"/>
    <w:rsid w:val="00652649"/>
    <w:rsid w:val="006526C7"/>
    <w:rsid w:val="0065279E"/>
    <w:rsid w:val="00652873"/>
    <w:rsid w:val="00652A44"/>
    <w:rsid w:val="00652C98"/>
    <w:rsid w:val="00652DA0"/>
    <w:rsid w:val="00652E08"/>
    <w:rsid w:val="00652EB0"/>
    <w:rsid w:val="00652EDC"/>
    <w:rsid w:val="00653022"/>
    <w:rsid w:val="006536AF"/>
    <w:rsid w:val="00653A03"/>
    <w:rsid w:val="00653BB0"/>
    <w:rsid w:val="00653D1F"/>
    <w:rsid w:val="00653D99"/>
    <w:rsid w:val="00653E82"/>
    <w:rsid w:val="00653F7A"/>
    <w:rsid w:val="00654023"/>
    <w:rsid w:val="006541F8"/>
    <w:rsid w:val="006542A1"/>
    <w:rsid w:val="0065443E"/>
    <w:rsid w:val="006545EE"/>
    <w:rsid w:val="006546A7"/>
    <w:rsid w:val="00654803"/>
    <w:rsid w:val="00654845"/>
    <w:rsid w:val="0065488B"/>
    <w:rsid w:val="00654A6C"/>
    <w:rsid w:val="00654F9E"/>
    <w:rsid w:val="00655015"/>
    <w:rsid w:val="006550A8"/>
    <w:rsid w:val="00655396"/>
    <w:rsid w:val="0065553B"/>
    <w:rsid w:val="00655628"/>
    <w:rsid w:val="0065572D"/>
    <w:rsid w:val="006557BB"/>
    <w:rsid w:val="006558CA"/>
    <w:rsid w:val="00655D7D"/>
    <w:rsid w:val="00656160"/>
    <w:rsid w:val="006563FD"/>
    <w:rsid w:val="00656679"/>
    <w:rsid w:val="006567C8"/>
    <w:rsid w:val="00656AB8"/>
    <w:rsid w:val="00656D59"/>
    <w:rsid w:val="006575F5"/>
    <w:rsid w:val="006577CA"/>
    <w:rsid w:val="00657951"/>
    <w:rsid w:val="0065799D"/>
    <w:rsid w:val="006579A8"/>
    <w:rsid w:val="00657B6D"/>
    <w:rsid w:val="00657CAF"/>
    <w:rsid w:val="00657D8C"/>
    <w:rsid w:val="00657E0A"/>
    <w:rsid w:val="00660028"/>
    <w:rsid w:val="00660334"/>
    <w:rsid w:val="0066045B"/>
    <w:rsid w:val="006606A8"/>
    <w:rsid w:val="006606FF"/>
    <w:rsid w:val="00660707"/>
    <w:rsid w:val="00660A54"/>
    <w:rsid w:val="00660A85"/>
    <w:rsid w:val="00660B72"/>
    <w:rsid w:val="00660BBD"/>
    <w:rsid w:val="00660C06"/>
    <w:rsid w:val="00660E9D"/>
    <w:rsid w:val="00660FA2"/>
    <w:rsid w:val="00661112"/>
    <w:rsid w:val="006614CE"/>
    <w:rsid w:val="0066158C"/>
    <w:rsid w:val="006615ED"/>
    <w:rsid w:val="006618FB"/>
    <w:rsid w:val="006619EE"/>
    <w:rsid w:val="00661A7C"/>
    <w:rsid w:val="00661B64"/>
    <w:rsid w:val="00661B6D"/>
    <w:rsid w:val="00661C11"/>
    <w:rsid w:val="00661DA6"/>
    <w:rsid w:val="00661F69"/>
    <w:rsid w:val="00661FCB"/>
    <w:rsid w:val="00662187"/>
    <w:rsid w:val="00662264"/>
    <w:rsid w:val="006625A2"/>
    <w:rsid w:val="00662648"/>
    <w:rsid w:val="006626EE"/>
    <w:rsid w:val="00662777"/>
    <w:rsid w:val="00662926"/>
    <w:rsid w:val="00662E5C"/>
    <w:rsid w:val="00663067"/>
    <w:rsid w:val="00663109"/>
    <w:rsid w:val="00663559"/>
    <w:rsid w:val="0066383A"/>
    <w:rsid w:val="00663949"/>
    <w:rsid w:val="00663E6B"/>
    <w:rsid w:val="00663F73"/>
    <w:rsid w:val="00664907"/>
    <w:rsid w:val="006649FD"/>
    <w:rsid w:val="00664BC4"/>
    <w:rsid w:val="00664E01"/>
    <w:rsid w:val="00664F38"/>
    <w:rsid w:val="00664F8E"/>
    <w:rsid w:val="00664FEB"/>
    <w:rsid w:val="0066516C"/>
    <w:rsid w:val="006654FD"/>
    <w:rsid w:val="006655A3"/>
    <w:rsid w:val="006658F3"/>
    <w:rsid w:val="006658F4"/>
    <w:rsid w:val="00665984"/>
    <w:rsid w:val="00665CE3"/>
    <w:rsid w:val="0066602E"/>
    <w:rsid w:val="0066606A"/>
    <w:rsid w:val="0066613C"/>
    <w:rsid w:val="00666190"/>
    <w:rsid w:val="00666320"/>
    <w:rsid w:val="0066646D"/>
    <w:rsid w:val="0066656F"/>
    <w:rsid w:val="0066664E"/>
    <w:rsid w:val="00666C1B"/>
    <w:rsid w:val="00666C39"/>
    <w:rsid w:val="00666DBD"/>
    <w:rsid w:val="00666F08"/>
    <w:rsid w:val="006670CC"/>
    <w:rsid w:val="00667310"/>
    <w:rsid w:val="006675D3"/>
    <w:rsid w:val="006675FB"/>
    <w:rsid w:val="00667682"/>
    <w:rsid w:val="00667760"/>
    <w:rsid w:val="006677D9"/>
    <w:rsid w:val="00667D77"/>
    <w:rsid w:val="00667DF2"/>
    <w:rsid w:val="00667E05"/>
    <w:rsid w:val="00667E55"/>
    <w:rsid w:val="00667FB6"/>
    <w:rsid w:val="0067000B"/>
    <w:rsid w:val="0067018E"/>
    <w:rsid w:val="00670205"/>
    <w:rsid w:val="006704B0"/>
    <w:rsid w:val="0067054D"/>
    <w:rsid w:val="006705D9"/>
    <w:rsid w:val="00670765"/>
    <w:rsid w:val="00670B81"/>
    <w:rsid w:val="00670D81"/>
    <w:rsid w:val="006710D5"/>
    <w:rsid w:val="00671652"/>
    <w:rsid w:val="006716E1"/>
    <w:rsid w:val="00671856"/>
    <w:rsid w:val="00672085"/>
    <w:rsid w:val="00672530"/>
    <w:rsid w:val="006726AD"/>
    <w:rsid w:val="0067334C"/>
    <w:rsid w:val="006737C8"/>
    <w:rsid w:val="00673851"/>
    <w:rsid w:val="00673CD2"/>
    <w:rsid w:val="00673FE2"/>
    <w:rsid w:val="006740F7"/>
    <w:rsid w:val="00674252"/>
    <w:rsid w:val="00674390"/>
    <w:rsid w:val="006743AB"/>
    <w:rsid w:val="00674476"/>
    <w:rsid w:val="006745B3"/>
    <w:rsid w:val="006748B4"/>
    <w:rsid w:val="00674A0A"/>
    <w:rsid w:val="00674BBC"/>
    <w:rsid w:val="00675588"/>
    <w:rsid w:val="00675622"/>
    <w:rsid w:val="0067563A"/>
    <w:rsid w:val="006756FD"/>
    <w:rsid w:val="006758A8"/>
    <w:rsid w:val="006759D9"/>
    <w:rsid w:val="00675B66"/>
    <w:rsid w:val="00675BD9"/>
    <w:rsid w:val="00675CFC"/>
    <w:rsid w:val="00675D46"/>
    <w:rsid w:val="00675D9D"/>
    <w:rsid w:val="00676322"/>
    <w:rsid w:val="006764A4"/>
    <w:rsid w:val="006766F3"/>
    <w:rsid w:val="00676BF3"/>
    <w:rsid w:val="00676C02"/>
    <w:rsid w:val="00676D24"/>
    <w:rsid w:val="00676F2F"/>
    <w:rsid w:val="00676FE6"/>
    <w:rsid w:val="00676FF4"/>
    <w:rsid w:val="006772FA"/>
    <w:rsid w:val="0067736C"/>
    <w:rsid w:val="006775AC"/>
    <w:rsid w:val="006776E4"/>
    <w:rsid w:val="006777EE"/>
    <w:rsid w:val="00677AFB"/>
    <w:rsid w:val="00677D28"/>
    <w:rsid w:val="00677F07"/>
    <w:rsid w:val="00677FA6"/>
    <w:rsid w:val="00680027"/>
    <w:rsid w:val="006802CD"/>
    <w:rsid w:val="00680912"/>
    <w:rsid w:val="00680A81"/>
    <w:rsid w:val="00680C83"/>
    <w:rsid w:val="00680D2B"/>
    <w:rsid w:val="00681121"/>
    <w:rsid w:val="00681269"/>
    <w:rsid w:val="006814DB"/>
    <w:rsid w:val="006816C6"/>
    <w:rsid w:val="00681CB7"/>
    <w:rsid w:val="00681D4D"/>
    <w:rsid w:val="00681E1F"/>
    <w:rsid w:val="00681E4C"/>
    <w:rsid w:val="006821C1"/>
    <w:rsid w:val="006823D4"/>
    <w:rsid w:val="0068277E"/>
    <w:rsid w:val="00682845"/>
    <w:rsid w:val="00682CC5"/>
    <w:rsid w:val="00682CCF"/>
    <w:rsid w:val="00682DF3"/>
    <w:rsid w:val="00682E30"/>
    <w:rsid w:val="00682F29"/>
    <w:rsid w:val="00683121"/>
    <w:rsid w:val="0068324B"/>
    <w:rsid w:val="00683415"/>
    <w:rsid w:val="00683700"/>
    <w:rsid w:val="0068396F"/>
    <w:rsid w:val="006841E3"/>
    <w:rsid w:val="006842D3"/>
    <w:rsid w:val="006842E6"/>
    <w:rsid w:val="006843D5"/>
    <w:rsid w:val="006843FF"/>
    <w:rsid w:val="0068449C"/>
    <w:rsid w:val="006847B0"/>
    <w:rsid w:val="006848ED"/>
    <w:rsid w:val="00684B56"/>
    <w:rsid w:val="00684C3B"/>
    <w:rsid w:val="00684D1E"/>
    <w:rsid w:val="00684DB1"/>
    <w:rsid w:val="0068517B"/>
    <w:rsid w:val="006851B2"/>
    <w:rsid w:val="0068531E"/>
    <w:rsid w:val="0068568D"/>
    <w:rsid w:val="006856DF"/>
    <w:rsid w:val="00685A03"/>
    <w:rsid w:val="00685BB0"/>
    <w:rsid w:val="00685F71"/>
    <w:rsid w:val="00685F9A"/>
    <w:rsid w:val="00686424"/>
    <w:rsid w:val="00686471"/>
    <w:rsid w:val="00686684"/>
    <w:rsid w:val="00686837"/>
    <w:rsid w:val="0068692A"/>
    <w:rsid w:val="00686931"/>
    <w:rsid w:val="00686B65"/>
    <w:rsid w:val="00686BBD"/>
    <w:rsid w:val="00686E29"/>
    <w:rsid w:val="00686EF7"/>
    <w:rsid w:val="00686F49"/>
    <w:rsid w:val="006874A7"/>
    <w:rsid w:val="00687565"/>
    <w:rsid w:val="006877DF"/>
    <w:rsid w:val="00687C3C"/>
    <w:rsid w:val="006903EC"/>
    <w:rsid w:val="0069091E"/>
    <w:rsid w:val="00690987"/>
    <w:rsid w:val="00690A5B"/>
    <w:rsid w:val="00690A97"/>
    <w:rsid w:val="00690DA1"/>
    <w:rsid w:val="00690E4E"/>
    <w:rsid w:val="00690E95"/>
    <w:rsid w:val="00690F30"/>
    <w:rsid w:val="0069115A"/>
    <w:rsid w:val="006914E1"/>
    <w:rsid w:val="00691859"/>
    <w:rsid w:val="00691960"/>
    <w:rsid w:val="00691A0C"/>
    <w:rsid w:val="00691B34"/>
    <w:rsid w:val="00691DCE"/>
    <w:rsid w:val="00691E5B"/>
    <w:rsid w:val="006925B7"/>
    <w:rsid w:val="0069292B"/>
    <w:rsid w:val="00692CDE"/>
    <w:rsid w:val="00692EEA"/>
    <w:rsid w:val="00693006"/>
    <w:rsid w:val="00693513"/>
    <w:rsid w:val="00693723"/>
    <w:rsid w:val="0069378F"/>
    <w:rsid w:val="00693812"/>
    <w:rsid w:val="006938AE"/>
    <w:rsid w:val="0069390B"/>
    <w:rsid w:val="0069392A"/>
    <w:rsid w:val="00693981"/>
    <w:rsid w:val="00693C45"/>
    <w:rsid w:val="00693CE8"/>
    <w:rsid w:val="006940B0"/>
    <w:rsid w:val="006940C1"/>
    <w:rsid w:val="00694146"/>
    <w:rsid w:val="006942D4"/>
    <w:rsid w:val="006945FE"/>
    <w:rsid w:val="00694A1C"/>
    <w:rsid w:val="00694A23"/>
    <w:rsid w:val="00694EF2"/>
    <w:rsid w:val="006951D9"/>
    <w:rsid w:val="00695509"/>
    <w:rsid w:val="006959CE"/>
    <w:rsid w:val="00695BF9"/>
    <w:rsid w:val="00695C33"/>
    <w:rsid w:val="00695D2B"/>
    <w:rsid w:val="00695D98"/>
    <w:rsid w:val="00695E69"/>
    <w:rsid w:val="00695F43"/>
    <w:rsid w:val="00696348"/>
    <w:rsid w:val="0069683A"/>
    <w:rsid w:val="0069699B"/>
    <w:rsid w:val="00696B60"/>
    <w:rsid w:val="00696CF3"/>
    <w:rsid w:val="00696D8D"/>
    <w:rsid w:val="0069759A"/>
    <w:rsid w:val="00697624"/>
    <w:rsid w:val="006976FD"/>
    <w:rsid w:val="00697822"/>
    <w:rsid w:val="006978C3"/>
    <w:rsid w:val="00697D8B"/>
    <w:rsid w:val="006A00A3"/>
    <w:rsid w:val="006A012A"/>
    <w:rsid w:val="006A02A7"/>
    <w:rsid w:val="006A0365"/>
    <w:rsid w:val="006A03A2"/>
    <w:rsid w:val="006A03CD"/>
    <w:rsid w:val="006A03F1"/>
    <w:rsid w:val="006A0444"/>
    <w:rsid w:val="006A0904"/>
    <w:rsid w:val="006A0C4F"/>
    <w:rsid w:val="006A0C85"/>
    <w:rsid w:val="006A0FB6"/>
    <w:rsid w:val="006A0FED"/>
    <w:rsid w:val="006A1160"/>
    <w:rsid w:val="006A11ED"/>
    <w:rsid w:val="006A1572"/>
    <w:rsid w:val="006A1DF6"/>
    <w:rsid w:val="006A2051"/>
    <w:rsid w:val="006A222C"/>
    <w:rsid w:val="006A22AC"/>
    <w:rsid w:val="006A22D3"/>
    <w:rsid w:val="006A2316"/>
    <w:rsid w:val="006A232F"/>
    <w:rsid w:val="006A2488"/>
    <w:rsid w:val="006A251F"/>
    <w:rsid w:val="006A252A"/>
    <w:rsid w:val="006A26D0"/>
    <w:rsid w:val="006A29FE"/>
    <w:rsid w:val="006A2BFA"/>
    <w:rsid w:val="006A31FD"/>
    <w:rsid w:val="006A34B2"/>
    <w:rsid w:val="006A353A"/>
    <w:rsid w:val="006A38E7"/>
    <w:rsid w:val="006A3974"/>
    <w:rsid w:val="006A39E0"/>
    <w:rsid w:val="006A3AD7"/>
    <w:rsid w:val="006A3F6C"/>
    <w:rsid w:val="006A44AE"/>
    <w:rsid w:val="006A4F55"/>
    <w:rsid w:val="006A5015"/>
    <w:rsid w:val="006A5143"/>
    <w:rsid w:val="006A5246"/>
    <w:rsid w:val="006A5490"/>
    <w:rsid w:val="006A5712"/>
    <w:rsid w:val="006A577A"/>
    <w:rsid w:val="006A57A8"/>
    <w:rsid w:val="006A58C1"/>
    <w:rsid w:val="006A5981"/>
    <w:rsid w:val="006A5C95"/>
    <w:rsid w:val="006A5DD0"/>
    <w:rsid w:val="006A5F40"/>
    <w:rsid w:val="006A60C3"/>
    <w:rsid w:val="006A6262"/>
    <w:rsid w:val="006A63DD"/>
    <w:rsid w:val="006A6606"/>
    <w:rsid w:val="006A66DE"/>
    <w:rsid w:val="006A6ADA"/>
    <w:rsid w:val="006A6C02"/>
    <w:rsid w:val="006A6D09"/>
    <w:rsid w:val="006A6F66"/>
    <w:rsid w:val="006A6F89"/>
    <w:rsid w:val="006A71CE"/>
    <w:rsid w:val="006A7720"/>
    <w:rsid w:val="006A7777"/>
    <w:rsid w:val="006A7835"/>
    <w:rsid w:val="006B03C4"/>
    <w:rsid w:val="006B044B"/>
    <w:rsid w:val="006B06AC"/>
    <w:rsid w:val="006B06D4"/>
    <w:rsid w:val="006B0ABE"/>
    <w:rsid w:val="006B1129"/>
    <w:rsid w:val="006B1A85"/>
    <w:rsid w:val="006B1B96"/>
    <w:rsid w:val="006B1CAC"/>
    <w:rsid w:val="006B2321"/>
    <w:rsid w:val="006B2369"/>
    <w:rsid w:val="006B2396"/>
    <w:rsid w:val="006B23E2"/>
    <w:rsid w:val="006B23EF"/>
    <w:rsid w:val="006B2457"/>
    <w:rsid w:val="006B292D"/>
    <w:rsid w:val="006B29F7"/>
    <w:rsid w:val="006B2AE8"/>
    <w:rsid w:val="006B2E76"/>
    <w:rsid w:val="006B2EDE"/>
    <w:rsid w:val="006B308F"/>
    <w:rsid w:val="006B326D"/>
    <w:rsid w:val="006B39AB"/>
    <w:rsid w:val="006B3D15"/>
    <w:rsid w:val="006B3D1F"/>
    <w:rsid w:val="006B3EAC"/>
    <w:rsid w:val="006B4105"/>
    <w:rsid w:val="006B41B4"/>
    <w:rsid w:val="006B429B"/>
    <w:rsid w:val="006B444C"/>
    <w:rsid w:val="006B44DC"/>
    <w:rsid w:val="006B467A"/>
    <w:rsid w:val="006B4763"/>
    <w:rsid w:val="006B47CF"/>
    <w:rsid w:val="006B4955"/>
    <w:rsid w:val="006B4977"/>
    <w:rsid w:val="006B4B19"/>
    <w:rsid w:val="006B4CBF"/>
    <w:rsid w:val="006B4D10"/>
    <w:rsid w:val="006B4D4A"/>
    <w:rsid w:val="006B4F28"/>
    <w:rsid w:val="006B4FB9"/>
    <w:rsid w:val="006B51A6"/>
    <w:rsid w:val="006B5233"/>
    <w:rsid w:val="006B5236"/>
    <w:rsid w:val="006B542D"/>
    <w:rsid w:val="006B575D"/>
    <w:rsid w:val="006B5A41"/>
    <w:rsid w:val="006B5ABA"/>
    <w:rsid w:val="006B5F3F"/>
    <w:rsid w:val="006B6184"/>
    <w:rsid w:val="006B634F"/>
    <w:rsid w:val="006B63DC"/>
    <w:rsid w:val="006B6567"/>
    <w:rsid w:val="006B669F"/>
    <w:rsid w:val="006B6766"/>
    <w:rsid w:val="006B6783"/>
    <w:rsid w:val="006B697E"/>
    <w:rsid w:val="006B69BE"/>
    <w:rsid w:val="006B6AAD"/>
    <w:rsid w:val="006B6E95"/>
    <w:rsid w:val="006B71B1"/>
    <w:rsid w:val="006B7278"/>
    <w:rsid w:val="006B7350"/>
    <w:rsid w:val="006B7503"/>
    <w:rsid w:val="006B777A"/>
    <w:rsid w:val="006B7A50"/>
    <w:rsid w:val="006B7C73"/>
    <w:rsid w:val="006B7D07"/>
    <w:rsid w:val="006C0217"/>
    <w:rsid w:val="006C0302"/>
    <w:rsid w:val="006C0657"/>
    <w:rsid w:val="006C08EA"/>
    <w:rsid w:val="006C0B4C"/>
    <w:rsid w:val="006C0D4D"/>
    <w:rsid w:val="006C0D90"/>
    <w:rsid w:val="006C0D9E"/>
    <w:rsid w:val="006C0E06"/>
    <w:rsid w:val="006C103F"/>
    <w:rsid w:val="006C1275"/>
    <w:rsid w:val="006C1318"/>
    <w:rsid w:val="006C142C"/>
    <w:rsid w:val="006C1554"/>
    <w:rsid w:val="006C16D3"/>
    <w:rsid w:val="006C1A8B"/>
    <w:rsid w:val="006C1AEC"/>
    <w:rsid w:val="006C1CAF"/>
    <w:rsid w:val="006C1FD2"/>
    <w:rsid w:val="006C2035"/>
    <w:rsid w:val="006C2131"/>
    <w:rsid w:val="006C2270"/>
    <w:rsid w:val="006C22EE"/>
    <w:rsid w:val="006C277D"/>
    <w:rsid w:val="006C281F"/>
    <w:rsid w:val="006C2843"/>
    <w:rsid w:val="006C28DA"/>
    <w:rsid w:val="006C2ADE"/>
    <w:rsid w:val="006C2C2E"/>
    <w:rsid w:val="006C2CA2"/>
    <w:rsid w:val="006C2D3E"/>
    <w:rsid w:val="006C2F27"/>
    <w:rsid w:val="006C30D2"/>
    <w:rsid w:val="006C317F"/>
    <w:rsid w:val="006C349F"/>
    <w:rsid w:val="006C35A1"/>
    <w:rsid w:val="006C35BE"/>
    <w:rsid w:val="006C367F"/>
    <w:rsid w:val="006C37A7"/>
    <w:rsid w:val="006C3802"/>
    <w:rsid w:val="006C383D"/>
    <w:rsid w:val="006C38DC"/>
    <w:rsid w:val="006C39C1"/>
    <w:rsid w:val="006C3B38"/>
    <w:rsid w:val="006C3D04"/>
    <w:rsid w:val="006C3DD1"/>
    <w:rsid w:val="006C3EC6"/>
    <w:rsid w:val="006C3FC9"/>
    <w:rsid w:val="006C42BB"/>
    <w:rsid w:val="006C447C"/>
    <w:rsid w:val="006C4585"/>
    <w:rsid w:val="006C45D0"/>
    <w:rsid w:val="006C45D6"/>
    <w:rsid w:val="006C4A8E"/>
    <w:rsid w:val="006C4B73"/>
    <w:rsid w:val="006C4D45"/>
    <w:rsid w:val="006C554D"/>
    <w:rsid w:val="006C5635"/>
    <w:rsid w:val="006C588A"/>
    <w:rsid w:val="006C5BB6"/>
    <w:rsid w:val="006C5BBC"/>
    <w:rsid w:val="006C5E2C"/>
    <w:rsid w:val="006C5E77"/>
    <w:rsid w:val="006C60DB"/>
    <w:rsid w:val="006C6148"/>
    <w:rsid w:val="006C61ED"/>
    <w:rsid w:val="006C6271"/>
    <w:rsid w:val="006C632F"/>
    <w:rsid w:val="006C63D2"/>
    <w:rsid w:val="006C66FF"/>
    <w:rsid w:val="006C69AB"/>
    <w:rsid w:val="006C6CF4"/>
    <w:rsid w:val="006C6DEF"/>
    <w:rsid w:val="006C6E5F"/>
    <w:rsid w:val="006C71B8"/>
    <w:rsid w:val="006C73B7"/>
    <w:rsid w:val="006C75A7"/>
    <w:rsid w:val="006C7718"/>
    <w:rsid w:val="006C7BA1"/>
    <w:rsid w:val="006C7CE3"/>
    <w:rsid w:val="006D0231"/>
    <w:rsid w:val="006D0287"/>
    <w:rsid w:val="006D0A90"/>
    <w:rsid w:val="006D0F15"/>
    <w:rsid w:val="006D0F72"/>
    <w:rsid w:val="006D0FC5"/>
    <w:rsid w:val="006D1189"/>
    <w:rsid w:val="006D11B6"/>
    <w:rsid w:val="006D199C"/>
    <w:rsid w:val="006D1EB1"/>
    <w:rsid w:val="006D2180"/>
    <w:rsid w:val="006D21D8"/>
    <w:rsid w:val="006D2345"/>
    <w:rsid w:val="006D242C"/>
    <w:rsid w:val="006D28A6"/>
    <w:rsid w:val="006D2E31"/>
    <w:rsid w:val="006D32C9"/>
    <w:rsid w:val="006D3435"/>
    <w:rsid w:val="006D37BE"/>
    <w:rsid w:val="006D38B2"/>
    <w:rsid w:val="006D38FE"/>
    <w:rsid w:val="006D3B6C"/>
    <w:rsid w:val="006D3C58"/>
    <w:rsid w:val="006D419E"/>
    <w:rsid w:val="006D4631"/>
    <w:rsid w:val="006D47E8"/>
    <w:rsid w:val="006D4ABF"/>
    <w:rsid w:val="006D4DE3"/>
    <w:rsid w:val="006D50E9"/>
    <w:rsid w:val="006D51CE"/>
    <w:rsid w:val="006D51D6"/>
    <w:rsid w:val="006D51DE"/>
    <w:rsid w:val="006D5255"/>
    <w:rsid w:val="006D5329"/>
    <w:rsid w:val="006D539C"/>
    <w:rsid w:val="006D554C"/>
    <w:rsid w:val="006D55FC"/>
    <w:rsid w:val="006D589B"/>
    <w:rsid w:val="006D59A6"/>
    <w:rsid w:val="006D5B0B"/>
    <w:rsid w:val="006D63FB"/>
    <w:rsid w:val="006D646A"/>
    <w:rsid w:val="006D648A"/>
    <w:rsid w:val="006D64B5"/>
    <w:rsid w:val="006D6504"/>
    <w:rsid w:val="006D66FD"/>
    <w:rsid w:val="006D67B8"/>
    <w:rsid w:val="006D6840"/>
    <w:rsid w:val="006D687C"/>
    <w:rsid w:val="006D6B55"/>
    <w:rsid w:val="006D6BE5"/>
    <w:rsid w:val="006D6C0F"/>
    <w:rsid w:val="006D6EF9"/>
    <w:rsid w:val="006D7000"/>
    <w:rsid w:val="006D7062"/>
    <w:rsid w:val="006D7248"/>
    <w:rsid w:val="006D7454"/>
    <w:rsid w:val="006D7AEF"/>
    <w:rsid w:val="006D7DCB"/>
    <w:rsid w:val="006E0256"/>
    <w:rsid w:val="006E0310"/>
    <w:rsid w:val="006E033B"/>
    <w:rsid w:val="006E0486"/>
    <w:rsid w:val="006E061D"/>
    <w:rsid w:val="006E0629"/>
    <w:rsid w:val="006E08B8"/>
    <w:rsid w:val="006E0AD6"/>
    <w:rsid w:val="006E0D90"/>
    <w:rsid w:val="006E10CF"/>
    <w:rsid w:val="006E1171"/>
    <w:rsid w:val="006E1184"/>
    <w:rsid w:val="006E1199"/>
    <w:rsid w:val="006E1271"/>
    <w:rsid w:val="006E16E8"/>
    <w:rsid w:val="006E1B3B"/>
    <w:rsid w:val="006E1DD7"/>
    <w:rsid w:val="006E1E0D"/>
    <w:rsid w:val="006E21F1"/>
    <w:rsid w:val="006E2394"/>
    <w:rsid w:val="006E2395"/>
    <w:rsid w:val="006E23FA"/>
    <w:rsid w:val="006E240D"/>
    <w:rsid w:val="006E244B"/>
    <w:rsid w:val="006E24BD"/>
    <w:rsid w:val="006E2501"/>
    <w:rsid w:val="006E2508"/>
    <w:rsid w:val="006E257D"/>
    <w:rsid w:val="006E28FD"/>
    <w:rsid w:val="006E29CD"/>
    <w:rsid w:val="006E2A1E"/>
    <w:rsid w:val="006E2B4B"/>
    <w:rsid w:val="006E30B7"/>
    <w:rsid w:val="006E30E1"/>
    <w:rsid w:val="006E3210"/>
    <w:rsid w:val="006E329A"/>
    <w:rsid w:val="006E32C9"/>
    <w:rsid w:val="006E365E"/>
    <w:rsid w:val="006E36E0"/>
    <w:rsid w:val="006E38E3"/>
    <w:rsid w:val="006E39F2"/>
    <w:rsid w:val="006E3EE4"/>
    <w:rsid w:val="006E41E4"/>
    <w:rsid w:val="006E45A9"/>
    <w:rsid w:val="006E4834"/>
    <w:rsid w:val="006E4A50"/>
    <w:rsid w:val="006E4C70"/>
    <w:rsid w:val="006E4D2E"/>
    <w:rsid w:val="006E4F16"/>
    <w:rsid w:val="006E528C"/>
    <w:rsid w:val="006E52BE"/>
    <w:rsid w:val="006E536D"/>
    <w:rsid w:val="006E54D4"/>
    <w:rsid w:val="006E573C"/>
    <w:rsid w:val="006E59B4"/>
    <w:rsid w:val="006E5E1F"/>
    <w:rsid w:val="006E5E52"/>
    <w:rsid w:val="006E6151"/>
    <w:rsid w:val="006E63B6"/>
    <w:rsid w:val="006E6417"/>
    <w:rsid w:val="006E67D3"/>
    <w:rsid w:val="006E69A8"/>
    <w:rsid w:val="006E6AF8"/>
    <w:rsid w:val="006E6BC4"/>
    <w:rsid w:val="006E7363"/>
    <w:rsid w:val="006E7BC8"/>
    <w:rsid w:val="006E7EFB"/>
    <w:rsid w:val="006F0223"/>
    <w:rsid w:val="006F04EB"/>
    <w:rsid w:val="006F07B4"/>
    <w:rsid w:val="006F0E60"/>
    <w:rsid w:val="006F0FD8"/>
    <w:rsid w:val="006F0FF4"/>
    <w:rsid w:val="006F15A9"/>
    <w:rsid w:val="006F1667"/>
    <w:rsid w:val="006F1689"/>
    <w:rsid w:val="006F1758"/>
    <w:rsid w:val="006F1ADC"/>
    <w:rsid w:val="006F1B59"/>
    <w:rsid w:val="006F1C5D"/>
    <w:rsid w:val="006F1C7A"/>
    <w:rsid w:val="006F1EA0"/>
    <w:rsid w:val="006F1EB3"/>
    <w:rsid w:val="006F1F31"/>
    <w:rsid w:val="006F22B9"/>
    <w:rsid w:val="006F248F"/>
    <w:rsid w:val="006F26F9"/>
    <w:rsid w:val="006F2733"/>
    <w:rsid w:val="006F2E4A"/>
    <w:rsid w:val="006F2E5E"/>
    <w:rsid w:val="006F2ECF"/>
    <w:rsid w:val="006F3218"/>
    <w:rsid w:val="006F323D"/>
    <w:rsid w:val="006F3248"/>
    <w:rsid w:val="006F3578"/>
    <w:rsid w:val="006F3948"/>
    <w:rsid w:val="006F3B8A"/>
    <w:rsid w:val="006F3BAA"/>
    <w:rsid w:val="006F3C11"/>
    <w:rsid w:val="006F3C2C"/>
    <w:rsid w:val="006F3CAA"/>
    <w:rsid w:val="006F3D7A"/>
    <w:rsid w:val="006F3DA0"/>
    <w:rsid w:val="006F3F90"/>
    <w:rsid w:val="006F40C6"/>
    <w:rsid w:val="006F4293"/>
    <w:rsid w:val="006F43A1"/>
    <w:rsid w:val="006F47DB"/>
    <w:rsid w:val="006F4AB8"/>
    <w:rsid w:val="006F4C6C"/>
    <w:rsid w:val="006F5218"/>
    <w:rsid w:val="006F52E7"/>
    <w:rsid w:val="006F564F"/>
    <w:rsid w:val="006F5910"/>
    <w:rsid w:val="006F5A89"/>
    <w:rsid w:val="006F5B93"/>
    <w:rsid w:val="006F5E72"/>
    <w:rsid w:val="006F608A"/>
    <w:rsid w:val="006F6173"/>
    <w:rsid w:val="006F64C5"/>
    <w:rsid w:val="006F659A"/>
    <w:rsid w:val="006F6659"/>
    <w:rsid w:val="006F6681"/>
    <w:rsid w:val="006F6ABC"/>
    <w:rsid w:val="006F7345"/>
    <w:rsid w:val="006F76F7"/>
    <w:rsid w:val="006F7722"/>
    <w:rsid w:val="006F7DF3"/>
    <w:rsid w:val="006F7F9B"/>
    <w:rsid w:val="007003FA"/>
    <w:rsid w:val="00700435"/>
    <w:rsid w:val="00700D20"/>
    <w:rsid w:val="00700E20"/>
    <w:rsid w:val="007012D2"/>
    <w:rsid w:val="00701314"/>
    <w:rsid w:val="00701497"/>
    <w:rsid w:val="0070167A"/>
    <w:rsid w:val="007017DE"/>
    <w:rsid w:val="007018EC"/>
    <w:rsid w:val="00701A35"/>
    <w:rsid w:val="00701B11"/>
    <w:rsid w:val="00701CD0"/>
    <w:rsid w:val="00701D3A"/>
    <w:rsid w:val="0070225F"/>
    <w:rsid w:val="007022D0"/>
    <w:rsid w:val="0070236B"/>
    <w:rsid w:val="007025CF"/>
    <w:rsid w:val="00702613"/>
    <w:rsid w:val="00702677"/>
    <w:rsid w:val="00702801"/>
    <w:rsid w:val="00702A10"/>
    <w:rsid w:val="00702A17"/>
    <w:rsid w:val="00702AE1"/>
    <w:rsid w:val="00702B42"/>
    <w:rsid w:val="00702BC9"/>
    <w:rsid w:val="00703295"/>
    <w:rsid w:val="00703809"/>
    <w:rsid w:val="00703856"/>
    <w:rsid w:val="0070392C"/>
    <w:rsid w:val="00703BE5"/>
    <w:rsid w:val="00703C6A"/>
    <w:rsid w:val="00703CEB"/>
    <w:rsid w:val="00703EBE"/>
    <w:rsid w:val="00704109"/>
    <w:rsid w:val="007042AA"/>
    <w:rsid w:val="00704546"/>
    <w:rsid w:val="00704720"/>
    <w:rsid w:val="007049CF"/>
    <w:rsid w:val="00704ACF"/>
    <w:rsid w:val="00704E0E"/>
    <w:rsid w:val="00704E44"/>
    <w:rsid w:val="00704ECD"/>
    <w:rsid w:val="00704FCE"/>
    <w:rsid w:val="007051FC"/>
    <w:rsid w:val="00705606"/>
    <w:rsid w:val="007059E2"/>
    <w:rsid w:val="007059E5"/>
    <w:rsid w:val="00705A6B"/>
    <w:rsid w:val="00705B79"/>
    <w:rsid w:val="00705C24"/>
    <w:rsid w:val="00705D38"/>
    <w:rsid w:val="00705DBB"/>
    <w:rsid w:val="00705DDF"/>
    <w:rsid w:val="007060D0"/>
    <w:rsid w:val="0070615B"/>
    <w:rsid w:val="00706926"/>
    <w:rsid w:val="007069B0"/>
    <w:rsid w:val="007069F9"/>
    <w:rsid w:val="00706B81"/>
    <w:rsid w:val="00706FBF"/>
    <w:rsid w:val="00707205"/>
    <w:rsid w:val="00707397"/>
    <w:rsid w:val="007075EA"/>
    <w:rsid w:val="0070784A"/>
    <w:rsid w:val="00707B62"/>
    <w:rsid w:val="00707BEF"/>
    <w:rsid w:val="00707D0E"/>
    <w:rsid w:val="00707D3F"/>
    <w:rsid w:val="00707F63"/>
    <w:rsid w:val="007100A6"/>
    <w:rsid w:val="00710229"/>
    <w:rsid w:val="00710292"/>
    <w:rsid w:val="0071073F"/>
    <w:rsid w:val="00710A25"/>
    <w:rsid w:val="00710B9C"/>
    <w:rsid w:val="00710BF1"/>
    <w:rsid w:val="00710CD7"/>
    <w:rsid w:val="00710DA6"/>
    <w:rsid w:val="00711262"/>
    <w:rsid w:val="0071144E"/>
    <w:rsid w:val="00711514"/>
    <w:rsid w:val="00711931"/>
    <w:rsid w:val="00711A07"/>
    <w:rsid w:val="00711CDD"/>
    <w:rsid w:val="00712079"/>
    <w:rsid w:val="007120D7"/>
    <w:rsid w:val="007121B2"/>
    <w:rsid w:val="007121B3"/>
    <w:rsid w:val="007125BA"/>
    <w:rsid w:val="007126CB"/>
    <w:rsid w:val="00712705"/>
    <w:rsid w:val="007128FE"/>
    <w:rsid w:val="00712A00"/>
    <w:rsid w:val="00712A66"/>
    <w:rsid w:val="00712B68"/>
    <w:rsid w:val="00712CF0"/>
    <w:rsid w:val="00712D90"/>
    <w:rsid w:val="00712E19"/>
    <w:rsid w:val="0071301B"/>
    <w:rsid w:val="00713129"/>
    <w:rsid w:val="0071322B"/>
    <w:rsid w:val="007136ED"/>
    <w:rsid w:val="00713801"/>
    <w:rsid w:val="00713CD2"/>
    <w:rsid w:val="00713FA4"/>
    <w:rsid w:val="007144BA"/>
    <w:rsid w:val="0071458D"/>
    <w:rsid w:val="00714617"/>
    <w:rsid w:val="007146C1"/>
    <w:rsid w:val="00714829"/>
    <w:rsid w:val="007148F4"/>
    <w:rsid w:val="00714AA8"/>
    <w:rsid w:val="00714BEB"/>
    <w:rsid w:val="00714C30"/>
    <w:rsid w:val="00715098"/>
    <w:rsid w:val="00715258"/>
    <w:rsid w:val="007152A5"/>
    <w:rsid w:val="0071538E"/>
    <w:rsid w:val="00715572"/>
    <w:rsid w:val="0071559A"/>
    <w:rsid w:val="007158A6"/>
    <w:rsid w:val="00715AF1"/>
    <w:rsid w:val="00715FA9"/>
    <w:rsid w:val="00715FE4"/>
    <w:rsid w:val="007163EA"/>
    <w:rsid w:val="007164A0"/>
    <w:rsid w:val="007167DC"/>
    <w:rsid w:val="00716847"/>
    <w:rsid w:val="0071684F"/>
    <w:rsid w:val="0071690F"/>
    <w:rsid w:val="00716D5C"/>
    <w:rsid w:val="00716EFB"/>
    <w:rsid w:val="007173E8"/>
    <w:rsid w:val="00717491"/>
    <w:rsid w:val="007174E6"/>
    <w:rsid w:val="00717675"/>
    <w:rsid w:val="00717701"/>
    <w:rsid w:val="007177FB"/>
    <w:rsid w:val="0071782A"/>
    <w:rsid w:val="00717889"/>
    <w:rsid w:val="00717AB6"/>
    <w:rsid w:val="00717D25"/>
    <w:rsid w:val="00720089"/>
    <w:rsid w:val="00720296"/>
    <w:rsid w:val="00720578"/>
    <w:rsid w:val="00720618"/>
    <w:rsid w:val="0072061A"/>
    <w:rsid w:val="0072073C"/>
    <w:rsid w:val="00720843"/>
    <w:rsid w:val="007208F3"/>
    <w:rsid w:val="0072092D"/>
    <w:rsid w:val="00720A85"/>
    <w:rsid w:val="0072112F"/>
    <w:rsid w:val="00721347"/>
    <w:rsid w:val="007215D0"/>
    <w:rsid w:val="007215EC"/>
    <w:rsid w:val="00721730"/>
    <w:rsid w:val="00721973"/>
    <w:rsid w:val="00721B52"/>
    <w:rsid w:val="00721DCC"/>
    <w:rsid w:val="00721E30"/>
    <w:rsid w:val="00721E45"/>
    <w:rsid w:val="00721E58"/>
    <w:rsid w:val="00722263"/>
    <w:rsid w:val="007225E2"/>
    <w:rsid w:val="0072278D"/>
    <w:rsid w:val="00722847"/>
    <w:rsid w:val="00722A5D"/>
    <w:rsid w:val="00722C31"/>
    <w:rsid w:val="00722E2C"/>
    <w:rsid w:val="00723082"/>
    <w:rsid w:val="007231D3"/>
    <w:rsid w:val="00723884"/>
    <w:rsid w:val="0072389F"/>
    <w:rsid w:val="007238AE"/>
    <w:rsid w:val="00723CDE"/>
    <w:rsid w:val="00723D3F"/>
    <w:rsid w:val="00723F69"/>
    <w:rsid w:val="00724646"/>
    <w:rsid w:val="00724AD4"/>
    <w:rsid w:val="00724C73"/>
    <w:rsid w:val="00725036"/>
    <w:rsid w:val="0072505F"/>
    <w:rsid w:val="00725310"/>
    <w:rsid w:val="007254BC"/>
    <w:rsid w:val="0072582B"/>
    <w:rsid w:val="007258A3"/>
    <w:rsid w:val="00725EE2"/>
    <w:rsid w:val="007266AE"/>
    <w:rsid w:val="007266E1"/>
    <w:rsid w:val="007267F7"/>
    <w:rsid w:val="0072681E"/>
    <w:rsid w:val="00726A9C"/>
    <w:rsid w:val="00726D37"/>
    <w:rsid w:val="00726E1C"/>
    <w:rsid w:val="0072730E"/>
    <w:rsid w:val="007276A4"/>
    <w:rsid w:val="0072778E"/>
    <w:rsid w:val="00727792"/>
    <w:rsid w:val="007277C3"/>
    <w:rsid w:val="00727830"/>
    <w:rsid w:val="007279B9"/>
    <w:rsid w:val="00727C68"/>
    <w:rsid w:val="007301A5"/>
    <w:rsid w:val="00730604"/>
    <w:rsid w:val="0073082C"/>
    <w:rsid w:val="00730C89"/>
    <w:rsid w:val="00730CCC"/>
    <w:rsid w:val="00730CE8"/>
    <w:rsid w:val="00730D7B"/>
    <w:rsid w:val="0073103C"/>
    <w:rsid w:val="007310BC"/>
    <w:rsid w:val="00731467"/>
    <w:rsid w:val="0073169F"/>
    <w:rsid w:val="00731721"/>
    <w:rsid w:val="00731783"/>
    <w:rsid w:val="0073189A"/>
    <w:rsid w:val="00731900"/>
    <w:rsid w:val="00731BD7"/>
    <w:rsid w:val="00731F84"/>
    <w:rsid w:val="0073202C"/>
    <w:rsid w:val="007321B2"/>
    <w:rsid w:val="00732202"/>
    <w:rsid w:val="007327FC"/>
    <w:rsid w:val="00732982"/>
    <w:rsid w:val="00732ADB"/>
    <w:rsid w:val="00732BA4"/>
    <w:rsid w:val="00732BBC"/>
    <w:rsid w:val="00732F68"/>
    <w:rsid w:val="007330DC"/>
    <w:rsid w:val="007331F8"/>
    <w:rsid w:val="007332E3"/>
    <w:rsid w:val="007333D0"/>
    <w:rsid w:val="00733AB2"/>
    <w:rsid w:val="00733DB4"/>
    <w:rsid w:val="0073417C"/>
    <w:rsid w:val="00734379"/>
    <w:rsid w:val="007344CE"/>
    <w:rsid w:val="00734532"/>
    <w:rsid w:val="00734594"/>
    <w:rsid w:val="00734645"/>
    <w:rsid w:val="0073476B"/>
    <w:rsid w:val="00734E44"/>
    <w:rsid w:val="00734FE3"/>
    <w:rsid w:val="0073553F"/>
    <w:rsid w:val="00735614"/>
    <w:rsid w:val="007357C5"/>
    <w:rsid w:val="007357D7"/>
    <w:rsid w:val="00735856"/>
    <w:rsid w:val="007358DD"/>
    <w:rsid w:val="007359F7"/>
    <w:rsid w:val="00735AE0"/>
    <w:rsid w:val="00735B36"/>
    <w:rsid w:val="00735C1E"/>
    <w:rsid w:val="00735FBB"/>
    <w:rsid w:val="00735FDF"/>
    <w:rsid w:val="00736390"/>
    <w:rsid w:val="00736460"/>
    <w:rsid w:val="007368B9"/>
    <w:rsid w:val="007368E4"/>
    <w:rsid w:val="00736B26"/>
    <w:rsid w:val="00736DA4"/>
    <w:rsid w:val="00737186"/>
    <w:rsid w:val="0073738B"/>
    <w:rsid w:val="007375DB"/>
    <w:rsid w:val="00737685"/>
    <w:rsid w:val="0073776D"/>
    <w:rsid w:val="007379EE"/>
    <w:rsid w:val="00737BA8"/>
    <w:rsid w:val="00737C4D"/>
    <w:rsid w:val="00737D21"/>
    <w:rsid w:val="00737D26"/>
    <w:rsid w:val="00737DE8"/>
    <w:rsid w:val="0074015B"/>
    <w:rsid w:val="00740465"/>
    <w:rsid w:val="0074094E"/>
    <w:rsid w:val="00740BAD"/>
    <w:rsid w:val="00740C1F"/>
    <w:rsid w:val="00740FE6"/>
    <w:rsid w:val="007410BA"/>
    <w:rsid w:val="0074134E"/>
    <w:rsid w:val="007413BB"/>
    <w:rsid w:val="00741568"/>
    <w:rsid w:val="00741726"/>
    <w:rsid w:val="00741883"/>
    <w:rsid w:val="00741AA7"/>
    <w:rsid w:val="00741C75"/>
    <w:rsid w:val="00741D19"/>
    <w:rsid w:val="0074213E"/>
    <w:rsid w:val="00742629"/>
    <w:rsid w:val="0074265E"/>
    <w:rsid w:val="00742684"/>
    <w:rsid w:val="00742AC4"/>
    <w:rsid w:val="00742C2E"/>
    <w:rsid w:val="00742C44"/>
    <w:rsid w:val="00742CFB"/>
    <w:rsid w:val="00742EE6"/>
    <w:rsid w:val="00742EE7"/>
    <w:rsid w:val="007430AD"/>
    <w:rsid w:val="0074374B"/>
    <w:rsid w:val="007438E3"/>
    <w:rsid w:val="007439FF"/>
    <w:rsid w:val="00743BD0"/>
    <w:rsid w:val="00743C27"/>
    <w:rsid w:val="007441A1"/>
    <w:rsid w:val="007442FB"/>
    <w:rsid w:val="0074470A"/>
    <w:rsid w:val="00744904"/>
    <w:rsid w:val="00744A3A"/>
    <w:rsid w:val="0074529F"/>
    <w:rsid w:val="0074560C"/>
    <w:rsid w:val="00745850"/>
    <w:rsid w:val="007458F1"/>
    <w:rsid w:val="0074593E"/>
    <w:rsid w:val="007459B2"/>
    <w:rsid w:val="00745AEB"/>
    <w:rsid w:val="007460FC"/>
    <w:rsid w:val="007461FD"/>
    <w:rsid w:val="0074632F"/>
    <w:rsid w:val="007463A2"/>
    <w:rsid w:val="00746447"/>
    <w:rsid w:val="007464BB"/>
    <w:rsid w:val="0074651A"/>
    <w:rsid w:val="0074662C"/>
    <w:rsid w:val="00746727"/>
    <w:rsid w:val="00746A33"/>
    <w:rsid w:val="00746AF5"/>
    <w:rsid w:val="00746B02"/>
    <w:rsid w:val="00746C08"/>
    <w:rsid w:val="00746DA2"/>
    <w:rsid w:val="00746ED9"/>
    <w:rsid w:val="007474A5"/>
    <w:rsid w:val="0074764D"/>
    <w:rsid w:val="00747653"/>
    <w:rsid w:val="007476DD"/>
    <w:rsid w:val="00747865"/>
    <w:rsid w:val="00747A4D"/>
    <w:rsid w:val="00747D1B"/>
    <w:rsid w:val="00747F50"/>
    <w:rsid w:val="007500A4"/>
    <w:rsid w:val="007500D9"/>
    <w:rsid w:val="007501A9"/>
    <w:rsid w:val="0075022B"/>
    <w:rsid w:val="0075035B"/>
    <w:rsid w:val="00750390"/>
    <w:rsid w:val="007504A3"/>
    <w:rsid w:val="0075075F"/>
    <w:rsid w:val="00750800"/>
    <w:rsid w:val="00750A85"/>
    <w:rsid w:val="00750ECE"/>
    <w:rsid w:val="007511AF"/>
    <w:rsid w:val="007512AE"/>
    <w:rsid w:val="0075141D"/>
    <w:rsid w:val="0075150D"/>
    <w:rsid w:val="007518C8"/>
    <w:rsid w:val="00751964"/>
    <w:rsid w:val="00751A3E"/>
    <w:rsid w:val="00751B3E"/>
    <w:rsid w:val="007523DD"/>
    <w:rsid w:val="00752937"/>
    <w:rsid w:val="00752A06"/>
    <w:rsid w:val="00752DF9"/>
    <w:rsid w:val="00752F0E"/>
    <w:rsid w:val="007530F7"/>
    <w:rsid w:val="00753474"/>
    <w:rsid w:val="007534B8"/>
    <w:rsid w:val="0075368A"/>
    <w:rsid w:val="007537E5"/>
    <w:rsid w:val="00753989"/>
    <w:rsid w:val="00753DF7"/>
    <w:rsid w:val="00753E1A"/>
    <w:rsid w:val="00754037"/>
    <w:rsid w:val="00754217"/>
    <w:rsid w:val="00754277"/>
    <w:rsid w:val="00754480"/>
    <w:rsid w:val="00754622"/>
    <w:rsid w:val="00754A61"/>
    <w:rsid w:val="00754BB7"/>
    <w:rsid w:val="00754F27"/>
    <w:rsid w:val="00755069"/>
    <w:rsid w:val="00755151"/>
    <w:rsid w:val="007555BB"/>
    <w:rsid w:val="00755766"/>
    <w:rsid w:val="00755A27"/>
    <w:rsid w:val="00755C6E"/>
    <w:rsid w:val="00755DD7"/>
    <w:rsid w:val="00755E99"/>
    <w:rsid w:val="00755F25"/>
    <w:rsid w:val="00755F66"/>
    <w:rsid w:val="00756094"/>
    <w:rsid w:val="007561FF"/>
    <w:rsid w:val="00756AC0"/>
    <w:rsid w:val="00756EF9"/>
    <w:rsid w:val="00757290"/>
    <w:rsid w:val="00757499"/>
    <w:rsid w:val="007574D4"/>
    <w:rsid w:val="007576B2"/>
    <w:rsid w:val="00757800"/>
    <w:rsid w:val="0075787E"/>
    <w:rsid w:val="00757C45"/>
    <w:rsid w:val="00757D4A"/>
    <w:rsid w:val="00757EAC"/>
    <w:rsid w:val="00757F68"/>
    <w:rsid w:val="00760177"/>
    <w:rsid w:val="007602FF"/>
    <w:rsid w:val="00760401"/>
    <w:rsid w:val="0076079F"/>
    <w:rsid w:val="0076082F"/>
    <w:rsid w:val="00760832"/>
    <w:rsid w:val="007608E9"/>
    <w:rsid w:val="007609F0"/>
    <w:rsid w:val="00760A36"/>
    <w:rsid w:val="00760F9E"/>
    <w:rsid w:val="0076164D"/>
    <w:rsid w:val="007616D1"/>
    <w:rsid w:val="0076180C"/>
    <w:rsid w:val="00761D92"/>
    <w:rsid w:val="00762145"/>
    <w:rsid w:val="007623E1"/>
    <w:rsid w:val="007625FF"/>
    <w:rsid w:val="007627F0"/>
    <w:rsid w:val="00762A83"/>
    <w:rsid w:val="00762AB0"/>
    <w:rsid w:val="00762ECB"/>
    <w:rsid w:val="007632AB"/>
    <w:rsid w:val="00763318"/>
    <w:rsid w:val="0076332E"/>
    <w:rsid w:val="0076339D"/>
    <w:rsid w:val="007636E7"/>
    <w:rsid w:val="00763790"/>
    <w:rsid w:val="0076379F"/>
    <w:rsid w:val="007643F3"/>
    <w:rsid w:val="007645D5"/>
    <w:rsid w:val="00764660"/>
    <w:rsid w:val="00764A25"/>
    <w:rsid w:val="00764DE2"/>
    <w:rsid w:val="00764E12"/>
    <w:rsid w:val="00764E94"/>
    <w:rsid w:val="00764F94"/>
    <w:rsid w:val="007652BF"/>
    <w:rsid w:val="00765305"/>
    <w:rsid w:val="0076599C"/>
    <w:rsid w:val="00765C89"/>
    <w:rsid w:val="00765D59"/>
    <w:rsid w:val="00765E87"/>
    <w:rsid w:val="007663B9"/>
    <w:rsid w:val="00766589"/>
    <w:rsid w:val="007665B8"/>
    <w:rsid w:val="007667F4"/>
    <w:rsid w:val="00766CD3"/>
    <w:rsid w:val="00766EBC"/>
    <w:rsid w:val="00766F58"/>
    <w:rsid w:val="00767139"/>
    <w:rsid w:val="007672B6"/>
    <w:rsid w:val="007672C2"/>
    <w:rsid w:val="007672D0"/>
    <w:rsid w:val="007677B2"/>
    <w:rsid w:val="007679AB"/>
    <w:rsid w:val="00767ABA"/>
    <w:rsid w:val="00767AFB"/>
    <w:rsid w:val="00767BE2"/>
    <w:rsid w:val="00770000"/>
    <w:rsid w:val="007701B7"/>
    <w:rsid w:val="00770735"/>
    <w:rsid w:val="0077092B"/>
    <w:rsid w:val="00770938"/>
    <w:rsid w:val="00770A0E"/>
    <w:rsid w:val="00770A1F"/>
    <w:rsid w:val="00770B95"/>
    <w:rsid w:val="007711C1"/>
    <w:rsid w:val="007712BB"/>
    <w:rsid w:val="00771318"/>
    <w:rsid w:val="0077155C"/>
    <w:rsid w:val="00771903"/>
    <w:rsid w:val="00771922"/>
    <w:rsid w:val="00771CEC"/>
    <w:rsid w:val="00771DD5"/>
    <w:rsid w:val="00771EAC"/>
    <w:rsid w:val="00772052"/>
    <w:rsid w:val="00772086"/>
    <w:rsid w:val="007720CE"/>
    <w:rsid w:val="00772352"/>
    <w:rsid w:val="007728F3"/>
    <w:rsid w:val="0077290B"/>
    <w:rsid w:val="00772B25"/>
    <w:rsid w:val="00772B46"/>
    <w:rsid w:val="00772EAB"/>
    <w:rsid w:val="00772EB5"/>
    <w:rsid w:val="007736B5"/>
    <w:rsid w:val="00773906"/>
    <w:rsid w:val="00773DC4"/>
    <w:rsid w:val="00773DD0"/>
    <w:rsid w:val="00773DFB"/>
    <w:rsid w:val="00773E54"/>
    <w:rsid w:val="00773E61"/>
    <w:rsid w:val="00773ECA"/>
    <w:rsid w:val="0077400D"/>
    <w:rsid w:val="0077417D"/>
    <w:rsid w:val="0077476B"/>
    <w:rsid w:val="00774786"/>
    <w:rsid w:val="0077479C"/>
    <w:rsid w:val="0077488C"/>
    <w:rsid w:val="00774A2F"/>
    <w:rsid w:val="00774C15"/>
    <w:rsid w:val="00774FCD"/>
    <w:rsid w:val="007751DD"/>
    <w:rsid w:val="00775240"/>
    <w:rsid w:val="007752FA"/>
    <w:rsid w:val="007756A8"/>
    <w:rsid w:val="0077583A"/>
    <w:rsid w:val="00775A2C"/>
    <w:rsid w:val="00775AC6"/>
    <w:rsid w:val="00775BE2"/>
    <w:rsid w:val="00775E0E"/>
    <w:rsid w:val="00775FB1"/>
    <w:rsid w:val="00775FF2"/>
    <w:rsid w:val="007763B8"/>
    <w:rsid w:val="007765EA"/>
    <w:rsid w:val="007765F0"/>
    <w:rsid w:val="00776628"/>
    <w:rsid w:val="007767EE"/>
    <w:rsid w:val="00776848"/>
    <w:rsid w:val="00776B76"/>
    <w:rsid w:val="00776DE0"/>
    <w:rsid w:val="00776EB0"/>
    <w:rsid w:val="00776EFC"/>
    <w:rsid w:val="00777167"/>
    <w:rsid w:val="00777414"/>
    <w:rsid w:val="00777779"/>
    <w:rsid w:val="00777ABB"/>
    <w:rsid w:val="00777B97"/>
    <w:rsid w:val="00777E79"/>
    <w:rsid w:val="00777E81"/>
    <w:rsid w:val="00780005"/>
    <w:rsid w:val="00780135"/>
    <w:rsid w:val="0078016E"/>
    <w:rsid w:val="00780284"/>
    <w:rsid w:val="007804C5"/>
    <w:rsid w:val="007804D0"/>
    <w:rsid w:val="00780508"/>
    <w:rsid w:val="0078055D"/>
    <w:rsid w:val="0078057B"/>
    <w:rsid w:val="00780863"/>
    <w:rsid w:val="00780C28"/>
    <w:rsid w:val="00780F06"/>
    <w:rsid w:val="007811A3"/>
    <w:rsid w:val="00781260"/>
    <w:rsid w:val="007812AC"/>
    <w:rsid w:val="00781311"/>
    <w:rsid w:val="00781605"/>
    <w:rsid w:val="00781634"/>
    <w:rsid w:val="00781879"/>
    <w:rsid w:val="00781D1E"/>
    <w:rsid w:val="00781D2B"/>
    <w:rsid w:val="0078220F"/>
    <w:rsid w:val="0078240C"/>
    <w:rsid w:val="00782431"/>
    <w:rsid w:val="0078267B"/>
    <w:rsid w:val="00782834"/>
    <w:rsid w:val="00782980"/>
    <w:rsid w:val="007829FB"/>
    <w:rsid w:val="00782A00"/>
    <w:rsid w:val="00782CC7"/>
    <w:rsid w:val="00782ECE"/>
    <w:rsid w:val="0078308E"/>
    <w:rsid w:val="00783267"/>
    <w:rsid w:val="00783277"/>
    <w:rsid w:val="007838CC"/>
    <w:rsid w:val="0078390C"/>
    <w:rsid w:val="007839D6"/>
    <w:rsid w:val="00783BDE"/>
    <w:rsid w:val="00783C29"/>
    <w:rsid w:val="00783CBC"/>
    <w:rsid w:val="00783DAA"/>
    <w:rsid w:val="00783F75"/>
    <w:rsid w:val="00784012"/>
    <w:rsid w:val="0078417C"/>
    <w:rsid w:val="00784838"/>
    <w:rsid w:val="007853DD"/>
    <w:rsid w:val="007855AE"/>
    <w:rsid w:val="00785700"/>
    <w:rsid w:val="00785782"/>
    <w:rsid w:val="007857C3"/>
    <w:rsid w:val="00785954"/>
    <w:rsid w:val="00785D8A"/>
    <w:rsid w:val="00785F9B"/>
    <w:rsid w:val="0078601B"/>
    <w:rsid w:val="007860DC"/>
    <w:rsid w:val="00786421"/>
    <w:rsid w:val="0078691F"/>
    <w:rsid w:val="00786C48"/>
    <w:rsid w:val="00786C85"/>
    <w:rsid w:val="0078700A"/>
    <w:rsid w:val="0078700F"/>
    <w:rsid w:val="007870AB"/>
    <w:rsid w:val="007873A4"/>
    <w:rsid w:val="00787587"/>
    <w:rsid w:val="007876B2"/>
    <w:rsid w:val="00787729"/>
    <w:rsid w:val="007877E3"/>
    <w:rsid w:val="00787871"/>
    <w:rsid w:val="00787967"/>
    <w:rsid w:val="00787A46"/>
    <w:rsid w:val="00787BBD"/>
    <w:rsid w:val="00787C41"/>
    <w:rsid w:val="00790004"/>
    <w:rsid w:val="00790331"/>
    <w:rsid w:val="00790430"/>
    <w:rsid w:val="00790476"/>
    <w:rsid w:val="007905B2"/>
    <w:rsid w:val="007905D6"/>
    <w:rsid w:val="00790694"/>
    <w:rsid w:val="007906AA"/>
    <w:rsid w:val="007909B9"/>
    <w:rsid w:val="007909D7"/>
    <w:rsid w:val="007909EE"/>
    <w:rsid w:val="00790CCF"/>
    <w:rsid w:val="00790EF3"/>
    <w:rsid w:val="007914AA"/>
    <w:rsid w:val="007914C3"/>
    <w:rsid w:val="00791942"/>
    <w:rsid w:val="007919D4"/>
    <w:rsid w:val="00791F17"/>
    <w:rsid w:val="00792157"/>
    <w:rsid w:val="0079286C"/>
    <w:rsid w:val="00792DCB"/>
    <w:rsid w:val="00792E1C"/>
    <w:rsid w:val="00792F64"/>
    <w:rsid w:val="00793029"/>
    <w:rsid w:val="007931FF"/>
    <w:rsid w:val="0079358E"/>
    <w:rsid w:val="007935FF"/>
    <w:rsid w:val="007936F6"/>
    <w:rsid w:val="00793783"/>
    <w:rsid w:val="00793B7D"/>
    <w:rsid w:val="00794025"/>
    <w:rsid w:val="00794538"/>
    <w:rsid w:val="0079453D"/>
    <w:rsid w:val="00794725"/>
    <w:rsid w:val="007947D9"/>
    <w:rsid w:val="007948AE"/>
    <w:rsid w:val="00794A17"/>
    <w:rsid w:val="00794AFD"/>
    <w:rsid w:val="00794B97"/>
    <w:rsid w:val="00794DED"/>
    <w:rsid w:val="00794F4E"/>
    <w:rsid w:val="007953BA"/>
    <w:rsid w:val="00795466"/>
    <w:rsid w:val="0079553B"/>
    <w:rsid w:val="00795826"/>
    <w:rsid w:val="00795842"/>
    <w:rsid w:val="007958F0"/>
    <w:rsid w:val="00795C1C"/>
    <w:rsid w:val="00795E7D"/>
    <w:rsid w:val="00795E89"/>
    <w:rsid w:val="00795FDB"/>
    <w:rsid w:val="00796071"/>
    <w:rsid w:val="007965C7"/>
    <w:rsid w:val="007967C6"/>
    <w:rsid w:val="00796837"/>
    <w:rsid w:val="00796B24"/>
    <w:rsid w:val="00796C51"/>
    <w:rsid w:val="0079730F"/>
    <w:rsid w:val="00797431"/>
    <w:rsid w:val="00797463"/>
    <w:rsid w:val="007978D8"/>
    <w:rsid w:val="00797B76"/>
    <w:rsid w:val="00797D58"/>
    <w:rsid w:val="007A000A"/>
    <w:rsid w:val="007A013A"/>
    <w:rsid w:val="007A033A"/>
    <w:rsid w:val="007A0459"/>
    <w:rsid w:val="007A04CE"/>
    <w:rsid w:val="007A055E"/>
    <w:rsid w:val="007A0564"/>
    <w:rsid w:val="007A05BE"/>
    <w:rsid w:val="007A06C9"/>
    <w:rsid w:val="007A0811"/>
    <w:rsid w:val="007A0A17"/>
    <w:rsid w:val="007A0D19"/>
    <w:rsid w:val="007A0DAE"/>
    <w:rsid w:val="007A0EE3"/>
    <w:rsid w:val="007A10CE"/>
    <w:rsid w:val="007A1290"/>
    <w:rsid w:val="007A141D"/>
    <w:rsid w:val="007A1692"/>
    <w:rsid w:val="007A1869"/>
    <w:rsid w:val="007A1DE3"/>
    <w:rsid w:val="007A1E71"/>
    <w:rsid w:val="007A208C"/>
    <w:rsid w:val="007A229B"/>
    <w:rsid w:val="007A28F6"/>
    <w:rsid w:val="007A2C3A"/>
    <w:rsid w:val="007A2F9D"/>
    <w:rsid w:val="007A2FCE"/>
    <w:rsid w:val="007A2FF8"/>
    <w:rsid w:val="007A3062"/>
    <w:rsid w:val="007A3430"/>
    <w:rsid w:val="007A364E"/>
    <w:rsid w:val="007A3DF0"/>
    <w:rsid w:val="007A42BE"/>
    <w:rsid w:val="007A42C1"/>
    <w:rsid w:val="007A4317"/>
    <w:rsid w:val="007A44E7"/>
    <w:rsid w:val="007A4546"/>
    <w:rsid w:val="007A497E"/>
    <w:rsid w:val="007A4A5F"/>
    <w:rsid w:val="007A4B93"/>
    <w:rsid w:val="007A4EEB"/>
    <w:rsid w:val="007A4F25"/>
    <w:rsid w:val="007A50A7"/>
    <w:rsid w:val="007A5150"/>
    <w:rsid w:val="007A584C"/>
    <w:rsid w:val="007A5A51"/>
    <w:rsid w:val="007A5F55"/>
    <w:rsid w:val="007A6004"/>
    <w:rsid w:val="007A62BD"/>
    <w:rsid w:val="007A63DA"/>
    <w:rsid w:val="007A6BA2"/>
    <w:rsid w:val="007A6CD1"/>
    <w:rsid w:val="007A6ECF"/>
    <w:rsid w:val="007A73EE"/>
    <w:rsid w:val="007A74AC"/>
    <w:rsid w:val="007A7B01"/>
    <w:rsid w:val="007A7B28"/>
    <w:rsid w:val="007A7BD7"/>
    <w:rsid w:val="007A7C7D"/>
    <w:rsid w:val="007A7CD4"/>
    <w:rsid w:val="007A7D10"/>
    <w:rsid w:val="007A7D25"/>
    <w:rsid w:val="007A7EEF"/>
    <w:rsid w:val="007B06A3"/>
    <w:rsid w:val="007B0BC9"/>
    <w:rsid w:val="007B0BDB"/>
    <w:rsid w:val="007B10FE"/>
    <w:rsid w:val="007B120E"/>
    <w:rsid w:val="007B127C"/>
    <w:rsid w:val="007B135B"/>
    <w:rsid w:val="007B16AB"/>
    <w:rsid w:val="007B190C"/>
    <w:rsid w:val="007B1D9E"/>
    <w:rsid w:val="007B1E56"/>
    <w:rsid w:val="007B2191"/>
    <w:rsid w:val="007B236C"/>
    <w:rsid w:val="007B2572"/>
    <w:rsid w:val="007B27D2"/>
    <w:rsid w:val="007B29B3"/>
    <w:rsid w:val="007B2DFB"/>
    <w:rsid w:val="007B2E8F"/>
    <w:rsid w:val="007B307B"/>
    <w:rsid w:val="007B31B2"/>
    <w:rsid w:val="007B31E2"/>
    <w:rsid w:val="007B35A9"/>
    <w:rsid w:val="007B35D5"/>
    <w:rsid w:val="007B3A94"/>
    <w:rsid w:val="007B3BA5"/>
    <w:rsid w:val="007B3C0D"/>
    <w:rsid w:val="007B3C22"/>
    <w:rsid w:val="007B3C4E"/>
    <w:rsid w:val="007B3E82"/>
    <w:rsid w:val="007B3EC3"/>
    <w:rsid w:val="007B3F09"/>
    <w:rsid w:val="007B3F7C"/>
    <w:rsid w:val="007B3F83"/>
    <w:rsid w:val="007B40A3"/>
    <w:rsid w:val="007B41D3"/>
    <w:rsid w:val="007B440B"/>
    <w:rsid w:val="007B4503"/>
    <w:rsid w:val="007B45D2"/>
    <w:rsid w:val="007B4791"/>
    <w:rsid w:val="007B48EE"/>
    <w:rsid w:val="007B4D16"/>
    <w:rsid w:val="007B4EB9"/>
    <w:rsid w:val="007B4FA1"/>
    <w:rsid w:val="007B52B7"/>
    <w:rsid w:val="007B5B8A"/>
    <w:rsid w:val="007B5C89"/>
    <w:rsid w:val="007B5D34"/>
    <w:rsid w:val="007B5E86"/>
    <w:rsid w:val="007B60B6"/>
    <w:rsid w:val="007B624F"/>
    <w:rsid w:val="007B6301"/>
    <w:rsid w:val="007B6504"/>
    <w:rsid w:val="007B6687"/>
    <w:rsid w:val="007B68F8"/>
    <w:rsid w:val="007B6A4D"/>
    <w:rsid w:val="007B6B2E"/>
    <w:rsid w:val="007B6DB4"/>
    <w:rsid w:val="007B6F84"/>
    <w:rsid w:val="007B701E"/>
    <w:rsid w:val="007B7713"/>
    <w:rsid w:val="007B796A"/>
    <w:rsid w:val="007B7AC5"/>
    <w:rsid w:val="007B7AE3"/>
    <w:rsid w:val="007B7E54"/>
    <w:rsid w:val="007C0351"/>
    <w:rsid w:val="007C039B"/>
    <w:rsid w:val="007C047C"/>
    <w:rsid w:val="007C0553"/>
    <w:rsid w:val="007C077C"/>
    <w:rsid w:val="007C0A48"/>
    <w:rsid w:val="007C0A59"/>
    <w:rsid w:val="007C0AD2"/>
    <w:rsid w:val="007C10C2"/>
    <w:rsid w:val="007C1167"/>
    <w:rsid w:val="007C13F8"/>
    <w:rsid w:val="007C16E1"/>
    <w:rsid w:val="007C17E3"/>
    <w:rsid w:val="007C1A01"/>
    <w:rsid w:val="007C1A73"/>
    <w:rsid w:val="007C1B04"/>
    <w:rsid w:val="007C1B8A"/>
    <w:rsid w:val="007C1C2C"/>
    <w:rsid w:val="007C1C55"/>
    <w:rsid w:val="007C1C69"/>
    <w:rsid w:val="007C1D5A"/>
    <w:rsid w:val="007C20BF"/>
    <w:rsid w:val="007C225C"/>
    <w:rsid w:val="007C2718"/>
    <w:rsid w:val="007C28DD"/>
    <w:rsid w:val="007C2A3A"/>
    <w:rsid w:val="007C30D3"/>
    <w:rsid w:val="007C31BA"/>
    <w:rsid w:val="007C31C7"/>
    <w:rsid w:val="007C3219"/>
    <w:rsid w:val="007C3238"/>
    <w:rsid w:val="007C337F"/>
    <w:rsid w:val="007C3388"/>
    <w:rsid w:val="007C36EE"/>
    <w:rsid w:val="007C3C2F"/>
    <w:rsid w:val="007C3C6C"/>
    <w:rsid w:val="007C3FC2"/>
    <w:rsid w:val="007C3FF6"/>
    <w:rsid w:val="007C40E1"/>
    <w:rsid w:val="007C431E"/>
    <w:rsid w:val="007C51BC"/>
    <w:rsid w:val="007C538E"/>
    <w:rsid w:val="007C53A4"/>
    <w:rsid w:val="007C546C"/>
    <w:rsid w:val="007C56E3"/>
    <w:rsid w:val="007C5793"/>
    <w:rsid w:val="007C57F8"/>
    <w:rsid w:val="007C595E"/>
    <w:rsid w:val="007C5C36"/>
    <w:rsid w:val="007C5E75"/>
    <w:rsid w:val="007C5E9A"/>
    <w:rsid w:val="007C5F5B"/>
    <w:rsid w:val="007C5F71"/>
    <w:rsid w:val="007C6062"/>
    <w:rsid w:val="007C6203"/>
    <w:rsid w:val="007C6482"/>
    <w:rsid w:val="007C6667"/>
    <w:rsid w:val="007C6713"/>
    <w:rsid w:val="007C685F"/>
    <w:rsid w:val="007C6B21"/>
    <w:rsid w:val="007C6B33"/>
    <w:rsid w:val="007C6CD9"/>
    <w:rsid w:val="007C6E57"/>
    <w:rsid w:val="007C6F8F"/>
    <w:rsid w:val="007C70C6"/>
    <w:rsid w:val="007C7455"/>
    <w:rsid w:val="007C7571"/>
    <w:rsid w:val="007C7981"/>
    <w:rsid w:val="007D0030"/>
    <w:rsid w:val="007D0042"/>
    <w:rsid w:val="007D005B"/>
    <w:rsid w:val="007D0212"/>
    <w:rsid w:val="007D02B3"/>
    <w:rsid w:val="007D0764"/>
    <w:rsid w:val="007D07E3"/>
    <w:rsid w:val="007D0E0C"/>
    <w:rsid w:val="007D1151"/>
    <w:rsid w:val="007D127A"/>
    <w:rsid w:val="007D1296"/>
    <w:rsid w:val="007D1322"/>
    <w:rsid w:val="007D1398"/>
    <w:rsid w:val="007D1576"/>
    <w:rsid w:val="007D1854"/>
    <w:rsid w:val="007D19E4"/>
    <w:rsid w:val="007D1B58"/>
    <w:rsid w:val="007D1EED"/>
    <w:rsid w:val="007D1F4A"/>
    <w:rsid w:val="007D1F6E"/>
    <w:rsid w:val="007D1FD6"/>
    <w:rsid w:val="007D2123"/>
    <w:rsid w:val="007D2154"/>
    <w:rsid w:val="007D232D"/>
    <w:rsid w:val="007D2826"/>
    <w:rsid w:val="007D2A99"/>
    <w:rsid w:val="007D2E66"/>
    <w:rsid w:val="007D2F44"/>
    <w:rsid w:val="007D2F4B"/>
    <w:rsid w:val="007D2FBD"/>
    <w:rsid w:val="007D3059"/>
    <w:rsid w:val="007D3686"/>
    <w:rsid w:val="007D3835"/>
    <w:rsid w:val="007D395D"/>
    <w:rsid w:val="007D3BB4"/>
    <w:rsid w:val="007D424B"/>
    <w:rsid w:val="007D427F"/>
    <w:rsid w:val="007D43D8"/>
    <w:rsid w:val="007D444F"/>
    <w:rsid w:val="007D4489"/>
    <w:rsid w:val="007D4519"/>
    <w:rsid w:val="007D4577"/>
    <w:rsid w:val="007D481C"/>
    <w:rsid w:val="007D4854"/>
    <w:rsid w:val="007D49A0"/>
    <w:rsid w:val="007D49AE"/>
    <w:rsid w:val="007D4BEB"/>
    <w:rsid w:val="007D4D46"/>
    <w:rsid w:val="007D515E"/>
    <w:rsid w:val="007D5798"/>
    <w:rsid w:val="007D596D"/>
    <w:rsid w:val="007D5C29"/>
    <w:rsid w:val="007D5D63"/>
    <w:rsid w:val="007D5F71"/>
    <w:rsid w:val="007D5F96"/>
    <w:rsid w:val="007D5FA9"/>
    <w:rsid w:val="007D653D"/>
    <w:rsid w:val="007D65F6"/>
    <w:rsid w:val="007D6972"/>
    <w:rsid w:val="007D6BF8"/>
    <w:rsid w:val="007D7044"/>
    <w:rsid w:val="007D71FA"/>
    <w:rsid w:val="007D727D"/>
    <w:rsid w:val="007D73B1"/>
    <w:rsid w:val="007D7920"/>
    <w:rsid w:val="007D7A39"/>
    <w:rsid w:val="007D7BB7"/>
    <w:rsid w:val="007D7D39"/>
    <w:rsid w:val="007D7E1D"/>
    <w:rsid w:val="007E02CF"/>
    <w:rsid w:val="007E0552"/>
    <w:rsid w:val="007E06FE"/>
    <w:rsid w:val="007E07C4"/>
    <w:rsid w:val="007E0B33"/>
    <w:rsid w:val="007E0B5B"/>
    <w:rsid w:val="007E0DA0"/>
    <w:rsid w:val="007E123F"/>
    <w:rsid w:val="007E12E0"/>
    <w:rsid w:val="007E1376"/>
    <w:rsid w:val="007E13F4"/>
    <w:rsid w:val="007E1589"/>
    <w:rsid w:val="007E1922"/>
    <w:rsid w:val="007E1947"/>
    <w:rsid w:val="007E1D2F"/>
    <w:rsid w:val="007E1EB0"/>
    <w:rsid w:val="007E223E"/>
    <w:rsid w:val="007E2245"/>
    <w:rsid w:val="007E25D4"/>
    <w:rsid w:val="007E26D5"/>
    <w:rsid w:val="007E2A61"/>
    <w:rsid w:val="007E2A9E"/>
    <w:rsid w:val="007E2DA2"/>
    <w:rsid w:val="007E313C"/>
    <w:rsid w:val="007E34B1"/>
    <w:rsid w:val="007E3796"/>
    <w:rsid w:val="007E3B4B"/>
    <w:rsid w:val="007E3EEB"/>
    <w:rsid w:val="007E404B"/>
    <w:rsid w:val="007E4298"/>
    <w:rsid w:val="007E4444"/>
    <w:rsid w:val="007E446F"/>
    <w:rsid w:val="007E4513"/>
    <w:rsid w:val="007E45AC"/>
    <w:rsid w:val="007E4858"/>
    <w:rsid w:val="007E4E36"/>
    <w:rsid w:val="007E4EAE"/>
    <w:rsid w:val="007E4F69"/>
    <w:rsid w:val="007E502D"/>
    <w:rsid w:val="007E5088"/>
    <w:rsid w:val="007E5188"/>
    <w:rsid w:val="007E51C1"/>
    <w:rsid w:val="007E5480"/>
    <w:rsid w:val="007E561E"/>
    <w:rsid w:val="007E5673"/>
    <w:rsid w:val="007E56D4"/>
    <w:rsid w:val="007E5995"/>
    <w:rsid w:val="007E5BC8"/>
    <w:rsid w:val="007E5F34"/>
    <w:rsid w:val="007E62D5"/>
    <w:rsid w:val="007E6381"/>
    <w:rsid w:val="007E6787"/>
    <w:rsid w:val="007E6900"/>
    <w:rsid w:val="007E6C14"/>
    <w:rsid w:val="007E6D41"/>
    <w:rsid w:val="007E6E95"/>
    <w:rsid w:val="007E6EE2"/>
    <w:rsid w:val="007E70AD"/>
    <w:rsid w:val="007E70BC"/>
    <w:rsid w:val="007E7319"/>
    <w:rsid w:val="007E7450"/>
    <w:rsid w:val="007E7626"/>
    <w:rsid w:val="007E7699"/>
    <w:rsid w:val="007E7958"/>
    <w:rsid w:val="007E7ED5"/>
    <w:rsid w:val="007F0910"/>
    <w:rsid w:val="007F091B"/>
    <w:rsid w:val="007F0988"/>
    <w:rsid w:val="007F09E5"/>
    <w:rsid w:val="007F0CCF"/>
    <w:rsid w:val="007F0D53"/>
    <w:rsid w:val="007F1833"/>
    <w:rsid w:val="007F1916"/>
    <w:rsid w:val="007F1931"/>
    <w:rsid w:val="007F1DAF"/>
    <w:rsid w:val="007F1E3B"/>
    <w:rsid w:val="007F1F44"/>
    <w:rsid w:val="007F2197"/>
    <w:rsid w:val="007F24BE"/>
    <w:rsid w:val="007F2DCE"/>
    <w:rsid w:val="007F2E6B"/>
    <w:rsid w:val="007F3062"/>
    <w:rsid w:val="007F3133"/>
    <w:rsid w:val="007F335E"/>
    <w:rsid w:val="007F33C3"/>
    <w:rsid w:val="007F365C"/>
    <w:rsid w:val="007F395A"/>
    <w:rsid w:val="007F3DDA"/>
    <w:rsid w:val="007F3FB8"/>
    <w:rsid w:val="007F4204"/>
    <w:rsid w:val="007F421B"/>
    <w:rsid w:val="007F43F7"/>
    <w:rsid w:val="007F45EE"/>
    <w:rsid w:val="007F47B2"/>
    <w:rsid w:val="007F48AA"/>
    <w:rsid w:val="007F4C0E"/>
    <w:rsid w:val="007F4DFA"/>
    <w:rsid w:val="007F4FA5"/>
    <w:rsid w:val="007F5210"/>
    <w:rsid w:val="007F533D"/>
    <w:rsid w:val="007F54A7"/>
    <w:rsid w:val="007F583A"/>
    <w:rsid w:val="007F5BDE"/>
    <w:rsid w:val="007F5BFB"/>
    <w:rsid w:val="007F5E4B"/>
    <w:rsid w:val="007F5E7D"/>
    <w:rsid w:val="007F5EF2"/>
    <w:rsid w:val="007F5FBA"/>
    <w:rsid w:val="007F6035"/>
    <w:rsid w:val="007F6B38"/>
    <w:rsid w:val="007F6B61"/>
    <w:rsid w:val="007F6D23"/>
    <w:rsid w:val="007F6E62"/>
    <w:rsid w:val="007F6E81"/>
    <w:rsid w:val="007F722B"/>
    <w:rsid w:val="007F743E"/>
    <w:rsid w:val="007F7564"/>
    <w:rsid w:val="007F7699"/>
    <w:rsid w:val="007F7ACE"/>
    <w:rsid w:val="007F7B57"/>
    <w:rsid w:val="007F7D4C"/>
    <w:rsid w:val="0080006A"/>
    <w:rsid w:val="008008BF"/>
    <w:rsid w:val="00800EDC"/>
    <w:rsid w:val="0080129F"/>
    <w:rsid w:val="008013FA"/>
    <w:rsid w:val="00801465"/>
    <w:rsid w:val="00801577"/>
    <w:rsid w:val="008016B4"/>
    <w:rsid w:val="008018A9"/>
    <w:rsid w:val="008018EF"/>
    <w:rsid w:val="00801B79"/>
    <w:rsid w:val="00801C73"/>
    <w:rsid w:val="00801F32"/>
    <w:rsid w:val="00801FE3"/>
    <w:rsid w:val="00802018"/>
    <w:rsid w:val="00802041"/>
    <w:rsid w:val="008021CC"/>
    <w:rsid w:val="0080280A"/>
    <w:rsid w:val="00802B2C"/>
    <w:rsid w:val="008032DC"/>
    <w:rsid w:val="008033F2"/>
    <w:rsid w:val="008034F2"/>
    <w:rsid w:val="00803688"/>
    <w:rsid w:val="00803D3B"/>
    <w:rsid w:val="00804059"/>
    <w:rsid w:val="00804538"/>
    <w:rsid w:val="008047F0"/>
    <w:rsid w:val="008048EA"/>
    <w:rsid w:val="00804945"/>
    <w:rsid w:val="00804AC3"/>
    <w:rsid w:val="00804C5D"/>
    <w:rsid w:val="00804EA8"/>
    <w:rsid w:val="008051DD"/>
    <w:rsid w:val="00805231"/>
    <w:rsid w:val="00805422"/>
    <w:rsid w:val="00805484"/>
    <w:rsid w:val="00805643"/>
    <w:rsid w:val="00805913"/>
    <w:rsid w:val="00805A57"/>
    <w:rsid w:val="00805B10"/>
    <w:rsid w:val="00805B11"/>
    <w:rsid w:val="00805B49"/>
    <w:rsid w:val="00805BBB"/>
    <w:rsid w:val="00805C5F"/>
    <w:rsid w:val="00805C84"/>
    <w:rsid w:val="00805FBC"/>
    <w:rsid w:val="00806212"/>
    <w:rsid w:val="008062C6"/>
    <w:rsid w:val="008065F7"/>
    <w:rsid w:val="00806666"/>
    <w:rsid w:val="00806846"/>
    <w:rsid w:val="0080685A"/>
    <w:rsid w:val="008068B3"/>
    <w:rsid w:val="00806A0B"/>
    <w:rsid w:val="00806B8C"/>
    <w:rsid w:val="00806BFC"/>
    <w:rsid w:val="00806C51"/>
    <w:rsid w:val="00806C55"/>
    <w:rsid w:val="00806E06"/>
    <w:rsid w:val="008071D0"/>
    <w:rsid w:val="008073A8"/>
    <w:rsid w:val="00807435"/>
    <w:rsid w:val="008076AA"/>
    <w:rsid w:val="008076D1"/>
    <w:rsid w:val="00807842"/>
    <w:rsid w:val="00807885"/>
    <w:rsid w:val="00807CB8"/>
    <w:rsid w:val="00807D02"/>
    <w:rsid w:val="00807D67"/>
    <w:rsid w:val="00807E71"/>
    <w:rsid w:val="00807FB7"/>
    <w:rsid w:val="00810134"/>
    <w:rsid w:val="0081030B"/>
    <w:rsid w:val="008104B0"/>
    <w:rsid w:val="008105B9"/>
    <w:rsid w:val="00810621"/>
    <w:rsid w:val="0081079C"/>
    <w:rsid w:val="00810947"/>
    <w:rsid w:val="00810A11"/>
    <w:rsid w:val="00810B8D"/>
    <w:rsid w:val="00810D1B"/>
    <w:rsid w:val="00810D8E"/>
    <w:rsid w:val="00810DD6"/>
    <w:rsid w:val="00810E2D"/>
    <w:rsid w:val="0081104D"/>
    <w:rsid w:val="00811199"/>
    <w:rsid w:val="00811617"/>
    <w:rsid w:val="0081161D"/>
    <w:rsid w:val="008119C5"/>
    <w:rsid w:val="008119EA"/>
    <w:rsid w:val="00811CEF"/>
    <w:rsid w:val="00811D87"/>
    <w:rsid w:val="0081219E"/>
    <w:rsid w:val="008121E5"/>
    <w:rsid w:val="00812392"/>
    <w:rsid w:val="008123DC"/>
    <w:rsid w:val="00812438"/>
    <w:rsid w:val="00812445"/>
    <w:rsid w:val="008124C8"/>
    <w:rsid w:val="008126B0"/>
    <w:rsid w:val="00812774"/>
    <w:rsid w:val="00812792"/>
    <w:rsid w:val="0081296F"/>
    <w:rsid w:val="008129A9"/>
    <w:rsid w:val="00812A4E"/>
    <w:rsid w:val="00812CEC"/>
    <w:rsid w:val="00812D9A"/>
    <w:rsid w:val="00813181"/>
    <w:rsid w:val="008132B1"/>
    <w:rsid w:val="008132D0"/>
    <w:rsid w:val="008136F2"/>
    <w:rsid w:val="0081387B"/>
    <w:rsid w:val="00813A0E"/>
    <w:rsid w:val="00814035"/>
    <w:rsid w:val="0081416D"/>
    <w:rsid w:val="008143C1"/>
    <w:rsid w:val="00814409"/>
    <w:rsid w:val="008144DD"/>
    <w:rsid w:val="00814687"/>
    <w:rsid w:val="008149AB"/>
    <w:rsid w:val="00814A60"/>
    <w:rsid w:val="00814C7E"/>
    <w:rsid w:val="00814E4A"/>
    <w:rsid w:val="008151C1"/>
    <w:rsid w:val="0081528F"/>
    <w:rsid w:val="008152AA"/>
    <w:rsid w:val="008155BA"/>
    <w:rsid w:val="008155E6"/>
    <w:rsid w:val="00815731"/>
    <w:rsid w:val="008157D5"/>
    <w:rsid w:val="00815B91"/>
    <w:rsid w:val="00815EB9"/>
    <w:rsid w:val="00815FA4"/>
    <w:rsid w:val="00816193"/>
    <w:rsid w:val="00816194"/>
    <w:rsid w:val="0081639E"/>
    <w:rsid w:val="0081652B"/>
    <w:rsid w:val="0081655F"/>
    <w:rsid w:val="008166EF"/>
    <w:rsid w:val="00816AA4"/>
    <w:rsid w:val="00816D5B"/>
    <w:rsid w:val="00816F14"/>
    <w:rsid w:val="0081759E"/>
    <w:rsid w:val="00817633"/>
    <w:rsid w:val="00817834"/>
    <w:rsid w:val="0081796E"/>
    <w:rsid w:val="00817BB3"/>
    <w:rsid w:val="00817C1C"/>
    <w:rsid w:val="00817EAC"/>
    <w:rsid w:val="0082016D"/>
    <w:rsid w:val="00820474"/>
    <w:rsid w:val="00820585"/>
    <w:rsid w:val="008205C5"/>
    <w:rsid w:val="008208E8"/>
    <w:rsid w:val="00820A76"/>
    <w:rsid w:val="00820AFD"/>
    <w:rsid w:val="00820C15"/>
    <w:rsid w:val="00820EAF"/>
    <w:rsid w:val="00821032"/>
    <w:rsid w:val="0082164C"/>
    <w:rsid w:val="00821708"/>
    <w:rsid w:val="008217A3"/>
    <w:rsid w:val="008219C9"/>
    <w:rsid w:val="008219FF"/>
    <w:rsid w:val="00821A96"/>
    <w:rsid w:val="00821C15"/>
    <w:rsid w:val="00821CD5"/>
    <w:rsid w:val="00821EC7"/>
    <w:rsid w:val="00821F1C"/>
    <w:rsid w:val="00821FFC"/>
    <w:rsid w:val="008220E9"/>
    <w:rsid w:val="0082217D"/>
    <w:rsid w:val="0082218C"/>
    <w:rsid w:val="008224CE"/>
    <w:rsid w:val="0082296C"/>
    <w:rsid w:val="0082299D"/>
    <w:rsid w:val="00822EED"/>
    <w:rsid w:val="00822F6D"/>
    <w:rsid w:val="00823196"/>
    <w:rsid w:val="0082325E"/>
    <w:rsid w:val="008232C0"/>
    <w:rsid w:val="008232D2"/>
    <w:rsid w:val="0082330F"/>
    <w:rsid w:val="00823618"/>
    <w:rsid w:val="00823734"/>
    <w:rsid w:val="00823A22"/>
    <w:rsid w:val="00823A9E"/>
    <w:rsid w:val="00823FDB"/>
    <w:rsid w:val="00824018"/>
    <w:rsid w:val="00824028"/>
    <w:rsid w:val="00824B81"/>
    <w:rsid w:val="00824D22"/>
    <w:rsid w:val="00824D7F"/>
    <w:rsid w:val="00824EEF"/>
    <w:rsid w:val="0082524F"/>
    <w:rsid w:val="008254BF"/>
    <w:rsid w:val="008255C8"/>
    <w:rsid w:val="0082568E"/>
    <w:rsid w:val="0082583F"/>
    <w:rsid w:val="00825EEA"/>
    <w:rsid w:val="00825F3D"/>
    <w:rsid w:val="0082606A"/>
    <w:rsid w:val="008260BC"/>
    <w:rsid w:val="00826232"/>
    <w:rsid w:val="008264B1"/>
    <w:rsid w:val="008266AC"/>
    <w:rsid w:val="008266BA"/>
    <w:rsid w:val="008268AC"/>
    <w:rsid w:val="008269EE"/>
    <w:rsid w:val="00826B6D"/>
    <w:rsid w:val="00826CE7"/>
    <w:rsid w:val="00827238"/>
    <w:rsid w:val="008272B0"/>
    <w:rsid w:val="008275E5"/>
    <w:rsid w:val="008277C2"/>
    <w:rsid w:val="00827862"/>
    <w:rsid w:val="008278E4"/>
    <w:rsid w:val="008279D0"/>
    <w:rsid w:val="008279FB"/>
    <w:rsid w:val="00827A81"/>
    <w:rsid w:val="00827B81"/>
    <w:rsid w:val="00827EC4"/>
    <w:rsid w:val="00830323"/>
    <w:rsid w:val="00830473"/>
    <w:rsid w:val="0083052C"/>
    <w:rsid w:val="00830623"/>
    <w:rsid w:val="00830659"/>
    <w:rsid w:val="00830A7D"/>
    <w:rsid w:val="00830E0D"/>
    <w:rsid w:val="00830F8F"/>
    <w:rsid w:val="00830FD9"/>
    <w:rsid w:val="0083135D"/>
    <w:rsid w:val="00831360"/>
    <w:rsid w:val="008314F1"/>
    <w:rsid w:val="00831511"/>
    <w:rsid w:val="00831616"/>
    <w:rsid w:val="008317E6"/>
    <w:rsid w:val="008318DA"/>
    <w:rsid w:val="008319D6"/>
    <w:rsid w:val="008320FE"/>
    <w:rsid w:val="00832232"/>
    <w:rsid w:val="00832360"/>
    <w:rsid w:val="0083269E"/>
    <w:rsid w:val="00832E3A"/>
    <w:rsid w:val="00832F58"/>
    <w:rsid w:val="00832F6D"/>
    <w:rsid w:val="008330DA"/>
    <w:rsid w:val="00833400"/>
    <w:rsid w:val="00833703"/>
    <w:rsid w:val="008337B5"/>
    <w:rsid w:val="00833857"/>
    <w:rsid w:val="00833DA7"/>
    <w:rsid w:val="00833DF1"/>
    <w:rsid w:val="008340CD"/>
    <w:rsid w:val="008341B1"/>
    <w:rsid w:val="008342F1"/>
    <w:rsid w:val="00834630"/>
    <w:rsid w:val="008347A6"/>
    <w:rsid w:val="008348C8"/>
    <w:rsid w:val="008349D9"/>
    <w:rsid w:val="00834C4E"/>
    <w:rsid w:val="00834D39"/>
    <w:rsid w:val="00834FDD"/>
    <w:rsid w:val="008364A2"/>
    <w:rsid w:val="00836588"/>
    <w:rsid w:val="00836595"/>
    <w:rsid w:val="00836658"/>
    <w:rsid w:val="008367A0"/>
    <w:rsid w:val="0083689E"/>
    <w:rsid w:val="0083690B"/>
    <w:rsid w:val="00836A10"/>
    <w:rsid w:val="00836BFD"/>
    <w:rsid w:val="00836D7E"/>
    <w:rsid w:val="008370C1"/>
    <w:rsid w:val="00837220"/>
    <w:rsid w:val="008374DC"/>
    <w:rsid w:val="00837A4D"/>
    <w:rsid w:val="00837D7F"/>
    <w:rsid w:val="008401BA"/>
    <w:rsid w:val="0084023F"/>
    <w:rsid w:val="00840466"/>
    <w:rsid w:val="00840472"/>
    <w:rsid w:val="008405C2"/>
    <w:rsid w:val="0084074E"/>
    <w:rsid w:val="00840792"/>
    <w:rsid w:val="00840832"/>
    <w:rsid w:val="00840B86"/>
    <w:rsid w:val="00840CCC"/>
    <w:rsid w:val="00840D3C"/>
    <w:rsid w:val="00840E34"/>
    <w:rsid w:val="0084109E"/>
    <w:rsid w:val="008413DE"/>
    <w:rsid w:val="00841725"/>
    <w:rsid w:val="00841880"/>
    <w:rsid w:val="008418B5"/>
    <w:rsid w:val="00841B39"/>
    <w:rsid w:val="00841D9D"/>
    <w:rsid w:val="008424DD"/>
    <w:rsid w:val="00842530"/>
    <w:rsid w:val="0084262E"/>
    <w:rsid w:val="008428A0"/>
    <w:rsid w:val="00842B70"/>
    <w:rsid w:val="00842BA9"/>
    <w:rsid w:val="00842C47"/>
    <w:rsid w:val="00842CE7"/>
    <w:rsid w:val="00842EE6"/>
    <w:rsid w:val="00842FE0"/>
    <w:rsid w:val="0084339D"/>
    <w:rsid w:val="00843A2B"/>
    <w:rsid w:val="00843A8B"/>
    <w:rsid w:val="00843D19"/>
    <w:rsid w:val="00843DDB"/>
    <w:rsid w:val="00843F4A"/>
    <w:rsid w:val="00844048"/>
    <w:rsid w:val="00844185"/>
    <w:rsid w:val="0084425C"/>
    <w:rsid w:val="0084488A"/>
    <w:rsid w:val="008448D0"/>
    <w:rsid w:val="00844AFD"/>
    <w:rsid w:val="00844B07"/>
    <w:rsid w:val="00845437"/>
    <w:rsid w:val="008455FE"/>
    <w:rsid w:val="00845771"/>
    <w:rsid w:val="00845905"/>
    <w:rsid w:val="00845BCB"/>
    <w:rsid w:val="00845CE6"/>
    <w:rsid w:val="00845E94"/>
    <w:rsid w:val="008460FE"/>
    <w:rsid w:val="00846143"/>
    <w:rsid w:val="0084642B"/>
    <w:rsid w:val="0084699F"/>
    <w:rsid w:val="008469E9"/>
    <w:rsid w:val="00846AFC"/>
    <w:rsid w:val="00846C24"/>
    <w:rsid w:val="008474D8"/>
    <w:rsid w:val="0084756E"/>
    <w:rsid w:val="00847719"/>
    <w:rsid w:val="008479FC"/>
    <w:rsid w:val="00847BB5"/>
    <w:rsid w:val="00847D02"/>
    <w:rsid w:val="00847E08"/>
    <w:rsid w:val="008500D3"/>
    <w:rsid w:val="00850367"/>
    <w:rsid w:val="00850426"/>
    <w:rsid w:val="00850433"/>
    <w:rsid w:val="00850AB5"/>
    <w:rsid w:val="00850DBE"/>
    <w:rsid w:val="00851105"/>
    <w:rsid w:val="0085110F"/>
    <w:rsid w:val="0085136D"/>
    <w:rsid w:val="0085140B"/>
    <w:rsid w:val="008518DA"/>
    <w:rsid w:val="00851FA6"/>
    <w:rsid w:val="00852377"/>
    <w:rsid w:val="00852425"/>
    <w:rsid w:val="00852752"/>
    <w:rsid w:val="0085276C"/>
    <w:rsid w:val="00852928"/>
    <w:rsid w:val="00852B00"/>
    <w:rsid w:val="00852C72"/>
    <w:rsid w:val="0085348E"/>
    <w:rsid w:val="0085350E"/>
    <w:rsid w:val="0085357B"/>
    <w:rsid w:val="00853A60"/>
    <w:rsid w:val="00853B13"/>
    <w:rsid w:val="00853DC8"/>
    <w:rsid w:val="00853E8F"/>
    <w:rsid w:val="00853FDA"/>
    <w:rsid w:val="00854025"/>
    <w:rsid w:val="0085405D"/>
    <w:rsid w:val="00854146"/>
    <w:rsid w:val="0085452B"/>
    <w:rsid w:val="00854679"/>
    <w:rsid w:val="0085495D"/>
    <w:rsid w:val="00854B7E"/>
    <w:rsid w:val="00854B9E"/>
    <w:rsid w:val="00854BE3"/>
    <w:rsid w:val="00854C5D"/>
    <w:rsid w:val="00854C79"/>
    <w:rsid w:val="00854FA8"/>
    <w:rsid w:val="00854FF1"/>
    <w:rsid w:val="0085505B"/>
    <w:rsid w:val="00855065"/>
    <w:rsid w:val="008551EC"/>
    <w:rsid w:val="00855512"/>
    <w:rsid w:val="00855697"/>
    <w:rsid w:val="008556D0"/>
    <w:rsid w:val="0085571D"/>
    <w:rsid w:val="0085576B"/>
    <w:rsid w:val="00855A8E"/>
    <w:rsid w:val="00855C45"/>
    <w:rsid w:val="00855D70"/>
    <w:rsid w:val="00855E7F"/>
    <w:rsid w:val="008562CC"/>
    <w:rsid w:val="0085633D"/>
    <w:rsid w:val="00856490"/>
    <w:rsid w:val="00856639"/>
    <w:rsid w:val="00856726"/>
    <w:rsid w:val="0085682B"/>
    <w:rsid w:val="00856890"/>
    <w:rsid w:val="008568FD"/>
    <w:rsid w:val="00856A22"/>
    <w:rsid w:val="00856A5A"/>
    <w:rsid w:val="0085732F"/>
    <w:rsid w:val="00857813"/>
    <w:rsid w:val="008579C3"/>
    <w:rsid w:val="00857B2D"/>
    <w:rsid w:val="00857B33"/>
    <w:rsid w:val="00857D0F"/>
    <w:rsid w:val="00857D76"/>
    <w:rsid w:val="008603FC"/>
    <w:rsid w:val="00860463"/>
    <w:rsid w:val="00860946"/>
    <w:rsid w:val="0086098B"/>
    <w:rsid w:val="008609DF"/>
    <w:rsid w:val="00860C56"/>
    <w:rsid w:val="00860D76"/>
    <w:rsid w:val="00860ED2"/>
    <w:rsid w:val="00860FF5"/>
    <w:rsid w:val="00861128"/>
    <w:rsid w:val="008611A7"/>
    <w:rsid w:val="008612C6"/>
    <w:rsid w:val="008616D6"/>
    <w:rsid w:val="0086171D"/>
    <w:rsid w:val="00861760"/>
    <w:rsid w:val="00861B5A"/>
    <w:rsid w:val="00861BED"/>
    <w:rsid w:val="00861C0A"/>
    <w:rsid w:val="00861C5E"/>
    <w:rsid w:val="00861DB0"/>
    <w:rsid w:val="008621F4"/>
    <w:rsid w:val="0086227B"/>
    <w:rsid w:val="00862907"/>
    <w:rsid w:val="00862CEA"/>
    <w:rsid w:val="008634FC"/>
    <w:rsid w:val="008641C9"/>
    <w:rsid w:val="008643D3"/>
    <w:rsid w:val="0086457B"/>
    <w:rsid w:val="0086468F"/>
    <w:rsid w:val="00864784"/>
    <w:rsid w:val="00864BD7"/>
    <w:rsid w:val="00864D3C"/>
    <w:rsid w:val="00864F69"/>
    <w:rsid w:val="008650C3"/>
    <w:rsid w:val="00865368"/>
    <w:rsid w:val="00865574"/>
    <w:rsid w:val="0086577C"/>
    <w:rsid w:val="00865A0D"/>
    <w:rsid w:val="00865C52"/>
    <w:rsid w:val="00865E27"/>
    <w:rsid w:val="00866017"/>
    <w:rsid w:val="0086606A"/>
    <w:rsid w:val="00866286"/>
    <w:rsid w:val="008662A8"/>
    <w:rsid w:val="00866443"/>
    <w:rsid w:val="008664AD"/>
    <w:rsid w:val="00866559"/>
    <w:rsid w:val="00866610"/>
    <w:rsid w:val="00866754"/>
    <w:rsid w:val="00866B4F"/>
    <w:rsid w:val="00866CB3"/>
    <w:rsid w:val="00866E21"/>
    <w:rsid w:val="00866E8E"/>
    <w:rsid w:val="00866F35"/>
    <w:rsid w:val="0086723F"/>
    <w:rsid w:val="00867610"/>
    <w:rsid w:val="0086763F"/>
    <w:rsid w:val="008676E1"/>
    <w:rsid w:val="00867861"/>
    <w:rsid w:val="008679A9"/>
    <w:rsid w:val="00867B4D"/>
    <w:rsid w:val="00867B9A"/>
    <w:rsid w:val="00867DBB"/>
    <w:rsid w:val="0087015D"/>
    <w:rsid w:val="00870284"/>
    <w:rsid w:val="00870465"/>
    <w:rsid w:val="008705B9"/>
    <w:rsid w:val="00870786"/>
    <w:rsid w:val="008708F3"/>
    <w:rsid w:val="00870B6F"/>
    <w:rsid w:val="00870CCD"/>
    <w:rsid w:val="00870DAE"/>
    <w:rsid w:val="00870F73"/>
    <w:rsid w:val="008717CB"/>
    <w:rsid w:val="008717E0"/>
    <w:rsid w:val="00871960"/>
    <w:rsid w:val="008719CC"/>
    <w:rsid w:val="00871A53"/>
    <w:rsid w:val="00871D4F"/>
    <w:rsid w:val="00872647"/>
    <w:rsid w:val="00872856"/>
    <w:rsid w:val="00872A25"/>
    <w:rsid w:val="00872AF1"/>
    <w:rsid w:val="00872EAE"/>
    <w:rsid w:val="00872FB0"/>
    <w:rsid w:val="008730D5"/>
    <w:rsid w:val="00873247"/>
    <w:rsid w:val="00873250"/>
    <w:rsid w:val="00873251"/>
    <w:rsid w:val="008732CA"/>
    <w:rsid w:val="008733F6"/>
    <w:rsid w:val="008734B9"/>
    <w:rsid w:val="00873533"/>
    <w:rsid w:val="008737BE"/>
    <w:rsid w:val="0087390F"/>
    <w:rsid w:val="00873AAF"/>
    <w:rsid w:val="00873F51"/>
    <w:rsid w:val="00873FA6"/>
    <w:rsid w:val="0087420D"/>
    <w:rsid w:val="00874295"/>
    <w:rsid w:val="008742EB"/>
    <w:rsid w:val="008744FC"/>
    <w:rsid w:val="008745C3"/>
    <w:rsid w:val="0087494B"/>
    <w:rsid w:val="00874D3F"/>
    <w:rsid w:val="00874F6F"/>
    <w:rsid w:val="00875263"/>
    <w:rsid w:val="008756EA"/>
    <w:rsid w:val="0087593C"/>
    <w:rsid w:val="008759FC"/>
    <w:rsid w:val="00875C21"/>
    <w:rsid w:val="00875D6E"/>
    <w:rsid w:val="00876104"/>
    <w:rsid w:val="0087648F"/>
    <w:rsid w:val="00876804"/>
    <w:rsid w:val="00876D66"/>
    <w:rsid w:val="00876F16"/>
    <w:rsid w:val="008774BE"/>
    <w:rsid w:val="00877961"/>
    <w:rsid w:val="00880026"/>
    <w:rsid w:val="008802B8"/>
    <w:rsid w:val="008803B6"/>
    <w:rsid w:val="008803DF"/>
    <w:rsid w:val="0088042A"/>
    <w:rsid w:val="0088059D"/>
    <w:rsid w:val="00880747"/>
    <w:rsid w:val="0088077E"/>
    <w:rsid w:val="00880D10"/>
    <w:rsid w:val="00880DF5"/>
    <w:rsid w:val="00880FD9"/>
    <w:rsid w:val="008811AB"/>
    <w:rsid w:val="0088127F"/>
    <w:rsid w:val="0088144D"/>
    <w:rsid w:val="00881508"/>
    <w:rsid w:val="008816E1"/>
    <w:rsid w:val="00881763"/>
    <w:rsid w:val="00881870"/>
    <w:rsid w:val="00881E40"/>
    <w:rsid w:val="00881FC3"/>
    <w:rsid w:val="00882421"/>
    <w:rsid w:val="0088263F"/>
    <w:rsid w:val="0088268E"/>
    <w:rsid w:val="0088269C"/>
    <w:rsid w:val="008826F6"/>
    <w:rsid w:val="0088282C"/>
    <w:rsid w:val="00882B36"/>
    <w:rsid w:val="00882B85"/>
    <w:rsid w:val="00882CE3"/>
    <w:rsid w:val="00882FFB"/>
    <w:rsid w:val="0088326B"/>
    <w:rsid w:val="008832AD"/>
    <w:rsid w:val="008833C2"/>
    <w:rsid w:val="0088369A"/>
    <w:rsid w:val="00883798"/>
    <w:rsid w:val="00883A6D"/>
    <w:rsid w:val="00883BF3"/>
    <w:rsid w:val="00883CC7"/>
    <w:rsid w:val="00883FE6"/>
    <w:rsid w:val="008843E3"/>
    <w:rsid w:val="008844BF"/>
    <w:rsid w:val="008844C2"/>
    <w:rsid w:val="008847F5"/>
    <w:rsid w:val="008848BF"/>
    <w:rsid w:val="00884C51"/>
    <w:rsid w:val="00884CF6"/>
    <w:rsid w:val="00884EA9"/>
    <w:rsid w:val="00885130"/>
    <w:rsid w:val="008851F8"/>
    <w:rsid w:val="008852F4"/>
    <w:rsid w:val="00885592"/>
    <w:rsid w:val="0088595D"/>
    <w:rsid w:val="00885B98"/>
    <w:rsid w:val="00885BB7"/>
    <w:rsid w:val="00885ED6"/>
    <w:rsid w:val="00886004"/>
    <w:rsid w:val="00886100"/>
    <w:rsid w:val="008863DA"/>
    <w:rsid w:val="008864CA"/>
    <w:rsid w:val="00886506"/>
    <w:rsid w:val="00886552"/>
    <w:rsid w:val="008865EC"/>
    <w:rsid w:val="0088671A"/>
    <w:rsid w:val="008868AA"/>
    <w:rsid w:val="008869A6"/>
    <w:rsid w:val="00886E10"/>
    <w:rsid w:val="00887120"/>
    <w:rsid w:val="008871A0"/>
    <w:rsid w:val="00887528"/>
    <w:rsid w:val="008875D5"/>
    <w:rsid w:val="00887627"/>
    <w:rsid w:val="00887726"/>
    <w:rsid w:val="008878C3"/>
    <w:rsid w:val="00887B2D"/>
    <w:rsid w:val="00887DAA"/>
    <w:rsid w:val="00887EF6"/>
    <w:rsid w:val="0089001E"/>
    <w:rsid w:val="008901B5"/>
    <w:rsid w:val="00890BC9"/>
    <w:rsid w:val="00890C32"/>
    <w:rsid w:val="00890D09"/>
    <w:rsid w:val="00890E76"/>
    <w:rsid w:val="0089139F"/>
    <w:rsid w:val="0089144F"/>
    <w:rsid w:val="008914A6"/>
    <w:rsid w:val="008915F0"/>
    <w:rsid w:val="00891625"/>
    <w:rsid w:val="0089179A"/>
    <w:rsid w:val="00891B8A"/>
    <w:rsid w:val="00891D3D"/>
    <w:rsid w:val="00892192"/>
    <w:rsid w:val="0089231B"/>
    <w:rsid w:val="00892383"/>
    <w:rsid w:val="00892413"/>
    <w:rsid w:val="00892510"/>
    <w:rsid w:val="008926EC"/>
    <w:rsid w:val="0089285A"/>
    <w:rsid w:val="00892895"/>
    <w:rsid w:val="00892D91"/>
    <w:rsid w:val="008930DD"/>
    <w:rsid w:val="008932B3"/>
    <w:rsid w:val="0089345F"/>
    <w:rsid w:val="00893518"/>
    <w:rsid w:val="00893603"/>
    <w:rsid w:val="0089369A"/>
    <w:rsid w:val="00893774"/>
    <w:rsid w:val="008938F7"/>
    <w:rsid w:val="00893B75"/>
    <w:rsid w:val="00893F66"/>
    <w:rsid w:val="00894137"/>
    <w:rsid w:val="008942F3"/>
    <w:rsid w:val="008946E8"/>
    <w:rsid w:val="008948D2"/>
    <w:rsid w:val="00894B60"/>
    <w:rsid w:val="00894D89"/>
    <w:rsid w:val="00894F50"/>
    <w:rsid w:val="008950A9"/>
    <w:rsid w:val="00895479"/>
    <w:rsid w:val="00895585"/>
    <w:rsid w:val="00895734"/>
    <w:rsid w:val="0089580D"/>
    <w:rsid w:val="00895CC9"/>
    <w:rsid w:val="00895E3A"/>
    <w:rsid w:val="0089614B"/>
    <w:rsid w:val="008961F0"/>
    <w:rsid w:val="00896662"/>
    <w:rsid w:val="008968E1"/>
    <w:rsid w:val="0089692F"/>
    <w:rsid w:val="00896958"/>
    <w:rsid w:val="008969FB"/>
    <w:rsid w:val="00896B36"/>
    <w:rsid w:val="00896B50"/>
    <w:rsid w:val="00896D37"/>
    <w:rsid w:val="00897557"/>
    <w:rsid w:val="008975D4"/>
    <w:rsid w:val="00897637"/>
    <w:rsid w:val="00897708"/>
    <w:rsid w:val="008978DC"/>
    <w:rsid w:val="00897F6D"/>
    <w:rsid w:val="00897FA6"/>
    <w:rsid w:val="008A0118"/>
    <w:rsid w:val="008A02A6"/>
    <w:rsid w:val="008A0425"/>
    <w:rsid w:val="008A07B4"/>
    <w:rsid w:val="008A094B"/>
    <w:rsid w:val="008A0ADC"/>
    <w:rsid w:val="008A0B10"/>
    <w:rsid w:val="008A0BEC"/>
    <w:rsid w:val="008A0DA1"/>
    <w:rsid w:val="008A0F73"/>
    <w:rsid w:val="008A12ED"/>
    <w:rsid w:val="008A133C"/>
    <w:rsid w:val="008A194F"/>
    <w:rsid w:val="008A19FA"/>
    <w:rsid w:val="008A1A42"/>
    <w:rsid w:val="008A1AE3"/>
    <w:rsid w:val="008A1E16"/>
    <w:rsid w:val="008A28B6"/>
    <w:rsid w:val="008A2959"/>
    <w:rsid w:val="008A2DA2"/>
    <w:rsid w:val="008A2EF9"/>
    <w:rsid w:val="008A30FF"/>
    <w:rsid w:val="008A326B"/>
    <w:rsid w:val="008A3402"/>
    <w:rsid w:val="008A3740"/>
    <w:rsid w:val="008A387A"/>
    <w:rsid w:val="008A3B20"/>
    <w:rsid w:val="008A3B5C"/>
    <w:rsid w:val="008A4048"/>
    <w:rsid w:val="008A41F7"/>
    <w:rsid w:val="008A4512"/>
    <w:rsid w:val="008A4914"/>
    <w:rsid w:val="008A55D6"/>
    <w:rsid w:val="008A5634"/>
    <w:rsid w:val="008A56AD"/>
    <w:rsid w:val="008A5BF8"/>
    <w:rsid w:val="008A625F"/>
    <w:rsid w:val="008A6278"/>
    <w:rsid w:val="008A6717"/>
    <w:rsid w:val="008A683C"/>
    <w:rsid w:val="008A6DED"/>
    <w:rsid w:val="008A6EEE"/>
    <w:rsid w:val="008A728D"/>
    <w:rsid w:val="008A75C7"/>
    <w:rsid w:val="008A77ED"/>
    <w:rsid w:val="008A7806"/>
    <w:rsid w:val="008A798E"/>
    <w:rsid w:val="008A7C06"/>
    <w:rsid w:val="008A7C5F"/>
    <w:rsid w:val="008A7CB4"/>
    <w:rsid w:val="008A7D98"/>
    <w:rsid w:val="008B012F"/>
    <w:rsid w:val="008B0174"/>
    <w:rsid w:val="008B0238"/>
    <w:rsid w:val="008B0B9E"/>
    <w:rsid w:val="008B0C5A"/>
    <w:rsid w:val="008B0D0D"/>
    <w:rsid w:val="008B0FBE"/>
    <w:rsid w:val="008B1167"/>
    <w:rsid w:val="008B1168"/>
    <w:rsid w:val="008B13B6"/>
    <w:rsid w:val="008B1630"/>
    <w:rsid w:val="008B170E"/>
    <w:rsid w:val="008B1795"/>
    <w:rsid w:val="008B191A"/>
    <w:rsid w:val="008B1A3C"/>
    <w:rsid w:val="008B1BBE"/>
    <w:rsid w:val="008B1EB2"/>
    <w:rsid w:val="008B1EB8"/>
    <w:rsid w:val="008B2004"/>
    <w:rsid w:val="008B2013"/>
    <w:rsid w:val="008B20A8"/>
    <w:rsid w:val="008B24C5"/>
    <w:rsid w:val="008B26ED"/>
    <w:rsid w:val="008B2793"/>
    <w:rsid w:val="008B288D"/>
    <w:rsid w:val="008B2A9C"/>
    <w:rsid w:val="008B2E0E"/>
    <w:rsid w:val="008B2E83"/>
    <w:rsid w:val="008B2F43"/>
    <w:rsid w:val="008B2F84"/>
    <w:rsid w:val="008B2FCE"/>
    <w:rsid w:val="008B3104"/>
    <w:rsid w:val="008B314B"/>
    <w:rsid w:val="008B330E"/>
    <w:rsid w:val="008B3455"/>
    <w:rsid w:val="008B360C"/>
    <w:rsid w:val="008B3709"/>
    <w:rsid w:val="008B38ED"/>
    <w:rsid w:val="008B3A59"/>
    <w:rsid w:val="008B3AC3"/>
    <w:rsid w:val="008B3B0B"/>
    <w:rsid w:val="008B3F31"/>
    <w:rsid w:val="008B3F9C"/>
    <w:rsid w:val="008B3F9E"/>
    <w:rsid w:val="008B411D"/>
    <w:rsid w:val="008B42A3"/>
    <w:rsid w:val="008B4341"/>
    <w:rsid w:val="008B4441"/>
    <w:rsid w:val="008B4452"/>
    <w:rsid w:val="008B45E4"/>
    <w:rsid w:val="008B46EF"/>
    <w:rsid w:val="008B4C6F"/>
    <w:rsid w:val="008B4D42"/>
    <w:rsid w:val="008B4D8B"/>
    <w:rsid w:val="008B4DF2"/>
    <w:rsid w:val="008B4E91"/>
    <w:rsid w:val="008B50E5"/>
    <w:rsid w:val="008B5A01"/>
    <w:rsid w:val="008B5A0D"/>
    <w:rsid w:val="008B5C1A"/>
    <w:rsid w:val="008B5E6E"/>
    <w:rsid w:val="008B5ED5"/>
    <w:rsid w:val="008B629D"/>
    <w:rsid w:val="008B62A0"/>
    <w:rsid w:val="008B6336"/>
    <w:rsid w:val="008B63DF"/>
    <w:rsid w:val="008B6F45"/>
    <w:rsid w:val="008B7212"/>
    <w:rsid w:val="008B7283"/>
    <w:rsid w:val="008B738B"/>
    <w:rsid w:val="008B74A7"/>
    <w:rsid w:val="008B752C"/>
    <w:rsid w:val="008B7554"/>
    <w:rsid w:val="008B75AE"/>
    <w:rsid w:val="008B7761"/>
    <w:rsid w:val="008B7CE3"/>
    <w:rsid w:val="008B7D8B"/>
    <w:rsid w:val="008B7FCD"/>
    <w:rsid w:val="008C004F"/>
    <w:rsid w:val="008C00D3"/>
    <w:rsid w:val="008C06FD"/>
    <w:rsid w:val="008C0A6D"/>
    <w:rsid w:val="008C0AB0"/>
    <w:rsid w:val="008C0ADA"/>
    <w:rsid w:val="008C0AE0"/>
    <w:rsid w:val="008C0C1F"/>
    <w:rsid w:val="008C0C5A"/>
    <w:rsid w:val="008C0CF1"/>
    <w:rsid w:val="008C0F1C"/>
    <w:rsid w:val="008C12B3"/>
    <w:rsid w:val="008C1527"/>
    <w:rsid w:val="008C15D2"/>
    <w:rsid w:val="008C17B5"/>
    <w:rsid w:val="008C183F"/>
    <w:rsid w:val="008C1881"/>
    <w:rsid w:val="008C198B"/>
    <w:rsid w:val="008C1B81"/>
    <w:rsid w:val="008C1FD3"/>
    <w:rsid w:val="008C21E6"/>
    <w:rsid w:val="008C23A4"/>
    <w:rsid w:val="008C246A"/>
    <w:rsid w:val="008C2F36"/>
    <w:rsid w:val="008C2FBF"/>
    <w:rsid w:val="008C3056"/>
    <w:rsid w:val="008C378E"/>
    <w:rsid w:val="008C37C2"/>
    <w:rsid w:val="008C3A53"/>
    <w:rsid w:val="008C3B8E"/>
    <w:rsid w:val="008C434A"/>
    <w:rsid w:val="008C4480"/>
    <w:rsid w:val="008C4483"/>
    <w:rsid w:val="008C44E0"/>
    <w:rsid w:val="008C4690"/>
    <w:rsid w:val="008C46BB"/>
    <w:rsid w:val="008C4B11"/>
    <w:rsid w:val="008C506C"/>
    <w:rsid w:val="008C50FF"/>
    <w:rsid w:val="008C518B"/>
    <w:rsid w:val="008C5995"/>
    <w:rsid w:val="008C5DF1"/>
    <w:rsid w:val="008C6078"/>
    <w:rsid w:val="008C62C7"/>
    <w:rsid w:val="008C63D6"/>
    <w:rsid w:val="008C6427"/>
    <w:rsid w:val="008C6507"/>
    <w:rsid w:val="008C65F5"/>
    <w:rsid w:val="008C6866"/>
    <w:rsid w:val="008C6940"/>
    <w:rsid w:val="008C6A28"/>
    <w:rsid w:val="008C6B87"/>
    <w:rsid w:val="008C6EA3"/>
    <w:rsid w:val="008C7048"/>
    <w:rsid w:val="008C7207"/>
    <w:rsid w:val="008C73C2"/>
    <w:rsid w:val="008C74DE"/>
    <w:rsid w:val="008C76A4"/>
    <w:rsid w:val="008C7A3F"/>
    <w:rsid w:val="008C7D2B"/>
    <w:rsid w:val="008D01F4"/>
    <w:rsid w:val="008D048D"/>
    <w:rsid w:val="008D0534"/>
    <w:rsid w:val="008D0604"/>
    <w:rsid w:val="008D0673"/>
    <w:rsid w:val="008D0A20"/>
    <w:rsid w:val="008D132F"/>
    <w:rsid w:val="008D1471"/>
    <w:rsid w:val="008D1A16"/>
    <w:rsid w:val="008D1CEF"/>
    <w:rsid w:val="008D1D14"/>
    <w:rsid w:val="008D1D49"/>
    <w:rsid w:val="008D1FEF"/>
    <w:rsid w:val="008D224B"/>
    <w:rsid w:val="008D243D"/>
    <w:rsid w:val="008D2487"/>
    <w:rsid w:val="008D26AF"/>
    <w:rsid w:val="008D2752"/>
    <w:rsid w:val="008D28B5"/>
    <w:rsid w:val="008D2A48"/>
    <w:rsid w:val="008D303E"/>
    <w:rsid w:val="008D30F8"/>
    <w:rsid w:val="008D36D9"/>
    <w:rsid w:val="008D39C3"/>
    <w:rsid w:val="008D3A2A"/>
    <w:rsid w:val="008D3B3E"/>
    <w:rsid w:val="008D3C12"/>
    <w:rsid w:val="008D3DD7"/>
    <w:rsid w:val="008D41DF"/>
    <w:rsid w:val="008D4299"/>
    <w:rsid w:val="008D4364"/>
    <w:rsid w:val="008D4752"/>
    <w:rsid w:val="008D4756"/>
    <w:rsid w:val="008D4AE8"/>
    <w:rsid w:val="008D4DB1"/>
    <w:rsid w:val="008D4E09"/>
    <w:rsid w:val="008D4EAB"/>
    <w:rsid w:val="008D520F"/>
    <w:rsid w:val="008D566B"/>
    <w:rsid w:val="008D57FD"/>
    <w:rsid w:val="008D5809"/>
    <w:rsid w:val="008D5CE0"/>
    <w:rsid w:val="008D5EFC"/>
    <w:rsid w:val="008D5F7B"/>
    <w:rsid w:val="008D609D"/>
    <w:rsid w:val="008D6471"/>
    <w:rsid w:val="008D6474"/>
    <w:rsid w:val="008D64A8"/>
    <w:rsid w:val="008D6912"/>
    <w:rsid w:val="008D692A"/>
    <w:rsid w:val="008D69A2"/>
    <w:rsid w:val="008D6BA5"/>
    <w:rsid w:val="008D6C83"/>
    <w:rsid w:val="008D6ED6"/>
    <w:rsid w:val="008D7055"/>
    <w:rsid w:val="008D71CB"/>
    <w:rsid w:val="008D71F5"/>
    <w:rsid w:val="008D7406"/>
    <w:rsid w:val="008D748C"/>
    <w:rsid w:val="008D751A"/>
    <w:rsid w:val="008D756D"/>
    <w:rsid w:val="008D7EF7"/>
    <w:rsid w:val="008E039A"/>
    <w:rsid w:val="008E042C"/>
    <w:rsid w:val="008E04E9"/>
    <w:rsid w:val="008E0709"/>
    <w:rsid w:val="008E0812"/>
    <w:rsid w:val="008E0A42"/>
    <w:rsid w:val="008E0B1B"/>
    <w:rsid w:val="008E116F"/>
    <w:rsid w:val="008E1335"/>
    <w:rsid w:val="008E1474"/>
    <w:rsid w:val="008E1970"/>
    <w:rsid w:val="008E1AE8"/>
    <w:rsid w:val="008E1B80"/>
    <w:rsid w:val="008E1D1A"/>
    <w:rsid w:val="008E20DC"/>
    <w:rsid w:val="008E21AF"/>
    <w:rsid w:val="008E21D8"/>
    <w:rsid w:val="008E23E1"/>
    <w:rsid w:val="008E23E2"/>
    <w:rsid w:val="008E2430"/>
    <w:rsid w:val="008E2896"/>
    <w:rsid w:val="008E28D0"/>
    <w:rsid w:val="008E2A08"/>
    <w:rsid w:val="008E2C41"/>
    <w:rsid w:val="008E2D97"/>
    <w:rsid w:val="008E2E99"/>
    <w:rsid w:val="008E30DC"/>
    <w:rsid w:val="008E3138"/>
    <w:rsid w:val="008E32F9"/>
    <w:rsid w:val="008E3425"/>
    <w:rsid w:val="008E343E"/>
    <w:rsid w:val="008E34B4"/>
    <w:rsid w:val="008E3741"/>
    <w:rsid w:val="008E3DB1"/>
    <w:rsid w:val="008E3DF2"/>
    <w:rsid w:val="008E3E08"/>
    <w:rsid w:val="008E40C1"/>
    <w:rsid w:val="008E42D2"/>
    <w:rsid w:val="008E4881"/>
    <w:rsid w:val="008E49B4"/>
    <w:rsid w:val="008E4C88"/>
    <w:rsid w:val="008E4D58"/>
    <w:rsid w:val="008E4F3E"/>
    <w:rsid w:val="008E506D"/>
    <w:rsid w:val="008E50AD"/>
    <w:rsid w:val="008E525E"/>
    <w:rsid w:val="008E53E8"/>
    <w:rsid w:val="008E552C"/>
    <w:rsid w:val="008E56C2"/>
    <w:rsid w:val="008E5766"/>
    <w:rsid w:val="008E59B1"/>
    <w:rsid w:val="008E5BBC"/>
    <w:rsid w:val="008E5BBD"/>
    <w:rsid w:val="008E5C9E"/>
    <w:rsid w:val="008E5D08"/>
    <w:rsid w:val="008E61ED"/>
    <w:rsid w:val="008E644D"/>
    <w:rsid w:val="008E6670"/>
    <w:rsid w:val="008E670F"/>
    <w:rsid w:val="008E672A"/>
    <w:rsid w:val="008E6741"/>
    <w:rsid w:val="008E682C"/>
    <w:rsid w:val="008E6A02"/>
    <w:rsid w:val="008E6B5C"/>
    <w:rsid w:val="008E6C81"/>
    <w:rsid w:val="008E6E63"/>
    <w:rsid w:val="008E7257"/>
    <w:rsid w:val="008E765E"/>
    <w:rsid w:val="008E7668"/>
    <w:rsid w:val="008E79F8"/>
    <w:rsid w:val="008E7AF1"/>
    <w:rsid w:val="008E7ED6"/>
    <w:rsid w:val="008F00E3"/>
    <w:rsid w:val="008F040D"/>
    <w:rsid w:val="008F0845"/>
    <w:rsid w:val="008F0A74"/>
    <w:rsid w:val="008F0BB1"/>
    <w:rsid w:val="008F0E1E"/>
    <w:rsid w:val="008F0E9E"/>
    <w:rsid w:val="008F0FC9"/>
    <w:rsid w:val="008F11C8"/>
    <w:rsid w:val="008F1205"/>
    <w:rsid w:val="008F166C"/>
    <w:rsid w:val="008F194E"/>
    <w:rsid w:val="008F1C4D"/>
    <w:rsid w:val="008F2414"/>
    <w:rsid w:val="008F24EF"/>
    <w:rsid w:val="008F2A2B"/>
    <w:rsid w:val="008F2B53"/>
    <w:rsid w:val="008F2CEF"/>
    <w:rsid w:val="008F2E89"/>
    <w:rsid w:val="008F2EE8"/>
    <w:rsid w:val="008F2F13"/>
    <w:rsid w:val="008F2F14"/>
    <w:rsid w:val="008F2FAE"/>
    <w:rsid w:val="008F3269"/>
    <w:rsid w:val="008F32AE"/>
    <w:rsid w:val="008F32B7"/>
    <w:rsid w:val="008F35EA"/>
    <w:rsid w:val="008F37CE"/>
    <w:rsid w:val="008F383A"/>
    <w:rsid w:val="008F3A8B"/>
    <w:rsid w:val="008F3B7A"/>
    <w:rsid w:val="008F3DEA"/>
    <w:rsid w:val="008F40AF"/>
    <w:rsid w:val="008F4193"/>
    <w:rsid w:val="008F463A"/>
    <w:rsid w:val="008F4943"/>
    <w:rsid w:val="008F4A0E"/>
    <w:rsid w:val="008F4B43"/>
    <w:rsid w:val="008F4BAE"/>
    <w:rsid w:val="008F4DE0"/>
    <w:rsid w:val="008F5042"/>
    <w:rsid w:val="008F52D4"/>
    <w:rsid w:val="008F54A4"/>
    <w:rsid w:val="008F564D"/>
    <w:rsid w:val="008F5774"/>
    <w:rsid w:val="008F57AE"/>
    <w:rsid w:val="008F5D92"/>
    <w:rsid w:val="008F5F13"/>
    <w:rsid w:val="008F5F65"/>
    <w:rsid w:val="008F618D"/>
    <w:rsid w:val="008F6238"/>
    <w:rsid w:val="008F62EF"/>
    <w:rsid w:val="008F6332"/>
    <w:rsid w:val="008F66DC"/>
    <w:rsid w:val="008F695C"/>
    <w:rsid w:val="008F6CDC"/>
    <w:rsid w:val="008F6E03"/>
    <w:rsid w:val="008F7274"/>
    <w:rsid w:val="008F7DAF"/>
    <w:rsid w:val="009001C1"/>
    <w:rsid w:val="009005E2"/>
    <w:rsid w:val="00900A27"/>
    <w:rsid w:val="00900BFE"/>
    <w:rsid w:val="00900F1A"/>
    <w:rsid w:val="00901237"/>
    <w:rsid w:val="0090125D"/>
    <w:rsid w:val="009016B9"/>
    <w:rsid w:val="00901766"/>
    <w:rsid w:val="00901998"/>
    <w:rsid w:val="00901D0C"/>
    <w:rsid w:val="009020EB"/>
    <w:rsid w:val="0090217A"/>
    <w:rsid w:val="00902296"/>
    <w:rsid w:val="009022D0"/>
    <w:rsid w:val="009029C5"/>
    <w:rsid w:val="00902CFA"/>
    <w:rsid w:val="00902D0A"/>
    <w:rsid w:val="00902D92"/>
    <w:rsid w:val="009031CB"/>
    <w:rsid w:val="00903308"/>
    <w:rsid w:val="0090348B"/>
    <w:rsid w:val="00903FDB"/>
    <w:rsid w:val="00904109"/>
    <w:rsid w:val="009043B1"/>
    <w:rsid w:val="009045DD"/>
    <w:rsid w:val="00904755"/>
    <w:rsid w:val="009047B0"/>
    <w:rsid w:val="0090485A"/>
    <w:rsid w:val="009048BD"/>
    <w:rsid w:val="00904B64"/>
    <w:rsid w:val="00904D37"/>
    <w:rsid w:val="00904F00"/>
    <w:rsid w:val="00904F72"/>
    <w:rsid w:val="00905608"/>
    <w:rsid w:val="00905682"/>
    <w:rsid w:val="00905839"/>
    <w:rsid w:val="009059D3"/>
    <w:rsid w:val="00905C0E"/>
    <w:rsid w:val="00905D04"/>
    <w:rsid w:val="00905D0B"/>
    <w:rsid w:val="00905D1A"/>
    <w:rsid w:val="00905FD0"/>
    <w:rsid w:val="009062A2"/>
    <w:rsid w:val="00906556"/>
    <w:rsid w:val="009067F3"/>
    <w:rsid w:val="00906B3C"/>
    <w:rsid w:val="00906C41"/>
    <w:rsid w:val="00906E33"/>
    <w:rsid w:val="00906FB9"/>
    <w:rsid w:val="0090740B"/>
    <w:rsid w:val="00907418"/>
    <w:rsid w:val="00907AD0"/>
    <w:rsid w:val="00907C37"/>
    <w:rsid w:val="00907CB1"/>
    <w:rsid w:val="00907EA7"/>
    <w:rsid w:val="00907F59"/>
    <w:rsid w:val="0091020E"/>
    <w:rsid w:val="0091026D"/>
    <w:rsid w:val="0091053F"/>
    <w:rsid w:val="009105A5"/>
    <w:rsid w:val="009108F9"/>
    <w:rsid w:val="00910B2C"/>
    <w:rsid w:val="00910B31"/>
    <w:rsid w:val="00910F0E"/>
    <w:rsid w:val="00910F6C"/>
    <w:rsid w:val="00910FC4"/>
    <w:rsid w:val="009111EA"/>
    <w:rsid w:val="00911672"/>
    <w:rsid w:val="0091171A"/>
    <w:rsid w:val="009118F7"/>
    <w:rsid w:val="009119FC"/>
    <w:rsid w:val="00911A98"/>
    <w:rsid w:val="00911ACE"/>
    <w:rsid w:val="00911B14"/>
    <w:rsid w:val="00911CF7"/>
    <w:rsid w:val="0091279E"/>
    <w:rsid w:val="00912D51"/>
    <w:rsid w:val="00913080"/>
    <w:rsid w:val="009131D2"/>
    <w:rsid w:val="00913343"/>
    <w:rsid w:val="009133D5"/>
    <w:rsid w:val="00913818"/>
    <w:rsid w:val="00913A5B"/>
    <w:rsid w:val="00913BBF"/>
    <w:rsid w:val="00913C2E"/>
    <w:rsid w:val="00913CBD"/>
    <w:rsid w:val="00913F8B"/>
    <w:rsid w:val="009140CD"/>
    <w:rsid w:val="00914165"/>
    <w:rsid w:val="009141DD"/>
    <w:rsid w:val="0091426E"/>
    <w:rsid w:val="00914296"/>
    <w:rsid w:val="00914495"/>
    <w:rsid w:val="00914778"/>
    <w:rsid w:val="009147D6"/>
    <w:rsid w:val="009148D3"/>
    <w:rsid w:val="00914EA8"/>
    <w:rsid w:val="00914F42"/>
    <w:rsid w:val="009152CA"/>
    <w:rsid w:val="009152CB"/>
    <w:rsid w:val="00915339"/>
    <w:rsid w:val="0091533A"/>
    <w:rsid w:val="009154C0"/>
    <w:rsid w:val="00915724"/>
    <w:rsid w:val="00915730"/>
    <w:rsid w:val="0091576F"/>
    <w:rsid w:val="00915CFD"/>
    <w:rsid w:val="00915E9C"/>
    <w:rsid w:val="00916300"/>
    <w:rsid w:val="009164BE"/>
    <w:rsid w:val="00916645"/>
    <w:rsid w:val="009169F7"/>
    <w:rsid w:val="00916EDF"/>
    <w:rsid w:val="00916FAE"/>
    <w:rsid w:val="0091718A"/>
    <w:rsid w:val="0091727A"/>
    <w:rsid w:val="00917424"/>
    <w:rsid w:val="00917467"/>
    <w:rsid w:val="00917937"/>
    <w:rsid w:val="00917BB0"/>
    <w:rsid w:val="00917C64"/>
    <w:rsid w:val="00920188"/>
    <w:rsid w:val="009206CF"/>
    <w:rsid w:val="0092079A"/>
    <w:rsid w:val="00920851"/>
    <w:rsid w:val="00920A09"/>
    <w:rsid w:val="00920C46"/>
    <w:rsid w:val="00920CD2"/>
    <w:rsid w:val="00920E64"/>
    <w:rsid w:val="00921000"/>
    <w:rsid w:val="0092108C"/>
    <w:rsid w:val="009213C3"/>
    <w:rsid w:val="009217CB"/>
    <w:rsid w:val="00921942"/>
    <w:rsid w:val="009219BC"/>
    <w:rsid w:val="00921ACD"/>
    <w:rsid w:val="00921D75"/>
    <w:rsid w:val="009220CA"/>
    <w:rsid w:val="00922299"/>
    <w:rsid w:val="00922380"/>
    <w:rsid w:val="00922522"/>
    <w:rsid w:val="009225D8"/>
    <w:rsid w:val="00922765"/>
    <w:rsid w:val="00922AC8"/>
    <w:rsid w:val="00922E94"/>
    <w:rsid w:val="00922F93"/>
    <w:rsid w:val="00923038"/>
    <w:rsid w:val="009230EF"/>
    <w:rsid w:val="00923192"/>
    <w:rsid w:val="009237BA"/>
    <w:rsid w:val="009237D0"/>
    <w:rsid w:val="009239F9"/>
    <w:rsid w:val="00923C76"/>
    <w:rsid w:val="00923CED"/>
    <w:rsid w:val="00923F2D"/>
    <w:rsid w:val="00923FC2"/>
    <w:rsid w:val="00924118"/>
    <w:rsid w:val="0092412A"/>
    <w:rsid w:val="00924334"/>
    <w:rsid w:val="009244BB"/>
    <w:rsid w:val="00924533"/>
    <w:rsid w:val="009246AC"/>
    <w:rsid w:val="00924719"/>
    <w:rsid w:val="00924727"/>
    <w:rsid w:val="009247B8"/>
    <w:rsid w:val="00924819"/>
    <w:rsid w:val="00924ACB"/>
    <w:rsid w:val="00924BA3"/>
    <w:rsid w:val="00924BD2"/>
    <w:rsid w:val="00924BF8"/>
    <w:rsid w:val="00924CEA"/>
    <w:rsid w:val="00924E26"/>
    <w:rsid w:val="00924E3C"/>
    <w:rsid w:val="00924F6A"/>
    <w:rsid w:val="0092515D"/>
    <w:rsid w:val="00925276"/>
    <w:rsid w:val="00925450"/>
    <w:rsid w:val="00925610"/>
    <w:rsid w:val="00925749"/>
    <w:rsid w:val="00925791"/>
    <w:rsid w:val="00925799"/>
    <w:rsid w:val="00925930"/>
    <w:rsid w:val="00925B0C"/>
    <w:rsid w:val="00925EAB"/>
    <w:rsid w:val="00926229"/>
    <w:rsid w:val="00926254"/>
    <w:rsid w:val="009263B5"/>
    <w:rsid w:val="00926483"/>
    <w:rsid w:val="009264E3"/>
    <w:rsid w:val="0092682D"/>
    <w:rsid w:val="00926C18"/>
    <w:rsid w:val="00926C60"/>
    <w:rsid w:val="00926ECB"/>
    <w:rsid w:val="009270CE"/>
    <w:rsid w:val="009271EC"/>
    <w:rsid w:val="009273EC"/>
    <w:rsid w:val="00927537"/>
    <w:rsid w:val="009275B0"/>
    <w:rsid w:val="00927694"/>
    <w:rsid w:val="00927744"/>
    <w:rsid w:val="00927A08"/>
    <w:rsid w:val="00927A18"/>
    <w:rsid w:val="00927ABA"/>
    <w:rsid w:val="00927E5B"/>
    <w:rsid w:val="0093010F"/>
    <w:rsid w:val="00930154"/>
    <w:rsid w:val="00930168"/>
    <w:rsid w:val="0093017B"/>
    <w:rsid w:val="00930A63"/>
    <w:rsid w:val="00930B94"/>
    <w:rsid w:val="0093106F"/>
    <w:rsid w:val="00931098"/>
    <w:rsid w:val="0093142A"/>
    <w:rsid w:val="00931A5C"/>
    <w:rsid w:val="00931CA9"/>
    <w:rsid w:val="00931D06"/>
    <w:rsid w:val="00931F3B"/>
    <w:rsid w:val="00931F85"/>
    <w:rsid w:val="009324E6"/>
    <w:rsid w:val="0093261D"/>
    <w:rsid w:val="00932776"/>
    <w:rsid w:val="00932827"/>
    <w:rsid w:val="0093296F"/>
    <w:rsid w:val="00932E5B"/>
    <w:rsid w:val="00932E74"/>
    <w:rsid w:val="00932F55"/>
    <w:rsid w:val="00933101"/>
    <w:rsid w:val="00933161"/>
    <w:rsid w:val="0093325B"/>
    <w:rsid w:val="00933383"/>
    <w:rsid w:val="00933439"/>
    <w:rsid w:val="0093356B"/>
    <w:rsid w:val="00933673"/>
    <w:rsid w:val="00933846"/>
    <w:rsid w:val="00933963"/>
    <w:rsid w:val="00933A98"/>
    <w:rsid w:val="00933D8C"/>
    <w:rsid w:val="00933E60"/>
    <w:rsid w:val="009340B4"/>
    <w:rsid w:val="00934344"/>
    <w:rsid w:val="0093451B"/>
    <w:rsid w:val="0093461C"/>
    <w:rsid w:val="00934637"/>
    <w:rsid w:val="0093497A"/>
    <w:rsid w:val="00934B34"/>
    <w:rsid w:val="00934BAC"/>
    <w:rsid w:val="00934BD7"/>
    <w:rsid w:val="00934C2E"/>
    <w:rsid w:val="00934DBF"/>
    <w:rsid w:val="00934E49"/>
    <w:rsid w:val="00935106"/>
    <w:rsid w:val="0093572F"/>
    <w:rsid w:val="009358D5"/>
    <w:rsid w:val="0093590C"/>
    <w:rsid w:val="00935995"/>
    <w:rsid w:val="009359A2"/>
    <w:rsid w:val="00935BAA"/>
    <w:rsid w:val="00935D27"/>
    <w:rsid w:val="00935DE4"/>
    <w:rsid w:val="009361C0"/>
    <w:rsid w:val="009361F0"/>
    <w:rsid w:val="00936492"/>
    <w:rsid w:val="00936A27"/>
    <w:rsid w:val="00936AEB"/>
    <w:rsid w:val="00936BFB"/>
    <w:rsid w:val="00936D79"/>
    <w:rsid w:val="00937057"/>
    <w:rsid w:val="00937608"/>
    <w:rsid w:val="00937652"/>
    <w:rsid w:val="0093766A"/>
    <w:rsid w:val="009379C5"/>
    <w:rsid w:val="00937A97"/>
    <w:rsid w:val="00937AF3"/>
    <w:rsid w:val="00937BF4"/>
    <w:rsid w:val="00937D9A"/>
    <w:rsid w:val="00937E20"/>
    <w:rsid w:val="00937E51"/>
    <w:rsid w:val="00937EB5"/>
    <w:rsid w:val="00937FB0"/>
    <w:rsid w:val="00937FD9"/>
    <w:rsid w:val="009400F0"/>
    <w:rsid w:val="00940717"/>
    <w:rsid w:val="00940D30"/>
    <w:rsid w:val="00940DB2"/>
    <w:rsid w:val="009410C4"/>
    <w:rsid w:val="00941232"/>
    <w:rsid w:val="00941287"/>
    <w:rsid w:val="009413E0"/>
    <w:rsid w:val="00941F14"/>
    <w:rsid w:val="00941FBE"/>
    <w:rsid w:val="0094214E"/>
    <w:rsid w:val="00942225"/>
    <w:rsid w:val="00942763"/>
    <w:rsid w:val="0094279A"/>
    <w:rsid w:val="00942884"/>
    <w:rsid w:val="00942943"/>
    <w:rsid w:val="00942CE9"/>
    <w:rsid w:val="00942CEF"/>
    <w:rsid w:val="00942D75"/>
    <w:rsid w:val="00942DFD"/>
    <w:rsid w:val="0094347A"/>
    <w:rsid w:val="00943522"/>
    <w:rsid w:val="009435D1"/>
    <w:rsid w:val="0094362B"/>
    <w:rsid w:val="009438BD"/>
    <w:rsid w:val="00943B9B"/>
    <w:rsid w:val="00943EC3"/>
    <w:rsid w:val="00943F10"/>
    <w:rsid w:val="00944002"/>
    <w:rsid w:val="00944097"/>
    <w:rsid w:val="009441BC"/>
    <w:rsid w:val="00944336"/>
    <w:rsid w:val="00944375"/>
    <w:rsid w:val="009446C2"/>
    <w:rsid w:val="00944825"/>
    <w:rsid w:val="009449EF"/>
    <w:rsid w:val="00944E89"/>
    <w:rsid w:val="00944F23"/>
    <w:rsid w:val="00944F9B"/>
    <w:rsid w:val="0094510D"/>
    <w:rsid w:val="009451C7"/>
    <w:rsid w:val="0094533E"/>
    <w:rsid w:val="00945462"/>
    <w:rsid w:val="00945926"/>
    <w:rsid w:val="00945BAE"/>
    <w:rsid w:val="00945D4C"/>
    <w:rsid w:val="00945EE7"/>
    <w:rsid w:val="00945F78"/>
    <w:rsid w:val="009460AC"/>
    <w:rsid w:val="009461E6"/>
    <w:rsid w:val="0094655C"/>
    <w:rsid w:val="0094664C"/>
    <w:rsid w:val="00946738"/>
    <w:rsid w:val="00946804"/>
    <w:rsid w:val="00946894"/>
    <w:rsid w:val="00946CD2"/>
    <w:rsid w:val="00946DE0"/>
    <w:rsid w:val="00946F52"/>
    <w:rsid w:val="00946FFB"/>
    <w:rsid w:val="009476CE"/>
    <w:rsid w:val="00947740"/>
    <w:rsid w:val="0095002D"/>
    <w:rsid w:val="00950030"/>
    <w:rsid w:val="0095023D"/>
    <w:rsid w:val="0095026F"/>
    <w:rsid w:val="0095071F"/>
    <w:rsid w:val="00950810"/>
    <w:rsid w:val="00950919"/>
    <w:rsid w:val="00950C10"/>
    <w:rsid w:val="009510DB"/>
    <w:rsid w:val="00951422"/>
    <w:rsid w:val="009514AF"/>
    <w:rsid w:val="00951515"/>
    <w:rsid w:val="00951643"/>
    <w:rsid w:val="0095165A"/>
    <w:rsid w:val="00951961"/>
    <w:rsid w:val="00951C82"/>
    <w:rsid w:val="00951CAC"/>
    <w:rsid w:val="00951EDB"/>
    <w:rsid w:val="009520B4"/>
    <w:rsid w:val="0095232E"/>
    <w:rsid w:val="009523E4"/>
    <w:rsid w:val="0095270F"/>
    <w:rsid w:val="00952B4E"/>
    <w:rsid w:val="00952B80"/>
    <w:rsid w:val="00952C13"/>
    <w:rsid w:val="00952C33"/>
    <w:rsid w:val="00952CE1"/>
    <w:rsid w:val="00952DD0"/>
    <w:rsid w:val="00952F45"/>
    <w:rsid w:val="0095351D"/>
    <w:rsid w:val="00953563"/>
    <w:rsid w:val="009537CD"/>
    <w:rsid w:val="009538D0"/>
    <w:rsid w:val="00953925"/>
    <w:rsid w:val="009539AC"/>
    <w:rsid w:val="00953C5A"/>
    <w:rsid w:val="00953D1C"/>
    <w:rsid w:val="009540A0"/>
    <w:rsid w:val="00954488"/>
    <w:rsid w:val="009544DD"/>
    <w:rsid w:val="00954E8E"/>
    <w:rsid w:val="00954EBB"/>
    <w:rsid w:val="00955318"/>
    <w:rsid w:val="009555A7"/>
    <w:rsid w:val="009558F1"/>
    <w:rsid w:val="009558F4"/>
    <w:rsid w:val="00955A50"/>
    <w:rsid w:val="00955B2C"/>
    <w:rsid w:val="00955DCC"/>
    <w:rsid w:val="00955F54"/>
    <w:rsid w:val="00956016"/>
    <w:rsid w:val="00956403"/>
    <w:rsid w:val="0095679B"/>
    <w:rsid w:val="009567EA"/>
    <w:rsid w:val="00956A85"/>
    <w:rsid w:val="00956D35"/>
    <w:rsid w:val="00956ED4"/>
    <w:rsid w:val="00956F27"/>
    <w:rsid w:val="009572B1"/>
    <w:rsid w:val="00957457"/>
    <w:rsid w:val="009578DA"/>
    <w:rsid w:val="009579F6"/>
    <w:rsid w:val="00957B57"/>
    <w:rsid w:val="00957D33"/>
    <w:rsid w:val="00957EAC"/>
    <w:rsid w:val="00957EB5"/>
    <w:rsid w:val="00957F29"/>
    <w:rsid w:val="0096017D"/>
    <w:rsid w:val="00960404"/>
    <w:rsid w:val="0096054F"/>
    <w:rsid w:val="0096071F"/>
    <w:rsid w:val="00960836"/>
    <w:rsid w:val="0096091B"/>
    <w:rsid w:val="0096093C"/>
    <w:rsid w:val="00960EA2"/>
    <w:rsid w:val="00960EAF"/>
    <w:rsid w:val="009612FB"/>
    <w:rsid w:val="009615FC"/>
    <w:rsid w:val="009617A9"/>
    <w:rsid w:val="00961AE4"/>
    <w:rsid w:val="00961B4A"/>
    <w:rsid w:val="00961B52"/>
    <w:rsid w:val="00961F8A"/>
    <w:rsid w:val="00962029"/>
    <w:rsid w:val="009622A5"/>
    <w:rsid w:val="00962349"/>
    <w:rsid w:val="0096252A"/>
    <w:rsid w:val="009625A5"/>
    <w:rsid w:val="009625B9"/>
    <w:rsid w:val="009627C4"/>
    <w:rsid w:val="00962819"/>
    <w:rsid w:val="00962916"/>
    <w:rsid w:val="00962B4B"/>
    <w:rsid w:val="00962C9D"/>
    <w:rsid w:val="0096368D"/>
    <w:rsid w:val="00963881"/>
    <w:rsid w:val="009638D3"/>
    <w:rsid w:val="009639C4"/>
    <w:rsid w:val="00963BA0"/>
    <w:rsid w:val="00963DC2"/>
    <w:rsid w:val="00963F75"/>
    <w:rsid w:val="00963FD7"/>
    <w:rsid w:val="00964472"/>
    <w:rsid w:val="009645D0"/>
    <w:rsid w:val="0096463A"/>
    <w:rsid w:val="009648FF"/>
    <w:rsid w:val="00964A13"/>
    <w:rsid w:val="00964B00"/>
    <w:rsid w:val="00964ED2"/>
    <w:rsid w:val="00964F0D"/>
    <w:rsid w:val="00965154"/>
    <w:rsid w:val="0096516B"/>
    <w:rsid w:val="0096543A"/>
    <w:rsid w:val="00965730"/>
    <w:rsid w:val="00965C6A"/>
    <w:rsid w:val="00965FE9"/>
    <w:rsid w:val="0096600B"/>
    <w:rsid w:val="00966067"/>
    <w:rsid w:val="009661D1"/>
    <w:rsid w:val="00966235"/>
    <w:rsid w:val="0096648A"/>
    <w:rsid w:val="00966499"/>
    <w:rsid w:val="00966672"/>
    <w:rsid w:val="00966687"/>
    <w:rsid w:val="009667D9"/>
    <w:rsid w:val="009667DB"/>
    <w:rsid w:val="00966E92"/>
    <w:rsid w:val="009671B0"/>
    <w:rsid w:val="0096721E"/>
    <w:rsid w:val="0096728E"/>
    <w:rsid w:val="0096762B"/>
    <w:rsid w:val="009678AF"/>
    <w:rsid w:val="00967C92"/>
    <w:rsid w:val="00967D7E"/>
    <w:rsid w:val="00967DD5"/>
    <w:rsid w:val="00967DF8"/>
    <w:rsid w:val="009700FA"/>
    <w:rsid w:val="00970171"/>
    <w:rsid w:val="0097076A"/>
    <w:rsid w:val="00970C01"/>
    <w:rsid w:val="009710E0"/>
    <w:rsid w:val="0097157B"/>
    <w:rsid w:val="0097158B"/>
    <w:rsid w:val="009716F1"/>
    <w:rsid w:val="00971931"/>
    <w:rsid w:val="00971AFB"/>
    <w:rsid w:val="00971EAC"/>
    <w:rsid w:val="0097201C"/>
    <w:rsid w:val="00972119"/>
    <w:rsid w:val="0097248C"/>
    <w:rsid w:val="009724BF"/>
    <w:rsid w:val="009726B4"/>
    <w:rsid w:val="00972831"/>
    <w:rsid w:val="00972895"/>
    <w:rsid w:val="009729D3"/>
    <w:rsid w:val="00973095"/>
    <w:rsid w:val="009731EA"/>
    <w:rsid w:val="00973244"/>
    <w:rsid w:val="009732A1"/>
    <w:rsid w:val="009732F2"/>
    <w:rsid w:val="00973309"/>
    <w:rsid w:val="00973590"/>
    <w:rsid w:val="0097379C"/>
    <w:rsid w:val="00973E88"/>
    <w:rsid w:val="00973EDB"/>
    <w:rsid w:val="009740F4"/>
    <w:rsid w:val="009741DD"/>
    <w:rsid w:val="009746E7"/>
    <w:rsid w:val="00974743"/>
    <w:rsid w:val="00974895"/>
    <w:rsid w:val="00974C5C"/>
    <w:rsid w:val="00974DD2"/>
    <w:rsid w:val="00974E46"/>
    <w:rsid w:val="00974EF5"/>
    <w:rsid w:val="00974F78"/>
    <w:rsid w:val="0097513F"/>
    <w:rsid w:val="00975387"/>
    <w:rsid w:val="009753F5"/>
    <w:rsid w:val="009753F8"/>
    <w:rsid w:val="009756DF"/>
    <w:rsid w:val="00975FDF"/>
    <w:rsid w:val="0097631B"/>
    <w:rsid w:val="009763DE"/>
    <w:rsid w:val="00976567"/>
    <w:rsid w:val="0097691F"/>
    <w:rsid w:val="00976929"/>
    <w:rsid w:val="00976949"/>
    <w:rsid w:val="00976A78"/>
    <w:rsid w:val="00976C55"/>
    <w:rsid w:val="00976F4F"/>
    <w:rsid w:val="00976FAF"/>
    <w:rsid w:val="00977260"/>
    <w:rsid w:val="009775F9"/>
    <w:rsid w:val="00977742"/>
    <w:rsid w:val="0097797A"/>
    <w:rsid w:val="00977A8E"/>
    <w:rsid w:val="00977F51"/>
    <w:rsid w:val="00980011"/>
    <w:rsid w:val="0098032C"/>
    <w:rsid w:val="00980360"/>
    <w:rsid w:val="009804BD"/>
    <w:rsid w:val="00980685"/>
    <w:rsid w:val="00980707"/>
    <w:rsid w:val="00980772"/>
    <w:rsid w:val="0098078E"/>
    <w:rsid w:val="00980880"/>
    <w:rsid w:val="00980928"/>
    <w:rsid w:val="00980BDC"/>
    <w:rsid w:val="00980E7F"/>
    <w:rsid w:val="00980FF3"/>
    <w:rsid w:val="00981109"/>
    <w:rsid w:val="0098172F"/>
    <w:rsid w:val="009817DE"/>
    <w:rsid w:val="009817E2"/>
    <w:rsid w:val="00981901"/>
    <w:rsid w:val="009819BE"/>
    <w:rsid w:val="009819D4"/>
    <w:rsid w:val="00981DB2"/>
    <w:rsid w:val="00981F1D"/>
    <w:rsid w:val="009820B8"/>
    <w:rsid w:val="009820E3"/>
    <w:rsid w:val="0098247E"/>
    <w:rsid w:val="009826DE"/>
    <w:rsid w:val="009827D2"/>
    <w:rsid w:val="009827ED"/>
    <w:rsid w:val="00982B49"/>
    <w:rsid w:val="00982BD7"/>
    <w:rsid w:val="00982DA5"/>
    <w:rsid w:val="00982E28"/>
    <w:rsid w:val="00982FC5"/>
    <w:rsid w:val="00983049"/>
    <w:rsid w:val="009831E6"/>
    <w:rsid w:val="009831F7"/>
    <w:rsid w:val="00983209"/>
    <w:rsid w:val="00983409"/>
    <w:rsid w:val="0098350A"/>
    <w:rsid w:val="00983521"/>
    <w:rsid w:val="00983581"/>
    <w:rsid w:val="00983AD7"/>
    <w:rsid w:val="00983B37"/>
    <w:rsid w:val="00983B8F"/>
    <w:rsid w:val="00983CD3"/>
    <w:rsid w:val="0098430E"/>
    <w:rsid w:val="00984431"/>
    <w:rsid w:val="009846DC"/>
    <w:rsid w:val="0098474C"/>
    <w:rsid w:val="009849A1"/>
    <w:rsid w:val="00984A1B"/>
    <w:rsid w:val="00984A85"/>
    <w:rsid w:val="00984BE8"/>
    <w:rsid w:val="00984F81"/>
    <w:rsid w:val="00985148"/>
    <w:rsid w:val="00985231"/>
    <w:rsid w:val="009853C9"/>
    <w:rsid w:val="009856D6"/>
    <w:rsid w:val="0098581D"/>
    <w:rsid w:val="00985825"/>
    <w:rsid w:val="00985875"/>
    <w:rsid w:val="0098597E"/>
    <w:rsid w:val="009859E6"/>
    <w:rsid w:val="00985A38"/>
    <w:rsid w:val="00985F0A"/>
    <w:rsid w:val="00986295"/>
    <w:rsid w:val="009867CD"/>
    <w:rsid w:val="0098685D"/>
    <w:rsid w:val="00986B1E"/>
    <w:rsid w:val="00986C33"/>
    <w:rsid w:val="00987031"/>
    <w:rsid w:val="009870CF"/>
    <w:rsid w:val="009871CF"/>
    <w:rsid w:val="009874D6"/>
    <w:rsid w:val="00987A3C"/>
    <w:rsid w:val="00987DB6"/>
    <w:rsid w:val="00987E27"/>
    <w:rsid w:val="00987E99"/>
    <w:rsid w:val="0099005F"/>
    <w:rsid w:val="00990507"/>
    <w:rsid w:val="009905AE"/>
    <w:rsid w:val="00990A1D"/>
    <w:rsid w:val="00990A67"/>
    <w:rsid w:val="00990CE5"/>
    <w:rsid w:val="00990DB7"/>
    <w:rsid w:val="00991166"/>
    <w:rsid w:val="0099125C"/>
    <w:rsid w:val="00991436"/>
    <w:rsid w:val="009914A4"/>
    <w:rsid w:val="009915F4"/>
    <w:rsid w:val="0099163F"/>
    <w:rsid w:val="00991712"/>
    <w:rsid w:val="0099197E"/>
    <w:rsid w:val="009919B8"/>
    <w:rsid w:val="009919BD"/>
    <w:rsid w:val="00991F91"/>
    <w:rsid w:val="00991FBA"/>
    <w:rsid w:val="009921C0"/>
    <w:rsid w:val="009925C6"/>
    <w:rsid w:val="00992648"/>
    <w:rsid w:val="0099264E"/>
    <w:rsid w:val="00992D7A"/>
    <w:rsid w:val="00992D80"/>
    <w:rsid w:val="00992E5A"/>
    <w:rsid w:val="009931B8"/>
    <w:rsid w:val="00993445"/>
    <w:rsid w:val="0099380D"/>
    <w:rsid w:val="009938FB"/>
    <w:rsid w:val="00993AC3"/>
    <w:rsid w:val="009941DF"/>
    <w:rsid w:val="009948BC"/>
    <w:rsid w:val="00994B1D"/>
    <w:rsid w:val="00994C2B"/>
    <w:rsid w:val="00994D42"/>
    <w:rsid w:val="00994EBE"/>
    <w:rsid w:val="00994F44"/>
    <w:rsid w:val="00995168"/>
    <w:rsid w:val="009956C1"/>
    <w:rsid w:val="00995726"/>
    <w:rsid w:val="009957CE"/>
    <w:rsid w:val="00995B59"/>
    <w:rsid w:val="00995C0C"/>
    <w:rsid w:val="00995D4F"/>
    <w:rsid w:val="00995E17"/>
    <w:rsid w:val="00995EC5"/>
    <w:rsid w:val="00995F80"/>
    <w:rsid w:val="00996026"/>
    <w:rsid w:val="009966DE"/>
    <w:rsid w:val="00996742"/>
    <w:rsid w:val="009968F7"/>
    <w:rsid w:val="00996BE3"/>
    <w:rsid w:val="009971A4"/>
    <w:rsid w:val="009973EE"/>
    <w:rsid w:val="009974F9"/>
    <w:rsid w:val="009975D1"/>
    <w:rsid w:val="009976F1"/>
    <w:rsid w:val="00997BB5"/>
    <w:rsid w:val="00997BCB"/>
    <w:rsid w:val="009A013B"/>
    <w:rsid w:val="009A046C"/>
    <w:rsid w:val="009A04D5"/>
    <w:rsid w:val="009A0503"/>
    <w:rsid w:val="009A06D3"/>
    <w:rsid w:val="009A07F5"/>
    <w:rsid w:val="009A09E7"/>
    <w:rsid w:val="009A0D6D"/>
    <w:rsid w:val="009A0D95"/>
    <w:rsid w:val="009A116D"/>
    <w:rsid w:val="009A1287"/>
    <w:rsid w:val="009A14EE"/>
    <w:rsid w:val="009A181E"/>
    <w:rsid w:val="009A19E9"/>
    <w:rsid w:val="009A1D7D"/>
    <w:rsid w:val="009A1DC3"/>
    <w:rsid w:val="009A1F20"/>
    <w:rsid w:val="009A2090"/>
    <w:rsid w:val="009A20E7"/>
    <w:rsid w:val="009A20ED"/>
    <w:rsid w:val="009A250A"/>
    <w:rsid w:val="009A2549"/>
    <w:rsid w:val="009A25DB"/>
    <w:rsid w:val="009A2625"/>
    <w:rsid w:val="009A291F"/>
    <w:rsid w:val="009A2AFA"/>
    <w:rsid w:val="009A2C4C"/>
    <w:rsid w:val="009A2E12"/>
    <w:rsid w:val="009A2EA3"/>
    <w:rsid w:val="009A3040"/>
    <w:rsid w:val="009A31F2"/>
    <w:rsid w:val="009A3523"/>
    <w:rsid w:val="009A38CC"/>
    <w:rsid w:val="009A3C62"/>
    <w:rsid w:val="009A3CA6"/>
    <w:rsid w:val="009A3F44"/>
    <w:rsid w:val="009A4418"/>
    <w:rsid w:val="009A4842"/>
    <w:rsid w:val="009A4917"/>
    <w:rsid w:val="009A4A0C"/>
    <w:rsid w:val="009A4E12"/>
    <w:rsid w:val="009A4F21"/>
    <w:rsid w:val="009A4F4C"/>
    <w:rsid w:val="009A5056"/>
    <w:rsid w:val="009A50DE"/>
    <w:rsid w:val="009A523B"/>
    <w:rsid w:val="009A53EE"/>
    <w:rsid w:val="009A555D"/>
    <w:rsid w:val="009A5736"/>
    <w:rsid w:val="009A5813"/>
    <w:rsid w:val="009A5ACE"/>
    <w:rsid w:val="009A5AFC"/>
    <w:rsid w:val="009A5E4D"/>
    <w:rsid w:val="009A5FE3"/>
    <w:rsid w:val="009A677F"/>
    <w:rsid w:val="009A6795"/>
    <w:rsid w:val="009A67EF"/>
    <w:rsid w:val="009A6AD0"/>
    <w:rsid w:val="009A6BF0"/>
    <w:rsid w:val="009A6CAC"/>
    <w:rsid w:val="009A6D3B"/>
    <w:rsid w:val="009A6ED6"/>
    <w:rsid w:val="009A70FF"/>
    <w:rsid w:val="009A743E"/>
    <w:rsid w:val="009A7501"/>
    <w:rsid w:val="009A7954"/>
    <w:rsid w:val="009A79BA"/>
    <w:rsid w:val="009A7C3D"/>
    <w:rsid w:val="009A7DF3"/>
    <w:rsid w:val="009A7F0B"/>
    <w:rsid w:val="009B004F"/>
    <w:rsid w:val="009B00C3"/>
    <w:rsid w:val="009B03C6"/>
    <w:rsid w:val="009B0523"/>
    <w:rsid w:val="009B05F5"/>
    <w:rsid w:val="009B096E"/>
    <w:rsid w:val="009B0C03"/>
    <w:rsid w:val="009B129D"/>
    <w:rsid w:val="009B1500"/>
    <w:rsid w:val="009B1599"/>
    <w:rsid w:val="009B15A6"/>
    <w:rsid w:val="009B15E5"/>
    <w:rsid w:val="009B1679"/>
    <w:rsid w:val="009B1863"/>
    <w:rsid w:val="009B1988"/>
    <w:rsid w:val="009B1A9E"/>
    <w:rsid w:val="009B1C65"/>
    <w:rsid w:val="009B1D24"/>
    <w:rsid w:val="009B2175"/>
    <w:rsid w:val="009B2A49"/>
    <w:rsid w:val="009B2B91"/>
    <w:rsid w:val="009B2C48"/>
    <w:rsid w:val="009B3001"/>
    <w:rsid w:val="009B32E1"/>
    <w:rsid w:val="009B33EF"/>
    <w:rsid w:val="009B3438"/>
    <w:rsid w:val="009B3824"/>
    <w:rsid w:val="009B399B"/>
    <w:rsid w:val="009B3A88"/>
    <w:rsid w:val="009B3E6E"/>
    <w:rsid w:val="009B40E8"/>
    <w:rsid w:val="009B428A"/>
    <w:rsid w:val="009B4331"/>
    <w:rsid w:val="009B4492"/>
    <w:rsid w:val="009B44AE"/>
    <w:rsid w:val="009B453F"/>
    <w:rsid w:val="009B4838"/>
    <w:rsid w:val="009B4A8C"/>
    <w:rsid w:val="009B4B7E"/>
    <w:rsid w:val="009B4E05"/>
    <w:rsid w:val="009B4F35"/>
    <w:rsid w:val="009B4FC6"/>
    <w:rsid w:val="009B50D9"/>
    <w:rsid w:val="009B5209"/>
    <w:rsid w:val="009B5348"/>
    <w:rsid w:val="009B582F"/>
    <w:rsid w:val="009B593A"/>
    <w:rsid w:val="009B5980"/>
    <w:rsid w:val="009B5A8D"/>
    <w:rsid w:val="009B60D7"/>
    <w:rsid w:val="009B62EC"/>
    <w:rsid w:val="009B6350"/>
    <w:rsid w:val="009B645A"/>
    <w:rsid w:val="009B647A"/>
    <w:rsid w:val="009B6505"/>
    <w:rsid w:val="009B655C"/>
    <w:rsid w:val="009B66BD"/>
    <w:rsid w:val="009B6C19"/>
    <w:rsid w:val="009B6EBC"/>
    <w:rsid w:val="009B6F58"/>
    <w:rsid w:val="009B7005"/>
    <w:rsid w:val="009B7049"/>
    <w:rsid w:val="009B729F"/>
    <w:rsid w:val="009B739B"/>
    <w:rsid w:val="009B7873"/>
    <w:rsid w:val="009B7983"/>
    <w:rsid w:val="009B7C08"/>
    <w:rsid w:val="009B7FD2"/>
    <w:rsid w:val="009B7FE0"/>
    <w:rsid w:val="009C00CB"/>
    <w:rsid w:val="009C0305"/>
    <w:rsid w:val="009C0452"/>
    <w:rsid w:val="009C05D0"/>
    <w:rsid w:val="009C0ABF"/>
    <w:rsid w:val="009C121A"/>
    <w:rsid w:val="009C13B4"/>
    <w:rsid w:val="009C142A"/>
    <w:rsid w:val="009C1501"/>
    <w:rsid w:val="009C1656"/>
    <w:rsid w:val="009C16A0"/>
    <w:rsid w:val="009C17EA"/>
    <w:rsid w:val="009C1A44"/>
    <w:rsid w:val="009C1AF3"/>
    <w:rsid w:val="009C1D29"/>
    <w:rsid w:val="009C1DFA"/>
    <w:rsid w:val="009C1F7C"/>
    <w:rsid w:val="009C1FD2"/>
    <w:rsid w:val="009C219C"/>
    <w:rsid w:val="009C21C1"/>
    <w:rsid w:val="009C22BA"/>
    <w:rsid w:val="009C24E1"/>
    <w:rsid w:val="009C259A"/>
    <w:rsid w:val="009C29D6"/>
    <w:rsid w:val="009C2A99"/>
    <w:rsid w:val="009C2BBE"/>
    <w:rsid w:val="009C2D79"/>
    <w:rsid w:val="009C2DCB"/>
    <w:rsid w:val="009C2E2A"/>
    <w:rsid w:val="009C2EEA"/>
    <w:rsid w:val="009C3346"/>
    <w:rsid w:val="009C33A5"/>
    <w:rsid w:val="009C36B9"/>
    <w:rsid w:val="009C387C"/>
    <w:rsid w:val="009C3ED7"/>
    <w:rsid w:val="009C3F04"/>
    <w:rsid w:val="009C3F8F"/>
    <w:rsid w:val="009C42D0"/>
    <w:rsid w:val="009C431A"/>
    <w:rsid w:val="009C44E8"/>
    <w:rsid w:val="009C44FD"/>
    <w:rsid w:val="009C454F"/>
    <w:rsid w:val="009C484E"/>
    <w:rsid w:val="009C48F1"/>
    <w:rsid w:val="009C4C66"/>
    <w:rsid w:val="009C4CBE"/>
    <w:rsid w:val="009C4D96"/>
    <w:rsid w:val="009C4DE5"/>
    <w:rsid w:val="009C4FCC"/>
    <w:rsid w:val="009C50A3"/>
    <w:rsid w:val="009C50BF"/>
    <w:rsid w:val="009C5106"/>
    <w:rsid w:val="009C54A6"/>
    <w:rsid w:val="009C56D9"/>
    <w:rsid w:val="009C56E4"/>
    <w:rsid w:val="009C5963"/>
    <w:rsid w:val="009C5CAD"/>
    <w:rsid w:val="009C5E4A"/>
    <w:rsid w:val="009C5EE9"/>
    <w:rsid w:val="009C6080"/>
    <w:rsid w:val="009C657E"/>
    <w:rsid w:val="009C65F0"/>
    <w:rsid w:val="009C6A96"/>
    <w:rsid w:val="009C6AA5"/>
    <w:rsid w:val="009C7755"/>
    <w:rsid w:val="009C79CE"/>
    <w:rsid w:val="009C7B88"/>
    <w:rsid w:val="009C7BDD"/>
    <w:rsid w:val="009D00B4"/>
    <w:rsid w:val="009D01C8"/>
    <w:rsid w:val="009D02CA"/>
    <w:rsid w:val="009D0487"/>
    <w:rsid w:val="009D07F0"/>
    <w:rsid w:val="009D0907"/>
    <w:rsid w:val="009D0995"/>
    <w:rsid w:val="009D09FE"/>
    <w:rsid w:val="009D0C76"/>
    <w:rsid w:val="009D0CD4"/>
    <w:rsid w:val="009D0E57"/>
    <w:rsid w:val="009D105C"/>
    <w:rsid w:val="009D13CD"/>
    <w:rsid w:val="009D18C9"/>
    <w:rsid w:val="009D1EE1"/>
    <w:rsid w:val="009D1EFB"/>
    <w:rsid w:val="009D201F"/>
    <w:rsid w:val="009D214D"/>
    <w:rsid w:val="009D2291"/>
    <w:rsid w:val="009D23CC"/>
    <w:rsid w:val="009D2474"/>
    <w:rsid w:val="009D2561"/>
    <w:rsid w:val="009D262E"/>
    <w:rsid w:val="009D29F4"/>
    <w:rsid w:val="009D2F40"/>
    <w:rsid w:val="009D310C"/>
    <w:rsid w:val="009D3174"/>
    <w:rsid w:val="009D35B6"/>
    <w:rsid w:val="009D36ED"/>
    <w:rsid w:val="009D3711"/>
    <w:rsid w:val="009D37C1"/>
    <w:rsid w:val="009D397A"/>
    <w:rsid w:val="009D3DAB"/>
    <w:rsid w:val="009D3F7A"/>
    <w:rsid w:val="009D3F93"/>
    <w:rsid w:val="009D43D4"/>
    <w:rsid w:val="009D4412"/>
    <w:rsid w:val="009D447B"/>
    <w:rsid w:val="009D45A4"/>
    <w:rsid w:val="009D4618"/>
    <w:rsid w:val="009D4792"/>
    <w:rsid w:val="009D4B4E"/>
    <w:rsid w:val="009D4D62"/>
    <w:rsid w:val="009D4F5C"/>
    <w:rsid w:val="009D55C2"/>
    <w:rsid w:val="009D592F"/>
    <w:rsid w:val="009D5991"/>
    <w:rsid w:val="009D5B21"/>
    <w:rsid w:val="009D5C24"/>
    <w:rsid w:val="009D5D37"/>
    <w:rsid w:val="009D6293"/>
    <w:rsid w:val="009D62DA"/>
    <w:rsid w:val="009D6A1C"/>
    <w:rsid w:val="009D6A1F"/>
    <w:rsid w:val="009D6A9A"/>
    <w:rsid w:val="009D6E36"/>
    <w:rsid w:val="009D702A"/>
    <w:rsid w:val="009D70BF"/>
    <w:rsid w:val="009D7106"/>
    <w:rsid w:val="009D74DF"/>
    <w:rsid w:val="009D7C73"/>
    <w:rsid w:val="009D7D36"/>
    <w:rsid w:val="009D7D93"/>
    <w:rsid w:val="009E01FA"/>
    <w:rsid w:val="009E0702"/>
    <w:rsid w:val="009E0729"/>
    <w:rsid w:val="009E0A21"/>
    <w:rsid w:val="009E0AC0"/>
    <w:rsid w:val="009E0BF3"/>
    <w:rsid w:val="009E0C49"/>
    <w:rsid w:val="009E0D13"/>
    <w:rsid w:val="009E0E49"/>
    <w:rsid w:val="009E0F01"/>
    <w:rsid w:val="009E10D7"/>
    <w:rsid w:val="009E11C5"/>
    <w:rsid w:val="009E192B"/>
    <w:rsid w:val="009E1DE3"/>
    <w:rsid w:val="009E2176"/>
    <w:rsid w:val="009E21A4"/>
    <w:rsid w:val="009E244B"/>
    <w:rsid w:val="009E24BB"/>
    <w:rsid w:val="009E2696"/>
    <w:rsid w:val="009E2738"/>
    <w:rsid w:val="009E284A"/>
    <w:rsid w:val="009E2A7D"/>
    <w:rsid w:val="009E2BBD"/>
    <w:rsid w:val="009E2BD2"/>
    <w:rsid w:val="009E2D3F"/>
    <w:rsid w:val="009E2E4E"/>
    <w:rsid w:val="009E2ED1"/>
    <w:rsid w:val="009E3091"/>
    <w:rsid w:val="009E334B"/>
    <w:rsid w:val="009E347D"/>
    <w:rsid w:val="009E3755"/>
    <w:rsid w:val="009E3822"/>
    <w:rsid w:val="009E3B08"/>
    <w:rsid w:val="009E3B59"/>
    <w:rsid w:val="009E3EAD"/>
    <w:rsid w:val="009E3F13"/>
    <w:rsid w:val="009E4431"/>
    <w:rsid w:val="009E4548"/>
    <w:rsid w:val="009E46B0"/>
    <w:rsid w:val="009E470E"/>
    <w:rsid w:val="009E4801"/>
    <w:rsid w:val="009E4AC4"/>
    <w:rsid w:val="009E4B22"/>
    <w:rsid w:val="009E4C1C"/>
    <w:rsid w:val="009E4D2A"/>
    <w:rsid w:val="009E50A5"/>
    <w:rsid w:val="009E51C0"/>
    <w:rsid w:val="009E5246"/>
    <w:rsid w:val="009E543A"/>
    <w:rsid w:val="009E554E"/>
    <w:rsid w:val="009E55F3"/>
    <w:rsid w:val="009E5644"/>
    <w:rsid w:val="009E5A7B"/>
    <w:rsid w:val="009E5B98"/>
    <w:rsid w:val="009E5B9B"/>
    <w:rsid w:val="009E5CA1"/>
    <w:rsid w:val="009E5E6E"/>
    <w:rsid w:val="009E6149"/>
    <w:rsid w:val="009E651E"/>
    <w:rsid w:val="009E65AF"/>
    <w:rsid w:val="009E66A2"/>
    <w:rsid w:val="009E6A65"/>
    <w:rsid w:val="009E6EB2"/>
    <w:rsid w:val="009E6EE7"/>
    <w:rsid w:val="009E70B6"/>
    <w:rsid w:val="009E725C"/>
    <w:rsid w:val="009E7350"/>
    <w:rsid w:val="009E7478"/>
    <w:rsid w:val="009E767B"/>
    <w:rsid w:val="009E7AD1"/>
    <w:rsid w:val="009E7B69"/>
    <w:rsid w:val="009E7B90"/>
    <w:rsid w:val="009E7C1D"/>
    <w:rsid w:val="009E7C47"/>
    <w:rsid w:val="009E7CDA"/>
    <w:rsid w:val="009F01F5"/>
    <w:rsid w:val="009F0369"/>
    <w:rsid w:val="009F0617"/>
    <w:rsid w:val="009F087B"/>
    <w:rsid w:val="009F0923"/>
    <w:rsid w:val="009F09F1"/>
    <w:rsid w:val="009F0A5A"/>
    <w:rsid w:val="009F0BAD"/>
    <w:rsid w:val="009F0BDD"/>
    <w:rsid w:val="009F0C2F"/>
    <w:rsid w:val="009F0E5F"/>
    <w:rsid w:val="009F0EC7"/>
    <w:rsid w:val="009F0EF2"/>
    <w:rsid w:val="009F111D"/>
    <w:rsid w:val="009F12DE"/>
    <w:rsid w:val="009F141B"/>
    <w:rsid w:val="009F18E3"/>
    <w:rsid w:val="009F199A"/>
    <w:rsid w:val="009F19C9"/>
    <w:rsid w:val="009F1A2E"/>
    <w:rsid w:val="009F1BE1"/>
    <w:rsid w:val="009F1E0D"/>
    <w:rsid w:val="009F20B5"/>
    <w:rsid w:val="009F217F"/>
    <w:rsid w:val="009F275C"/>
    <w:rsid w:val="009F28A5"/>
    <w:rsid w:val="009F292A"/>
    <w:rsid w:val="009F29D9"/>
    <w:rsid w:val="009F2B09"/>
    <w:rsid w:val="009F2B25"/>
    <w:rsid w:val="009F30DD"/>
    <w:rsid w:val="009F312F"/>
    <w:rsid w:val="009F31A3"/>
    <w:rsid w:val="009F31E7"/>
    <w:rsid w:val="009F33BF"/>
    <w:rsid w:val="009F3538"/>
    <w:rsid w:val="009F3B82"/>
    <w:rsid w:val="009F3C23"/>
    <w:rsid w:val="009F3D05"/>
    <w:rsid w:val="009F3DE0"/>
    <w:rsid w:val="009F3EFB"/>
    <w:rsid w:val="009F4013"/>
    <w:rsid w:val="009F4019"/>
    <w:rsid w:val="009F4428"/>
    <w:rsid w:val="009F47C7"/>
    <w:rsid w:val="009F49A4"/>
    <w:rsid w:val="009F4A7A"/>
    <w:rsid w:val="009F4B7F"/>
    <w:rsid w:val="009F4E13"/>
    <w:rsid w:val="009F4F9E"/>
    <w:rsid w:val="009F5232"/>
    <w:rsid w:val="009F5350"/>
    <w:rsid w:val="009F5440"/>
    <w:rsid w:val="009F568D"/>
    <w:rsid w:val="009F57FF"/>
    <w:rsid w:val="009F588B"/>
    <w:rsid w:val="009F597E"/>
    <w:rsid w:val="009F5A5D"/>
    <w:rsid w:val="009F5A5E"/>
    <w:rsid w:val="009F5E5C"/>
    <w:rsid w:val="009F60A7"/>
    <w:rsid w:val="009F654A"/>
    <w:rsid w:val="009F672F"/>
    <w:rsid w:val="009F690D"/>
    <w:rsid w:val="009F6B9B"/>
    <w:rsid w:val="009F6C40"/>
    <w:rsid w:val="009F6ED9"/>
    <w:rsid w:val="009F6FA4"/>
    <w:rsid w:val="009F72A3"/>
    <w:rsid w:val="009F7539"/>
    <w:rsid w:val="009F7A45"/>
    <w:rsid w:val="009F7C6B"/>
    <w:rsid w:val="009F7D7A"/>
    <w:rsid w:val="009F7DBB"/>
    <w:rsid w:val="00A00068"/>
    <w:rsid w:val="00A00250"/>
    <w:rsid w:val="00A002B6"/>
    <w:rsid w:val="00A005C7"/>
    <w:rsid w:val="00A00983"/>
    <w:rsid w:val="00A00BF0"/>
    <w:rsid w:val="00A00C9B"/>
    <w:rsid w:val="00A00D4D"/>
    <w:rsid w:val="00A00DC5"/>
    <w:rsid w:val="00A00E32"/>
    <w:rsid w:val="00A01115"/>
    <w:rsid w:val="00A0125A"/>
    <w:rsid w:val="00A01264"/>
    <w:rsid w:val="00A0153B"/>
    <w:rsid w:val="00A01861"/>
    <w:rsid w:val="00A01872"/>
    <w:rsid w:val="00A01B41"/>
    <w:rsid w:val="00A01B9C"/>
    <w:rsid w:val="00A01E00"/>
    <w:rsid w:val="00A02181"/>
    <w:rsid w:val="00A02210"/>
    <w:rsid w:val="00A02265"/>
    <w:rsid w:val="00A02553"/>
    <w:rsid w:val="00A026DF"/>
    <w:rsid w:val="00A028B1"/>
    <w:rsid w:val="00A028FD"/>
    <w:rsid w:val="00A0290A"/>
    <w:rsid w:val="00A02942"/>
    <w:rsid w:val="00A0296C"/>
    <w:rsid w:val="00A02C0A"/>
    <w:rsid w:val="00A02E24"/>
    <w:rsid w:val="00A03206"/>
    <w:rsid w:val="00A03370"/>
    <w:rsid w:val="00A03418"/>
    <w:rsid w:val="00A0347F"/>
    <w:rsid w:val="00A03936"/>
    <w:rsid w:val="00A03A5B"/>
    <w:rsid w:val="00A03B67"/>
    <w:rsid w:val="00A03C49"/>
    <w:rsid w:val="00A03C7B"/>
    <w:rsid w:val="00A03CFC"/>
    <w:rsid w:val="00A03E5B"/>
    <w:rsid w:val="00A03EA2"/>
    <w:rsid w:val="00A03F96"/>
    <w:rsid w:val="00A04171"/>
    <w:rsid w:val="00A041B7"/>
    <w:rsid w:val="00A042CB"/>
    <w:rsid w:val="00A0437E"/>
    <w:rsid w:val="00A045EC"/>
    <w:rsid w:val="00A046C3"/>
    <w:rsid w:val="00A04756"/>
    <w:rsid w:val="00A047D8"/>
    <w:rsid w:val="00A049E9"/>
    <w:rsid w:val="00A04D21"/>
    <w:rsid w:val="00A051CC"/>
    <w:rsid w:val="00A05426"/>
    <w:rsid w:val="00A05867"/>
    <w:rsid w:val="00A058B3"/>
    <w:rsid w:val="00A05B52"/>
    <w:rsid w:val="00A05CC4"/>
    <w:rsid w:val="00A060A6"/>
    <w:rsid w:val="00A0628C"/>
    <w:rsid w:val="00A06347"/>
    <w:rsid w:val="00A063FC"/>
    <w:rsid w:val="00A065CB"/>
    <w:rsid w:val="00A06C60"/>
    <w:rsid w:val="00A06CBE"/>
    <w:rsid w:val="00A06D7F"/>
    <w:rsid w:val="00A072FD"/>
    <w:rsid w:val="00A07363"/>
    <w:rsid w:val="00A07604"/>
    <w:rsid w:val="00A07897"/>
    <w:rsid w:val="00A079AC"/>
    <w:rsid w:val="00A07A73"/>
    <w:rsid w:val="00A1005E"/>
    <w:rsid w:val="00A101BB"/>
    <w:rsid w:val="00A102EE"/>
    <w:rsid w:val="00A10352"/>
    <w:rsid w:val="00A104D3"/>
    <w:rsid w:val="00A105F7"/>
    <w:rsid w:val="00A10622"/>
    <w:rsid w:val="00A107A3"/>
    <w:rsid w:val="00A107F1"/>
    <w:rsid w:val="00A1088B"/>
    <w:rsid w:val="00A1095A"/>
    <w:rsid w:val="00A10AF7"/>
    <w:rsid w:val="00A10B9C"/>
    <w:rsid w:val="00A10BF4"/>
    <w:rsid w:val="00A11116"/>
    <w:rsid w:val="00A111BD"/>
    <w:rsid w:val="00A11260"/>
    <w:rsid w:val="00A1131E"/>
    <w:rsid w:val="00A11728"/>
    <w:rsid w:val="00A11870"/>
    <w:rsid w:val="00A11F59"/>
    <w:rsid w:val="00A11F75"/>
    <w:rsid w:val="00A1228E"/>
    <w:rsid w:val="00A1265D"/>
    <w:rsid w:val="00A12712"/>
    <w:rsid w:val="00A12814"/>
    <w:rsid w:val="00A128EB"/>
    <w:rsid w:val="00A12984"/>
    <w:rsid w:val="00A129C0"/>
    <w:rsid w:val="00A12A76"/>
    <w:rsid w:val="00A12ADA"/>
    <w:rsid w:val="00A12E87"/>
    <w:rsid w:val="00A12F42"/>
    <w:rsid w:val="00A13065"/>
    <w:rsid w:val="00A13332"/>
    <w:rsid w:val="00A1342D"/>
    <w:rsid w:val="00A138B2"/>
    <w:rsid w:val="00A13B08"/>
    <w:rsid w:val="00A13BF4"/>
    <w:rsid w:val="00A13CB0"/>
    <w:rsid w:val="00A14109"/>
    <w:rsid w:val="00A1458A"/>
    <w:rsid w:val="00A14715"/>
    <w:rsid w:val="00A14771"/>
    <w:rsid w:val="00A147E1"/>
    <w:rsid w:val="00A14922"/>
    <w:rsid w:val="00A14946"/>
    <w:rsid w:val="00A14A23"/>
    <w:rsid w:val="00A14AEB"/>
    <w:rsid w:val="00A14B81"/>
    <w:rsid w:val="00A14F96"/>
    <w:rsid w:val="00A1506D"/>
    <w:rsid w:val="00A15244"/>
    <w:rsid w:val="00A15270"/>
    <w:rsid w:val="00A15875"/>
    <w:rsid w:val="00A158C4"/>
    <w:rsid w:val="00A15B9D"/>
    <w:rsid w:val="00A15C9E"/>
    <w:rsid w:val="00A16425"/>
    <w:rsid w:val="00A164B3"/>
    <w:rsid w:val="00A165D4"/>
    <w:rsid w:val="00A168B8"/>
    <w:rsid w:val="00A168BB"/>
    <w:rsid w:val="00A16957"/>
    <w:rsid w:val="00A16A05"/>
    <w:rsid w:val="00A170B8"/>
    <w:rsid w:val="00A173E0"/>
    <w:rsid w:val="00A174FC"/>
    <w:rsid w:val="00A17502"/>
    <w:rsid w:val="00A17710"/>
    <w:rsid w:val="00A17C0A"/>
    <w:rsid w:val="00A17C22"/>
    <w:rsid w:val="00A17D84"/>
    <w:rsid w:val="00A17EEC"/>
    <w:rsid w:val="00A200D2"/>
    <w:rsid w:val="00A20188"/>
    <w:rsid w:val="00A2089C"/>
    <w:rsid w:val="00A20E60"/>
    <w:rsid w:val="00A20EF6"/>
    <w:rsid w:val="00A20EFB"/>
    <w:rsid w:val="00A2127A"/>
    <w:rsid w:val="00A21334"/>
    <w:rsid w:val="00A213A8"/>
    <w:rsid w:val="00A2149C"/>
    <w:rsid w:val="00A2195B"/>
    <w:rsid w:val="00A21A48"/>
    <w:rsid w:val="00A21C80"/>
    <w:rsid w:val="00A21DAB"/>
    <w:rsid w:val="00A21F6E"/>
    <w:rsid w:val="00A221B8"/>
    <w:rsid w:val="00A2244C"/>
    <w:rsid w:val="00A225F5"/>
    <w:rsid w:val="00A22BC5"/>
    <w:rsid w:val="00A22C12"/>
    <w:rsid w:val="00A230DB"/>
    <w:rsid w:val="00A23190"/>
    <w:rsid w:val="00A23198"/>
    <w:rsid w:val="00A23661"/>
    <w:rsid w:val="00A236EE"/>
    <w:rsid w:val="00A23726"/>
    <w:rsid w:val="00A23ADD"/>
    <w:rsid w:val="00A23AE0"/>
    <w:rsid w:val="00A23C2C"/>
    <w:rsid w:val="00A23C5A"/>
    <w:rsid w:val="00A23D46"/>
    <w:rsid w:val="00A23F5A"/>
    <w:rsid w:val="00A24014"/>
    <w:rsid w:val="00A242FE"/>
    <w:rsid w:val="00A243F3"/>
    <w:rsid w:val="00A243FC"/>
    <w:rsid w:val="00A244C4"/>
    <w:rsid w:val="00A24579"/>
    <w:rsid w:val="00A247BA"/>
    <w:rsid w:val="00A2482F"/>
    <w:rsid w:val="00A24831"/>
    <w:rsid w:val="00A248E1"/>
    <w:rsid w:val="00A24B13"/>
    <w:rsid w:val="00A24E3F"/>
    <w:rsid w:val="00A24EB8"/>
    <w:rsid w:val="00A251A2"/>
    <w:rsid w:val="00A25695"/>
    <w:rsid w:val="00A25897"/>
    <w:rsid w:val="00A25AA1"/>
    <w:rsid w:val="00A25B6C"/>
    <w:rsid w:val="00A25CB4"/>
    <w:rsid w:val="00A25D66"/>
    <w:rsid w:val="00A260AA"/>
    <w:rsid w:val="00A26224"/>
    <w:rsid w:val="00A26365"/>
    <w:rsid w:val="00A2649B"/>
    <w:rsid w:val="00A264D8"/>
    <w:rsid w:val="00A265BE"/>
    <w:rsid w:val="00A26654"/>
    <w:rsid w:val="00A266C8"/>
    <w:rsid w:val="00A26792"/>
    <w:rsid w:val="00A26827"/>
    <w:rsid w:val="00A26854"/>
    <w:rsid w:val="00A268B0"/>
    <w:rsid w:val="00A26D4F"/>
    <w:rsid w:val="00A26EBF"/>
    <w:rsid w:val="00A26F6A"/>
    <w:rsid w:val="00A27413"/>
    <w:rsid w:val="00A2772F"/>
    <w:rsid w:val="00A277D7"/>
    <w:rsid w:val="00A279C2"/>
    <w:rsid w:val="00A27EE8"/>
    <w:rsid w:val="00A30002"/>
    <w:rsid w:val="00A30033"/>
    <w:rsid w:val="00A302C9"/>
    <w:rsid w:val="00A3067F"/>
    <w:rsid w:val="00A3088A"/>
    <w:rsid w:val="00A30BA9"/>
    <w:rsid w:val="00A30DF7"/>
    <w:rsid w:val="00A30E7C"/>
    <w:rsid w:val="00A30FAF"/>
    <w:rsid w:val="00A30FD6"/>
    <w:rsid w:val="00A31099"/>
    <w:rsid w:val="00A31350"/>
    <w:rsid w:val="00A314F0"/>
    <w:rsid w:val="00A316D9"/>
    <w:rsid w:val="00A3194C"/>
    <w:rsid w:val="00A31F64"/>
    <w:rsid w:val="00A31FE8"/>
    <w:rsid w:val="00A3240B"/>
    <w:rsid w:val="00A324B3"/>
    <w:rsid w:val="00A324C3"/>
    <w:rsid w:val="00A32658"/>
    <w:rsid w:val="00A32757"/>
    <w:rsid w:val="00A32C22"/>
    <w:rsid w:val="00A32CBE"/>
    <w:rsid w:val="00A32F0F"/>
    <w:rsid w:val="00A334F1"/>
    <w:rsid w:val="00A338CB"/>
    <w:rsid w:val="00A33AD5"/>
    <w:rsid w:val="00A33F7E"/>
    <w:rsid w:val="00A33F9F"/>
    <w:rsid w:val="00A34088"/>
    <w:rsid w:val="00A341EF"/>
    <w:rsid w:val="00A34591"/>
    <w:rsid w:val="00A346B5"/>
    <w:rsid w:val="00A3472E"/>
    <w:rsid w:val="00A348AB"/>
    <w:rsid w:val="00A34BD0"/>
    <w:rsid w:val="00A34F19"/>
    <w:rsid w:val="00A354CE"/>
    <w:rsid w:val="00A355A2"/>
    <w:rsid w:val="00A357DD"/>
    <w:rsid w:val="00A35F48"/>
    <w:rsid w:val="00A360D4"/>
    <w:rsid w:val="00A363BF"/>
    <w:rsid w:val="00A36657"/>
    <w:rsid w:val="00A368D0"/>
    <w:rsid w:val="00A370FD"/>
    <w:rsid w:val="00A372B0"/>
    <w:rsid w:val="00A37481"/>
    <w:rsid w:val="00A37585"/>
    <w:rsid w:val="00A375A8"/>
    <w:rsid w:val="00A3762B"/>
    <w:rsid w:val="00A37823"/>
    <w:rsid w:val="00A378CF"/>
    <w:rsid w:val="00A378EB"/>
    <w:rsid w:val="00A37AF5"/>
    <w:rsid w:val="00A37F79"/>
    <w:rsid w:val="00A37FD4"/>
    <w:rsid w:val="00A40291"/>
    <w:rsid w:val="00A405ED"/>
    <w:rsid w:val="00A40CDA"/>
    <w:rsid w:val="00A40E25"/>
    <w:rsid w:val="00A40EA7"/>
    <w:rsid w:val="00A40ECC"/>
    <w:rsid w:val="00A41196"/>
    <w:rsid w:val="00A411DD"/>
    <w:rsid w:val="00A41801"/>
    <w:rsid w:val="00A41824"/>
    <w:rsid w:val="00A41FA3"/>
    <w:rsid w:val="00A4205A"/>
    <w:rsid w:val="00A42081"/>
    <w:rsid w:val="00A420EB"/>
    <w:rsid w:val="00A42179"/>
    <w:rsid w:val="00A4230E"/>
    <w:rsid w:val="00A423E4"/>
    <w:rsid w:val="00A424DF"/>
    <w:rsid w:val="00A42649"/>
    <w:rsid w:val="00A427B6"/>
    <w:rsid w:val="00A42A8C"/>
    <w:rsid w:val="00A42BF9"/>
    <w:rsid w:val="00A42C49"/>
    <w:rsid w:val="00A42DFC"/>
    <w:rsid w:val="00A42EC0"/>
    <w:rsid w:val="00A43051"/>
    <w:rsid w:val="00A433FF"/>
    <w:rsid w:val="00A434D1"/>
    <w:rsid w:val="00A438E1"/>
    <w:rsid w:val="00A43BEE"/>
    <w:rsid w:val="00A43E50"/>
    <w:rsid w:val="00A442C8"/>
    <w:rsid w:val="00A449E8"/>
    <w:rsid w:val="00A44B3C"/>
    <w:rsid w:val="00A44E76"/>
    <w:rsid w:val="00A44ED1"/>
    <w:rsid w:val="00A44F6C"/>
    <w:rsid w:val="00A45089"/>
    <w:rsid w:val="00A45479"/>
    <w:rsid w:val="00A4572F"/>
    <w:rsid w:val="00A4573F"/>
    <w:rsid w:val="00A458D2"/>
    <w:rsid w:val="00A45A4A"/>
    <w:rsid w:val="00A45A64"/>
    <w:rsid w:val="00A45CC8"/>
    <w:rsid w:val="00A45D28"/>
    <w:rsid w:val="00A45F4B"/>
    <w:rsid w:val="00A460F6"/>
    <w:rsid w:val="00A46448"/>
    <w:rsid w:val="00A46545"/>
    <w:rsid w:val="00A467AB"/>
    <w:rsid w:val="00A46896"/>
    <w:rsid w:val="00A468F2"/>
    <w:rsid w:val="00A468FE"/>
    <w:rsid w:val="00A4692E"/>
    <w:rsid w:val="00A46A43"/>
    <w:rsid w:val="00A46F10"/>
    <w:rsid w:val="00A4704A"/>
    <w:rsid w:val="00A47136"/>
    <w:rsid w:val="00A473F4"/>
    <w:rsid w:val="00A47720"/>
    <w:rsid w:val="00A47A72"/>
    <w:rsid w:val="00A47ABC"/>
    <w:rsid w:val="00A47AC5"/>
    <w:rsid w:val="00A47CEC"/>
    <w:rsid w:val="00A47EAC"/>
    <w:rsid w:val="00A50056"/>
    <w:rsid w:val="00A50539"/>
    <w:rsid w:val="00A50541"/>
    <w:rsid w:val="00A50DAF"/>
    <w:rsid w:val="00A50ED9"/>
    <w:rsid w:val="00A50F0B"/>
    <w:rsid w:val="00A50FD9"/>
    <w:rsid w:val="00A511E8"/>
    <w:rsid w:val="00A5165B"/>
    <w:rsid w:val="00A5169F"/>
    <w:rsid w:val="00A5197F"/>
    <w:rsid w:val="00A51A19"/>
    <w:rsid w:val="00A51CE8"/>
    <w:rsid w:val="00A51D33"/>
    <w:rsid w:val="00A51E1D"/>
    <w:rsid w:val="00A51F09"/>
    <w:rsid w:val="00A52071"/>
    <w:rsid w:val="00A52094"/>
    <w:rsid w:val="00A524FE"/>
    <w:rsid w:val="00A526C1"/>
    <w:rsid w:val="00A529A8"/>
    <w:rsid w:val="00A529D1"/>
    <w:rsid w:val="00A52A5D"/>
    <w:rsid w:val="00A52AB6"/>
    <w:rsid w:val="00A530DD"/>
    <w:rsid w:val="00A531D8"/>
    <w:rsid w:val="00A534D5"/>
    <w:rsid w:val="00A534F3"/>
    <w:rsid w:val="00A53A58"/>
    <w:rsid w:val="00A53B88"/>
    <w:rsid w:val="00A53C79"/>
    <w:rsid w:val="00A53CE8"/>
    <w:rsid w:val="00A54651"/>
    <w:rsid w:val="00A54858"/>
    <w:rsid w:val="00A54AC2"/>
    <w:rsid w:val="00A554FA"/>
    <w:rsid w:val="00A556D1"/>
    <w:rsid w:val="00A55895"/>
    <w:rsid w:val="00A55980"/>
    <w:rsid w:val="00A5612E"/>
    <w:rsid w:val="00A56919"/>
    <w:rsid w:val="00A56995"/>
    <w:rsid w:val="00A56DA7"/>
    <w:rsid w:val="00A56E19"/>
    <w:rsid w:val="00A56EA9"/>
    <w:rsid w:val="00A56F06"/>
    <w:rsid w:val="00A570E8"/>
    <w:rsid w:val="00A57232"/>
    <w:rsid w:val="00A5723F"/>
    <w:rsid w:val="00A577C8"/>
    <w:rsid w:val="00A5785C"/>
    <w:rsid w:val="00A579F2"/>
    <w:rsid w:val="00A57DB0"/>
    <w:rsid w:val="00A57E3F"/>
    <w:rsid w:val="00A602E2"/>
    <w:rsid w:val="00A603D5"/>
    <w:rsid w:val="00A6051F"/>
    <w:rsid w:val="00A60CDC"/>
    <w:rsid w:val="00A6109D"/>
    <w:rsid w:val="00A61468"/>
    <w:rsid w:val="00A61491"/>
    <w:rsid w:val="00A617D7"/>
    <w:rsid w:val="00A61DCC"/>
    <w:rsid w:val="00A62093"/>
    <w:rsid w:val="00A620AC"/>
    <w:rsid w:val="00A6235C"/>
    <w:rsid w:val="00A623F5"/>
    <w:rsid w:val="00A6244B"/>
    <w:rsid w:val="00A625B5"/>
    <w:rsid w:val="00A626B9"/>
    <w:rsid w:val="00A629E1"/>
    <w:rsid w:val="00A62B3A"/>
    <w:rsid w:val="00A62B57"/>
    <w:rsid w:val="00A62EC5"/>
    <w:rsid w:val="00A62F00"/>
    <w:rsid w:val="00A62F6D"/>
    <w:rsid w:val="00A62FA4"/>
    <w:rsid w:val="00A630B4"/>
    <w:rsid w:val="00A63114"/>
    <w:rsid w:val="00A633C1"/>
    <w:rsid w:val="00A634B3"/>
    <w:rsid w:val="00A634CC"/>
    <w:rsid w:val="00A63A01"/>
    <w:rsid w:val="00A64318"/>
    <w:rsid w:val="00A64474"/>
    <w:rsid w:val="00A645D8"/>
    <w:rsid w:val="00A6465E"/>
    <w:rsid w:val="00A64975"/>
    <w:rsid w:val="00A64AB8"/>
    <w:rsid w:val="00A650C3"/>
    <w:rsid w:val="00A6546D"/>
    <w:rsid w:val="00A6568A"/>
    <w:rsid w:val="00A65896"/>
    <w:rsid w:val="00A65AD3"/>
    <w:rsid w:val="00A65AF1"/>
    <w:rsid w:val="00A65E80"/>
    <w:rsid w:val="00A66200"/>
    <w:rsid w:val="00A662E7"/>
    <w:rsid w:val="00A663D3"/>
    <w:rsid w:val="00A6650F"/>
    <w:rsid w:val="00A66522"/>
    <w:rsid w:val="00A66605"/>
    <w:rsid w:val="00A66B3E"/>
    <w:rsid w:val="00A66EA6"/>
    <w:rsid w:val="00A67475"/>
    <w:rsid w:val="00A674A6"/>
    <w:rsid w:val="00A6763A"/>
    <w:rsid w:val="00A6771C"/>
    <w:rsid w:val="00A67A26"/>
    <w:rsid w:val="00A67B53"/>
    <w:rsid w:val="00A67C1D"/>
    <w:rsid w:val="00A67DD5"/>
    <w:rsid w:val="00A67F8D"/>
    <w:rsid w:val="00A7008B"/>
    <w:rsid w:val="00A70216"/>
    <w:rsid w:val="00A70285"/>
    <w:rsid w:val="00A70731"/>
    <w:rsid w:val="00A709DE"/>
    <w:rsid w:val="00A70A54"/>
    <w:rsid w:val="00A71128"/>
    <w:rsid w:val="00A71186"/>
    <w:rsid w:val="00A712DA"/>
    <w:rsid w:val="00A71302"/>
    <w:rsid w:val="00A714A8"/>
    <w:rsid w:val="00A714B5"/>
    <w:rsid w:val="00A718CF"/>
    <w:rsid w:val="00A719F7"/>
    <w:rsid w:val="00A71BE6"/>
    <w:rsid w:val="00A721F0"/>
    <w:rsid w:val="00A7226C"/>
    <w:rsid w:val="00A7257A"/>
    <w:rsid w:val="00A72854"/>
    <w:rsid w:val="00A72A13"/>
    <w:rsid w:val="00A72AA2"/>
    <w:rsid w:val="00A730D5"/>
    <w:rsid w:val="00A731A2"/>
    <w:rsid w:val="00A7332B"/>
    <w:rsid w:val="00A733C0"/>
    <w:rsid w:val="00A737F2"/>
    <w:rsid w:val="00A739F8"/>
    <w:rsid w:val="00A73ACD"/>
    <w:rsid w:val="00A73C58"/>
    <w:rsid w:val="00A73CAF"/>
    <w:rsid w:val="00A73D0A"/>
    <w:rsid w:val="00A73D11"/>
    <w:rsid w:val="00A73E71"/>
    <w:rsid w:val="00A742D1"/>
    <w:rsid w:val="00A746E8"/>
    <w:rsid w:val="00A74892"/>
    <w:rsid w:val="00A748E9"/>
    <w:rsid w:val="00A74D4F"/>
    <w:rsid w:val="00A750CB"/>
    <w:rsid w:val="00A75189"/>
    <w:rsid w:val="00A753BF"/>
    <w:rsid w:val="00A753C9"/>
    <w:rsid w:val="00A7542A"/>
    <w:rsid w:val="00A755C5"/>
    <w:rsid w:val="00A7567F"/>
    <w:rsid w:val="00A7578B"/>
    <w:rsid w:val="00A75874"/>
    <w:rsid w:val="00A75B6D"/>
    <w:rsid w:val="00A75D9E"/>
    <w:rsid w:val="00A76275"/>
    <w:rsid w:val="00A764BB"/>
    <w:rsid w:val="00A764D7"/>
    <w:rsid w:val="00A7653D"/>
    <w:rsid w:val="00A767A7"/>
    <w:rsid w:val="00A76A8A"/>
    <w:rsid w:val="00A76E2B"/>
    <w:rsid w:val="00A76E65"/>
    <w:rsid w:val="00A770B1"/>
    <w:rsid w:val="00A77156"/>
    <w:rsid w:val="00A771CE"/>
    <w:rsid w:val="00A772F0"/>
    <w:rsid w:val="00A774CA"/>
    <w:rsid w:val="00A7763B"/>
    <w:rsid w:val="00A77717"/>
    <w:rsid w:val="00A7774A"/>
    <w:rsid w:val="00A77A71"/>
    <w:rsid w:val="00A77CB8"/>
    <w:rsid w:val="00A800C4"/>
    <w:rsid w:val="00A800EF"/>
    <w:rsid w:val="00A801A4"/>
    <w:rsid w:val="00A801B5"/>
    <w:rsid w:val="00A80344"/>
    <w:rsid w:val="00A8035C"/>
    <w:rsid w:val="00A80371"/>
    <w:rsid w:val="00A804DB"/>
    <w:rsid w:val="00A804FD"/>
    <w:rsid w:val="00A80ADB"/>
    <w:rsid w:val="00A80DD4"/>
    <w:rsid w:val="00A80E93"/>
    <w:rsid w:val="00A810B5"/>
    <w:rsid w:val="00A811A6"/>
    <w:rsid w:val="00A81BDE"/>
    <w:rsid w:val="00A81DCB"/>
    <w:rsid w:val="00A81E11"/>
    <w:rsid w:val="00A81E8D"/>
    <w:rsid w:val="00A81F54"/>
    <w:rsid w:val="00A820A6"/>
    <w:rsid w:val="00A822FD"/>
    <w:rsid w:val="00A8247D"/>
    <w:rsid w:val="00A8253F"/>
    <w:rsid w:val="00A82D1C"/>
    <w:rsid w:val="00A82EFA"/>
    <w:rsid w:val="00A831E9"/>
    <w:rsid w:val="00A8328A"/>
    <w:rsid w:val="00A832E7"/>
    <w:rsid w:val="00A8349D"/>
    <w:rsid w:val="00A835B9"/>
    <w:rsid w:val="00A838E1"/>
    <w:rsid w:val="00A838E6"/>
    <w:rsid w:val="00A83939"/>
    <w:rsid w:val="00A839BC"/>
    <w:rsid w:val="00A83C7C"/>
    <w:rsid w:val="00A83DB0"/>
    <w:rsid w:val="00A83E3C"/>
    <w:rsid w:val="00A83ECA"/>
    <w:rsid w:val="00A84002"/>
    <w:rsid w:val="00A841A7"/>
    <w:rsid w:val="00A842E1"/>
    <w:rsid w:val="00A84350"/>
    <w:rsid w:val="00A84706"/>
    <w:rsid w:val="00A8491C"/>
    <w:rsid w:val="00A849EC"/>
    <w:rsid w:val="00A84CEA"/>
    <w:rsid w:val="00A84D1D"/>
    <w:rsid w:val="00A84E63"/>
    <w:rsid w:val="00A84EA8"/>
    <w:rsid w:val="00A84F3A"/>
    <w:rsid w:val="00A85222"/>
    <w:rsid w:val="00A85807"/>
    <w:rsid w:val="00A85931"/>
    <w:rsid w:val="00A85F1B"/>
    <w:rsid w:val="00A8627C"/>
    <w:rsid w:val="00A862AD"/>
    <w:rsid w:val="00A86303"/>
    <w:rsid w:val="00A8643F"/>
    <w:rsid w:val="00A866CA"/>
    <w:rsid w:val="00A86822"/>
    <w:rsid w:val="00A86947"/>
    <w:rsid w:val="00A86995"/>
    <w:rsid w:val="00A86A61"/>
    <w:rsid w:val="00A86E4C"/>
    <w:rsid w:val="00A86FF2"/>
    <w:rsid w:val="00A8711E"/>
    <w:rsid w:val="00A876B7"/>
    <w:rsid w:val="00A87792"/>
    <w:rsid w:val="00A87919"/>
    <w:rsid w:val="00A87A66"/>
    <w:rsid w:val="00A87D84"/>
    <w:rsid w:val="00A87DAB"/>
    <w:rsid w:val="00A87E60"/>
    <w:rsid w:val="00A87EC7"/>
    <w:rsid w:val="00A90321"/>
    <w:rsid w:val="00A906AB"/>
    <w:rsid w:val="00A90735"/>
    <w:rsid w:val="00A90746"/>
    <w:rsid w:val="00A90861"/>
    <w:rsid w:val="00A90C31"/>
    <w:rsid w:val="00A90D0F"/>
    <w:rsid w:val="00A90DCC"/>
    <w:rsid w:val="00A910F8"/>
    <w:rsid w:val="00A91771"/>
    <w:rsid w:val="00A91A06"/>
    <w:rsid w:val="00A922FE"/>
    <w:rsid w:val="00A92307"/>
    <w:rsid w:val="00A92348"/>
    <w:rsid w:val="00A92429"/>
    <w:rsid w:val="00A9264D"/>
    <w:rsid w:val="00A92C16"/>
    <w:rsid w:val="00A92C42"/>
    <w:rsid w:val="00A92DD0"/>
    <w:rsid w:val="00A92FAC"/>
    <w:rsid w:val="00A9306B"/>
    <w:rsid w:val="00A932E2"/>
    <w:rsid w:val="00A93371"/>
    <w:rsid w:val="00A933F4"/>
    <w:rsid w:val="00A93416"/>
    <w:rsid w:val="00A934F3"/>
    <w:rsid w:val="00A936EB"/>
    <w:rsid w:val="00A939CA"/>
    <w:rsid w:val="00A93A90"/>
    <w:rsid w:val="00A93AAE"/>
    <w:rsid w:val="00A93B35"/>
    <w:rsid w:val="00A93E45"/>
    <w:rsid w:val="00A93F5C"/>
    <w:rsid w:val="00A9428E"/>
    <w:rsid w:val="00A9454E"/>
    <w:rsid w:val="00A9475C"/>
    <w:rsid w:val="00A947C4"/>
    <w:rsid w:val="00A9487F"/>
    <w:rsid w:val="00A94A94"/>
    <w:rsid w:val="00A94DEA"/>
    <w:rsid w:val="00A95055"/>
    <w:rsid w:val="00A95104"/>
    <w:rsid w:val="00A9512F"/>
    <w:rsid w:val="00A9528F"/>
    <w:rsid w:val="00A9598E"/>
    <w:rsid w:val="00A95DA7"/>
    <w:rsid w:val="00A96718"/>
    <w:rsid w:val="00A96983"/>
    <w:rsid w:val="00A96AFA"/>
    <w:rsid w:val="00A96EC5"/>
    <w:rsid w:val="00A96EDB"/>
    <w:rsid w:val="00A97079"/>
    <w:rsid w:val="00A97129"/>
    <w:rsid w:val="00A971B2"/>
    <w:rsid w:val="00A97907"/>
    <w:rsid w:val="00A97A5E"/>
    <w:rsid w:val="00A97C77"/>
    <w:rsid w:val="00A97D43"/>
    <w:rsid w:val="00A97E0F"/>
    <w:rsid w:val="00AA0106"/>
    <w:rsid w:val="00AA0476"/>
    <w:rsid w:val="00AA06AC"/>
    <w:rsid w:val="00AA0835"/>
    <w:rsid w:val="00AA099D"/>
    <w:rsid w:val="00AA0A14"/>
    <w:rsid w:val="00AA0A97"/>
    <w:rsid w:val="00AA0ACC"/>
    <w:rsid w:val="00AA0C58"/>
    <w:rsid w:val="00AA0C7D"/>
    <w:rsid w:val="00AA0DC7"/>
    <w:rsid w:val="00AA0F2C"/>
    <w:rsid w:val="00AA11ED"/>
    <w:rsid w:val="00AA15E0"/>
    <w:rsid w:val="00AA17F9"/>
    <w:rsid w:val="00AA1D6B"/>
    <w:rsid w:val="00AA1FFD"/>
    <w:rsid w:val="00AA21F9"/>
    <w:rsid w:val="00AA21FC"/>
    <w:rsid w:val="00AA230C"/>
    <w:rsid w:val="00AA2372"/>
    <w:rsid w:val="00AA2467"/>
    <w:rsid w:val="00AA2A54"/>
    <w:rsid w:val="00AA2B02"/>
    <w:rsid w:val="00AA2BA9"/>
    <w:rsid w:val="00AA2BD4"/>
    <w:rsid w:val="00AA2E9D"/>
    <w:rsid w:val="00AA2F55"/>
    <w:rsid w:val="00AA32E8"/>
    <w:rsid w:val="00AA33F4"/>
    <w:rsid w:val="00AA3490"/>
    <w:rsid w:val="00AA35C8"/>
    <w:rsid w:val="00AA36D4"/>
    <w:rsid w:val="00AA396A"/>
    <w:rsid w:val="00AA3AE7"/>
    <w:rsid w:val="00AA3C05"/>
    <w:rsid w:val="00AA3DA8"/>
    <w:rsid w:val="00AA3F27"/>
    <w:rsid w:val="00AA40AF"/>
    <w:rsid w:val="00AA41C5"/>
    <w:rsid w:val="00AA420F"/>
    <w:rsid w:val="00AA4414"/>
    <w:rsid w:val="00AA44A4"/>
    <w:rsid w:val="00AA45E1"/>
    <w:rsid w:val="00AA4670"/>
    <w:rsid w:val="00AA47AF"/>
    <w:rsid w:val="00AA4A33"/>
    <w:rsid w:val="00AA4AC8"/>
    <w:rsid w:val="00AA4B27"/>
    <w:rsid w:val="00AA4B39"/>
    <w:rsid w:val="00AA4C8B"/>
    <w:rsid w:val="00AA4DCD"/>
    <w:rsid w:val="00AA4E17"/>
    <w:rsid w:val="00AA52B3"/>
    <w:rsid w:val="00AA535F"/>
    <w:rsid w:val="00AA5714"/>
    <w:rsid w:val="00AA5791"/>
    <w:rsid w:val="00AA57C0"/>
    <w:rsid w:val="00AA5D3F"/>
    <w:rsid w:val="00AA61CA"/>
    <w:rsid w:val="00AA6475"/>
    <w:rsid w:val="00AA64D2"/>
    <w:rsid w:val="00AA6510"/>
    <w:rsid w:val="00AA6AF5"/>
    <w:rsid w:val="00AA6AF6"/>
    <w:rsid w:val="00AA6B8E"/>
    <w:rsid w:val="00AA6C82"/>
    <w:rsid w:val="00AA7A37"/>
    <w:rsid w:val="00AA7AF0"/>
    <w:rsid w:val="00AB0044"/>
    <w:rsid w:val="00AB0135"/>
    <w:rsid w:val="00AB0289"/>
    <w:rsid w:val="00AB03D2"/>
    <w:rsid w:val="00AB042B"/>
    <w:rsid w:val="00AB04E7"/>
    <w:rsid w:val="00AB05F7"/>
    <w:rsid w:val="00AB075C"/>
    <w:rsid w:val="00AB0A50"/>
    <w:rsid w:val="00AB0AC0"/>
    <w:rsid w:val="00AB0AE3"/>
    <w:rsid w:val="00AB0D02"/>
    <w:rsid w:val="00AB0D66"/>
    <w:rsid w:val="00AB0F98"/>
    <w:rsid w:val="00AB16EE"/>
    <w:rsid w:val="00AB18D4"/>
    <w:rsid w:val="00AB200B"/>
    <w:rsid w:val="00AB2168"/>
    <w:rsid w:val="00AB2187"/>
    <w:rsid w:val="00AB29AF"/>
    <w:rsid w:val="00AB29B8"/>
    <w:rsid w:val="00AB2D26"/>
    <w:rsid w:val="00AB2FAB"/>
    <w:rsid w:val="00AB322C"/>
    <w:rsid w:val="00AB3264"/>
    <w:rsid w:val="00AB3446"/>
    <w:rsid w:val="00AB370C"/>
    <w:rsid w:val="00AB3AB9"/>
    <w:rsid w:val="00AB3D79"/>
    <w:rsid w:val="00AB3D9D"/>
    <w:rsid w:val="00AB3EBB"/>
    <w:rsid w:val="00AB3F9D"/>
    <w:rsid w:val="00AB46DC"/>
    <w:rsid w:val="00AB49D5"/>
    <w:rsid w:val="00AB49E9"/>
    <w:rsid w:val="00AB4A5F"/>
    <w:rsid w:val="00AB4CB7"/>
    <w:rsid w:val="00AB4CC6"/>
    <w:rsid w:val="00AB4E1C"/>
    <w:rsid w:val="00AB5274"/>
    <w:rsid w:val="00AB54F8"/>
    <w:rsid w:val="00AB55BA"/>
    <w:rsid w:val="00AB57BE"/>
    <w:rsid w:val="00AB59B5"/>
    <w:rsid w:val="00AB5A8C"/>
    <w:rsid w:val="00AB5BC4"/>
    <w:rsid w:val="00AB5D59"/>
    <w:rsid w:val="00AB5E4D"/>
    <w:rsid w:val="00AB5F29"/>
    <w:rsid w:val="00AB5FF8"/>
    <w:rsid w:val="00AB6229"/>
    <w:rsid w:val="00AB6302"/>
    <w:rsid w:val="00AB6446"/>
    <w:rsid w:val="00AB662F"/>
    <w:rsid w:val="00AB6859"/>
    <w:rsid w:val="00AB68C6"/>
    <w:rsid w:val="00AB6CED"/>
    <w:rsid w:val="00AB6E19"/>
    <w:rsid w:val="00AB6E20"/>
    <w:rsid w:val="00AB6EEF"/>
    <w:rsid w:val="00AB6F70"/>
    <w:rsid w:val="00AB707D"/>
    <w:rsid w:val="00AB70CA"/>
    <w:rsid w:val="00AB71A6"/>
    <w:rsid w:val="00AB74B5"/>
    <w:rsid w:val="00AB7628"/>
    <w:rsid w:val="00AB7862"/>
    <w:rsid w:val="00AB7B5A"/>
    <w:rsid w:val="00AB7B62"/>
    <w:rsid w:val="00AB7CCA"/>
    <w:rsid w:val="00AB7D45"/>
    <w:rsid w:val="00AB7DD6"/>
    <w:rsid w:val="00AB7E6D"/>
    <w:rsid w:val="00AC00BE"/>
    <w:rsid w:val="00AC00D7"/>
    <w:rsid w:val="00AC0131"/>
    <w:rsid w:val="00AC0315"/>
    <w:rsid w:val="00AC04CE"/>
    <w:rsid w:val="00AC065B"/>
    <w:rsid w:val="00AC068E"/>
    <w:rsid w:val="00AC096D"/>
    <w:rsid w:val="00AC0CE5"/>
    <w:rsid w:val="00AC0DF4"/>
    <w:rsid w:val="00AC1136"/>
    <w:rsid w:val="00AC11A4"/>
    <w:rsid w:val="00AC128A"/>
    <w:rsid w:val="00AC12F1"/>
    <w:rsid w:val="00AC13F4"/>
    <w:rsid w:val="00AC15C8"/>
    <w:rsid w:val="00AC19EC"/>
    <w:rsid w:val="00AC1AB4"/>
    <w:rsid w:val="00AC1B05"/>
    <w:rsid w:val="00AC1EAC"/>
    <w:rsid w:val="00AC1F67"/>
    <w:rsid w:val="00AC26E5"/>
    <w:rsid w:val="00AC271D"/>
    <w:rsid w:val="00AC277A"/>
    <w:rsid w:val="00AC28AD"/>
    <w:rsid w:val="00AC3004"/>
    <w:rsid w:val="00AC304A"/>
    <w:rsid w:val="00AC323F"/>
    <w:rsid w:val="00AC3267"/>
    <w:rsid w:val="00AC3461"/>
    <w:rsid w:val="00AC38A1"/>
    <w:rsid w:val="00AC3A84"/>
    <w:rsid w:val="00AC3B2B"/>
    <w:rsid w:val="00AC3B48"/>
    <w:rsid w:val="00AC3C98"/>
    <w:rsid w:val="00AC3CB7"/>
    <w:rsid w:val="00AC3CE1"/>
    <w:rsid w:val="00AC3F1D"/>
    <w:rsid w:val="00AC3F1E"/>
    <w:rsid w:val="00AC3F92"/>
    <w:rsid w:val="00AC4397"/>
    <w:rsid w:val="00AC4402"/>
    <w:rsid w:val="00AC4713"/>
    <w:rsid w:val="00AC4741"/>
    <w:rsid w:val="00AC479E"/>
    <w:rsid w:val="00AC4885"/>
    <w:rsid w:val="00AC4B80"/>
    <w:rsid w:val="00AC4C7B"/>
    <w:rsid w:val="00AC4C86"/>
    <w:rsid w:val="00AC4E90"/>
    <w:rsid w:val="00AC4F0E"/>
    <w:rsid w:val="00AC50B9"/>
    <w:rsid w:val="00AC51A8"/>
    <w:rsid w:val="00AC51DB"/>
    <w:rsid w:val="00AC5281"/>
    <w:rsid w:val="00AC5312"/>
    <w:rsid w:val="00AC54FA"/>
    <w:rsid w:val="00AC5594"/>
    <w:rsid w:val="00AC5641"/>
    <w:rsid w:val="00AC5649"/>
    <w:rsid w:val="00AC5852"/>
    <w:rsid w:val="00AC5B33"/>
    <w:rsid w:val="00AC5BBF"/>
    <w:rsid w:val="00AC5D70"/>
    <w:rsid w:val="00AC5DE1"/>
    <w:rsid w:val="00AC5F64"/>
    <w:rsid w:val="00AC6181"/>
    <w:rsid w:val="00AC6211"/>
    <w:rsid w:val="00AC639B"/>
    <w:rsid w:val="00AC6631"/>
    <w:rsid w:val="00AC6767"/>
    <w:rsid w:val="00AC677A"/>
    <w:rsid w:val="00AC69D1"/>
    <w:rsid w:val="00AC6DCD"/>
    <w:rsid w:val="00AC6E32"/>
    <w:rsid w:val="00AC7084"/>
    <w:rsid w:val="00AC729C"/>
    <w:rsid w:val="00AC7363"/>
    <w:rsid w:val="00AC745B"/>
    <w:rsid w:val="00AC76B1"/>
    <w:rsid w:val="00AC76B6"/>
    <w:rsid w:val="00AC78E9"/>
    <w:rsid w:val="00AC7AC7"/>
    <w:rsid w:val="00AC7B3A"/>
    <w:rsid w:val="00AC7C01"/>
    <w:rsid w:val="00AC7E19"/>
    <w:rsid w:val="00AC7E23"/>
    <w:rsid w:val="00AD001C"/>
    <w:rsid w:val="00AD0113"/>
    <w:rsid w:val="00AD033E"/>
    <w:rsid w:val="00AD07AB"/>
    <w:rsid w:val="00AD0A36"/>
    <w:rsid w:val="00AD0B4A"/>
    <w:rsid w:val="00AD0CB8"/>
    <w:rsid w:val="00AD0CD2"/>
    <w:rsid w:val="00AD10A0"/>
    <w:rsid w:val="00AD1387"/>
    <w:rsid w:val="00AD1750"/>
    <w:rsid w:val="00AD1A48"/>
    <w:rsid w:val="00AD1A86"/>
    <w:rsid w:val="00AD1B39"/>
    <w:rsid w:val="00AD1B64"/>
    <w:rsid w:val="00AD1DE6"/>
    <w:rsid w:val="00AD1E0A"/>
    <w:rsid w:val="00AD1E81"/>
    <w:rsid w:val="00AD22A7"/>
    <w:rsid w:val="00AD22F6"/>
    <w:rsid w:val="00AD28A0"/>
    <w:rsid w:val="00AD2952"/>
    <w:rsid w:val="00AD2A2D"/>
    <w:rsid w:val="00AD2EFC"/>
    <w:rsid w:val="00AD2FDC"/>
    <w:rsid w:val="00AD3035"/>
    <w:rsid w:val="00AD307A"/>
    <w:rsid w:val="00AD30B7"/>
    <w:rsid w:val="00AD31DA"/>
    <w:rsid w:val="00AD32E3"/>
    <w:rsid w:val="00AD3331"/>
    <w:rsid w:val="00AD3490"/>
    <w:rsid w:val="00AD35CD"/>
    <w:rsid w:val="00AD35D1"/>
    <w:rsid w:val="00AD3C16"/>
    <w:rsid w:val="00AD3E5C"/>
    <w:rsid w:val="00AD3F43"/>
    <w:rsid w:val="00AD3FCE"/>
    <w:rsid w:val="00AD3FED"/>
    <w:rsid w:val="00AD4657"/>
    <w:rsid w:val="00AD494D"/>
    <w:rsid w:val="00AD4A46"/>
    <w:rsid w:val="00AD4C91"/>
    <w:rsid w:val="00AD4DB4"/>
    <w:rsid w:val="00AD5055"/>
    <w:rsid w:val="00AD50F1"/>
    <w:rsid w:val="00AD53D2"/>
    <w:rsid w:val="00AD5504"/>
    <w:rsid w:val="00AD5524"/>
    <w:rsid w:val="00AD5839"/>
    <w:rsid w:val="00AD58F8"/>
    <w:rsid w:val="00AD5969"/>
    <w:rsid w:val="00AD5A8F"/>
    <w:rsid w:val="00AD5DC9"/>
    <w:rsid w:val="00AD5E7B"/>
    <w:rsid w:val="00AD6108"/>
    <w:rsid w:val="00AD6133"/>
    <w:rsid w:val="00AD61B6"/>
    <w:rsid w:val="00AD639D"/>
    <w:rsid w:val="00AD65DE"/>
    <w:rsid w:val="00AD66D5"/>
    <w:rsid w:val="00AD67CF"/>
    <w:rsid w:val="00AD69F1"/>
    <w:rsid w:val="00AD6AEE"/>
    <w:rsid w:val="00AD6B50"/>
    <w:rsid w:val="00AD7452"/>
    <w:rsid w:val="00AD75F0"/>
    <w:rsid w:val="00AD760C"/>
    <w:rsid w:val="00AD7A6A"/>
    <w:rsid w:val="00AD7AFB"/>
    <w:rsid w:val="00AD7C0A"/>
    <w:rsid w:val="00AD7D08"/>
    <w:rsid w:val="00AD7F1C"/>
    <w:rsid w:val="00AE003C"/>
    <w:rsid w:val="00AE0208"/>
    <w:rsid w:val="00AE0459"/>
    <w:rsid w:val="00AE05EE"/>
    <w:rsid w:val="00AE05F2"/>
    <w:rsid w:val="00AE067D"/>
    <w:rsid w:val="00AE0738"/>
    <w:rsid w:val="00AE0819"/>
    <w:rsid w:val="00AE0ACA"/>
    <w:rsid w:val="00AE0AEC"/>
    <w:rsid w:val="00AE0B3E"/>
    <w:rsid w:val="00AE0E54"/>
    <w:rsid w:val="00AE0FAC"/>
    <w:rsid w:val="00AE10B9"/>
    <w:rsid w:val="00AE1203"/>
    <w:rsid w:val="00AE18F3"/>
    <w:rsid w:val="00AE1905"/>
    <w:rsid w:val="00AE1A9A"/>
    <w:rsid w:val="00AE1EFE"/>
    <w:rsid w:val="00AE222B"/>
    <w:rsid w:val="00AE236A"/>
    <w:rsid w:val="00AE2385"/>
    <w:rsid w:val="00AE2458"/>
    <w:rsid w:val="00AE2BD7"/>
    <w:rsid w:val="00AE2CB8"/>
    <w:rsid w:val="00AE2E30"/>
    <w:rsid w:val="00AE2EE2"/>
    <w:rsid w:val="00AE3771"/>
    <w:rsid w:val="00AE3897"/>
    <w:rsid w:val="00AE3CEA"/>
    <w:rsid w:val="00AE3EF1"/>
    <w:rsid w:val="00AE4429"/>
    <w:rsid w:val="00AE44EF"/>
    <w:rsid w:val="00AE45F9"/>
    <w:rsid w:val="00AE46C5"/>
    <w:rsid w:val="00AE487F"/>
    <w:rsid w:val="00AE48EA"/>
    <w:rsid w:val="00AE5016"/>
    <w:rsid w:val="00AE508E"/>
    <w:rsid w:val="00AE51CE"/>
    <w:rsid w:val="00AE522E"/>
    <w:rsid w:val="00AE5629"/>
    <w:rsid w:val="00AE56C1"/>
    <w:rsid w:val="00AE57D4"/>
    <w:rsid w:val="00AE5839"/>
    <w:rsid w:val="00AE58C8"/>
    <w:rsid w:val="00AE5BB7"/>
    <w:rsid w:val="00AE5C39"/>
    <w:rsid w:val="00AE5CBE"/>
    <w:rsid w:val="00AE5D28"/>
    <w:rsid w:val="00AE618D"/>
    <w:rsid w:val="00AE636F"/>
    <w:rsid w:val="00AE642D"/>
    <w:rsid w:val="00AE65A6"/>
    <w:rsid w:val="00AE65E8"/>
    <w:rsid w:val="00AE6918"/>
    <w:rsid w:val="00AE69E3"/>
    <w:rsid w:val="00AE6A74"/>
    <w:rsid w:val="00AE6AAB"/>
    <w:rsid w:val="00AE6B78"/>
    <w:rsid w:val="00AE6BE4"/>
    <w:rsid w:val="00AE6D61"/>
    <w:rsid w:val="00AE6E92"/>
    <w:rsid w:val="00AE7072"/>
    <w:rsid w:val="00AE7273"/>
    <w:rsid w:val="00AE72D1"/>
    <w:rsid w:val="00AE788F"/>
    <w:rsid w:val="00AE7BA9"/>
    <w:rsid w:val="00AE7D37"/>
    <w:rsid w:val="00AE7D5A"/>
    <w:rsid w:val="00AE7E07"/>
    <w:rsid w:val="00AE7F23"/>
    <w:rsid w:val="00AF0042"/>
    <w:rsid w:val="00AF0279"/>
    <w:rsid w:val="00AF0384"/>
    <w:rsid w:val="00AF04CE"/>
    <w:rsid w:val="00AF050E"/>
    <w:rsid w:val="00AF05C8"/>
    <w:rsid w:val="00AF07F4"/>
    <w:rsid w:val="00AF08E3"/>
    <w:rsid w:val="00AF09E1"/>
    <w:rsid w:val="00AF0B16"/>
    <w:rsid w:val="00AF0BC6"/>
    <w:rsid w:val="00AF0D9C"/>
    <w:rsid w:val="00AF0DEC"/>
    <w:rsid w:val="00AF0E24"/>
    <w:rsid w:val="00AF0E43"/>
    <w:rsid w:val="00AF1BA1"/>
    <w:rsid w:val="00AF1F3C"/>
    <w:rsid w:val="00AF2126"/>
    <w:rsid w:val="00AF225B"/>
    <w:rsid w:val="00AF2360"/>
    <w:rsid w:val="00AF240F"/>
    <w:rsid w:val="00AF27EC"/>
    <w:rsid w:val="00AF2977"/>
    <w:rsid w:val="00AF29FD"/>
    <w:rsid w:val="00AF2BA2"/>
    <w:rsid w:val="00AF2E44"/>
    <w:rsid w:val="00AF2F27"/>
    <w:rsid w:val="00AF302A"/>
    <w:rsid w:val="00AF31CF"/>
    <w:rsid w:val="00AF3306"/>
    <w:rsid w:val="00AF3703"/>
    <w:rsid w:val="00AF3B31"/>
    <w:rsid w:val="00AF3DAE"/>
    <w:rsid w:val="00AF3DF8"/>
    <w:rsid w:val="00AF4664"/>
    <w:rsid w:val="00AF4723"/>
    <w:rsid w:val="00AF496B"/>
    <w:rsid w:val="00AF49B9"/>
    <w:rsid w:val="00AF4E84"/>
    <w:rsid w:val="00AF51E5"/>
    <w:rsid w:val="00AF524E"/>
    <w:rsid w:val="00AF5599"/>
    <w:rsid w:val="00AF56F8"/>
    <w:rsid w:val="00AF575A"/>
    <w:rsid w:val="00AF58BF"/>
    <w:rsid w:val="00AF5A0A"/>
    <w:rsid w:val="00AF5DE7"/>
    <w:rsid w:val="00AF5F69"/>
    <w:rsid w:val="00AF5F6A"/>
    <w:rsid w:val="00AF612E"/>
    <w:rsid w:val="00AF6740"/>
    <w:rsid w:val="00AF67F9"/>
    <w:rsid w:val="00AF69A4"/>
    <w:rsid w:val="00AF6B78"/>
    <w:rsid w:val="00AF6D62"/>
    <w:rsid w:val="00AF71C7"/>
    <w:rsid w:val="00AF7289"/>
    <w:rsid w:val="00AF741E"/>
    <w:rsid w:val="00AF7B43"/>
    <w:rsid w:val="00AF7CE3"/>
    <w:rsid w:val="00AF7D57"/>
    <w:rsid w:val="00B00010"/>
    <w:rsid w:val="00B000F3"/>
    <w:rsid w:val="00B00237"/>
    <w:rsid w:val="00B00433"/>
    <w:rsid w:val="00B005FB"/>
    <w:rsid w:val="00B009E0"/>
    <w:rsid w:val="00B00ADB"/>
    <w:rsid w:val="00B00E19"/>
    <w:rsid w:val="00B00F42"/>
    <w:rsid w:val="00B011CA"/>
    <w:rsid w:val="00B01234"/>
    <w:rsid w:val="00B01282"/>
    <w:rsid w:val="00B01391"/>
    <w:rsid w:val="00B0159A"/>
    <w:rsid w:val="00B01B26"/>
    <w:rsid w:val="00B01C20"/>
    <w:rsid w:val="00B01D82"/>
    <w:rsid w:val="00B021D4"/>
    <w:rsid w:val="00B022CC"/>
    <w:rsid w:val="00B022DF"/>
    <w:rsid w:val="00B02775"/>
    <w:rsid w:val="00B0281E"/>
    <w:rsid w:val="00B02ACF"/>
    <w:rsid w:val="00B02E31"/>
    <w:rsid w:val="00B030E9"/>
    <w:rsid w:val="00B032EB"/>
    <w:rsid w:val="00B03537"/>
    <w:rsid w:val="00B036BD"/>
    <w:rsid w:val="00B03879"/>
    <w:rsid w:val="00B039D5"/>
    <w:rsid w:val="00B039E8"/>
    <w:rsid w:val="00B03BF7"/>
    <w:rsid w:val="00B03C98"/>
    <w:rsid w:val="00B03DBE"/>
    <w:rsid w:val="00B0400E"/>
    <w:rsid w:val="00B046D5"/>
    <w:rsid w:val="00B048A7"/>
    <w:rsid w:val="00B048FE"/>
    <w:rsid w:val="00B04937"/>
    <w:rsid w:val="00B04AF1"/>
    <w:rsid w:val="00B04BFA"/>
    <w:rsid w:val="00B051CA"/>
    <w:rsid w:val="00B05481"/>
    <w:rsid w:val="00B05571"/>
    <w:rsid w:val="00B05669"/>
    <w:rsid w:val="00B05706"/>
    <w:rsid w:val="00B05814"/>
    <w:rsid w:val="00B05BF6"/>
    <w:rsid w:val="00B05C99"/>
    <w:rsid w:val="00B05CB3"/>
    <w:rsid w:val="00B05D7C"/>
    <w:rsid w:val="00B06210"/>
    <w:rsid w:val="00B0626F"/>
    <w:rsid w:val="00B06CC6"/>
    <w:rsid w:val="00B07080"/>
    <w:rsid w:val="00B070B2"/>
    <w:rsid w:val="00B07137"/>
    <w:rsid w:val="00B07341"/>
    <w:rsid w:val="00B07645"/>
    <w:rsid w:val="00B07995"/>
    <w:rsid w:val="00B07A32"/>
    <w:rsid w:val="00B07A3D"/>
    <w:rsid w:val="00B07B95"/>
    <w:rsid w:val="00B07BE5"/>
    <w:rsid w:val="00B07C2F"/>
    <w:rsid w:val="00B07CF9"/>
    <w:rsid w:val="00B101B1"/>
    <w:rsid w:val="00B1025E"/>
    <w:rsid w:val="00B102E1"/>
    <w:rsid w:val="00B1045A"/>
    <w:rsid w:val="00B104BD"/>
    <w:rsid w:val="00B10639"/>
    <w:rsid w:val="00B107EF"/>
    <w:rsid w:val="00B10A14"/>
    <w:rsid w:val="00B10FDC"/>
    <w:rsid w:val="00B114D8"/>
    <w:rsid w:val="00B11572"/>
    <w:rsid w:val="00B115B4"/>
    <w:rsid w:val="00B115E6"/>
    <w:rsid w:val="00B119F7"/>
    <w:rsid w:val="00B11A83"/>
    <w:rsid w:val="00B11B3A"/>
    <w:rsid w:val="00B11B43"/>
    <w:rsid w:val="00B121ED"/>
    <w:rsid w:val="00B1220E"/>
    <w:rsid w:val="00B12447"/>
    <w:rsid w:val="00B12678"/>
    <w:rsid w:val="00B12D6F"/>
    <w:rsid w:val="00B12E9B"/>
    <w:rsid w:val="00B1312F"/>
    <w:rsid w:val="00B1336A"/>
    <w:rsid w:val="00B13388"/>
    <w:rsid w:val="00B13479"/>
    <w:rsid w:val="00B13681"/>
    <w:rsid w:val="00B136B6"/>
    <w:rsid w:val="00B13749"/>
    <w:rsid w:val="00B13C61"/>
    <w:rsid w:val="00B13ECE"/>
    <w:rsid w:val="00B140F2"/>
    <w:rsid w:val="00B14291"/>
    <w:rsid w:val="00B1438B"/>
    <w:rsid w:val="00B14404"/>
    <w:rsid w:val="00B146FC"/>
    <w:rsid w:val="00B14883"/>
    <w:rsid w:val="00B1518E"/>
    <w:rsid w:val="00B15195"/>
    <w:rsid w:val="00B154DF"/>
    <w:rsid w:val="00B15B2B"/>
    <w:rsid w:val="00B16170"/>
    <w:rsid w:val="00B161E5"/>
    <w:rsid w:val="00B16210"/>
    <w:rsid w:val="00B169CC"/>
    <w:rsid w:val="00B16CB8"/>
    <w:rsid w:val="00B16CC1"/>
    <w:rsid w:val="00B170FD"/>
    <w:rsid w:val="00B17152"/>
    <w:rsid w:val="00B171B8"/>
    <w:rsid w:val="00B173C9"/>
    <w:rsid w:val="00B173CE"/>
    <w:rsid w:val="00B177F3"/>
    <w:rsid w:val="00B1785C"/>
    <w:rsid w:val="00B179A7"/>
    <w:rsid w:val="00B17B33"/>
    <w:rsid w:val="00B17B5F"/>
    <w:rsid w:val="00B17D6E"/>
    <w:rsid w:val="00B17F29"/>
    <w:rsid w:val="00B20103"/>
    <w:rsid w:val="00B2021D"/>
    <w:rsid w:val="00B20870"/>
    <w:rsid w:val="00B20A02"/>
    <w:rsid w:val="00B20A28"/>
    <w:rsid w:val="00B21659"/>
    <w:rsid w:val="00B2177E"/>
    <w:rsid w:val="00B217C8"/>
    <w:rsid w:val="00B217F7"/>
    <w:rsid w:val="00B21969"/>
    <w:rsid w:val="00B21C0E"/>
    <w:rsid w:val="00B21DD2"/>
    <w:rsid w:val="00B21F13"/>
    <w:rsid w:val="00B21F99"/>
    <w:rsid w:val="00B21FE5"/>
    <w:rsid w:val="00B22182"/>
    <w:rsid w:val="00B221CD"/>
    <w:rsid w:val="00B2225E"/>
    <w:rsid w:val="00B22443"/>
    <w:rsid w:val="00B225A0"/>
    <w:rsid w:val="00B2270A"/>
    <w:rsid w:val="00B2293A"/>
    <w:rsid w:val="00B22AE3"/>
    <w:rsid w:val="00B23186"/>
    <w:rsid w:val="00B231FE"/>
    <w:rsid w:val="00B235C6"/>
    <w:rsid w:val="00B236DB"/>
    <w:rsid w:val="00B23B43"/>
    <w:rsid w:val="00B23B93"/>
    <w:rsid w:val="00B23BB2"/>
    <w:rsid w:val="00B23C38"/>
    <w:rsid w:val="00B2403F"/>
    <w:rsid w:val="00B2412C"/>
    <w:rsid w:val="00B241A9"/>
    <w:rsid w:val="00B24444"/>
    <w:rsid w:val="00B24508"/>
    <w:rsid w:val="00B248EC"/>
    <w:rsid w:val="00B24939"/>
    <w:rsid w:val="00B249D9"/>
    <w:rsid w:val="00B24B41"/>
    <w:rsid w:val="00B24B8E"/>
    <w:rsid w:val="00B24DE1"/>
    <w:rsid w:val="00B24E2C"/>
    <w:rsid w:val="00B24E93"/>
    <w:rsid w:val="00B24ECA"/>
    <w:rsid w:val="00B2526E"/>
    <w:rsid w:val="00B25330"/>
    <w:rsid w:val="00B2535C"/>
    <w:rsid w:val="00B255A7"/>
    <w:rsid w:val="00B255EF"/>
    <w:rsid w:val="00B25623"/>
    <w:rsid w:val="00B257DE"/>
    <w:rsid w:val="00B257EA"/>
    <w:rsid w:val="00B26036"/>
    <w:rsid w:val="00B260AC"/>
    <w:rsid w:val="00B261DA"/>
    <w:rsid w:val="00B26473"/>
    <w:rsid w:val="00B26532"/>
    <w:rsid w:val="00B2680E"/>
    <w:rsid w:val="00B26A7E"/>
    <w:rsid w:val="00B26BF5"/>
    <w:rsid w:val="00B26CB8"/>
    <w:rsid w:val="00B26E09"/>
    <w:rsid w:val="00B272CB"/>
    <w:rsid w:val="00B27320"/>
    <w:rsid w:val="00B27344"/>
    <w:rsid w:val="00B2734E"/>
    <w:rsid w:val="00B274D2"/>
    <w:rsid w:val="00B275C9"/>
    <w:rsid w:val="00B278D0"/>
    <w:rsid w:val="00B27A12"/>
    <w:rsid w:val="00B27AAF"/>
    <w:rsid w:val="00B27AE2"/>
    <w:rsid w:val="00B27CF2"/>
    <w:rsid w:val="00B27D40"/>
    <w:rsid w:val="00B27F4F"/>
    <w:rsid w:val="00B302C7"/>
    <w:rsid w:val="00B30302"/>
    <w:rsid w:val="00B305E2"/>
    <w:rsid w:val="00B307F9"/>
    <w:rsid w:val="00B3095E"/>
    <w:rsid w:val="00B30AC7"/>
    <w:rsid w:val="00B30D24"/>
    <w:rsid w:val="00B30E0E"/>
    <w:rsid w:val="00B3100A"/>
    <w:rsid w:val="00B3139D"/>
    <w:rsid w:val="00B31510"/>
    <w:rsid w:val="00B3153E"/>
    <w:rsid w:val="00B3167B"/>
    <w:rsid w:val="00B318AF"/>
    <w:rsid w:val="00B31C17"/>
    <w:rsid w:val="00B31DD2"/>
    <w:rsid w:val="00B3232E"/>
    <w:rsid w:val="00B32569"/>
    <w:rsid w:val="00B32603"/>
    <w:rsid w:val="00B329AA"/>
    <w:rsid w:val="00B32BC1"/>
    <w:rsid w:val="00B32C21"/>
    <w:rsid w:val="00B32CCA"/>
    <w:rsid w:val="00B32FEE"/>
    <w:rsid w:val="00B3307B"/>
    <w:rsid w:val="00B331A9"/>
    <w:rsid w:val="00B334E7"/>
    <w:rsid w:val="00B3369C"/>
    <w:rsid w:val="00B33806"/>
    <w:rsid w:val="00B33889"/>
    <w:rsid w:val="00B338A4"/>
    <w:rsid w:val="00B3399F"/>
    <w:rsid w:val="00B33A0E"/>
    <w:rsid w:val="00B33AB6"/>
    <w:rsid w:val="00B33D91"/>
    <w:rsid w:val="00B33E06"/>
    <w:rsid w:val="00B33E85"/>
    <w:rsid w:val="00B33EE6"/>
    <w:rsid w:val="00B33F86"/>
    <w:rsid w:val="00B33F8B"/>
    <w:rsid w:val="00B33FE9"/>
    <w:rsid w:val="00B3449C"/>
    <w:rsid w:val="00B34761"/>
    <w:rsid w:val="00B34846"/>
    <w:rsid w:val="00B3496F"/>
    <w:rsid w:val="00B34A1F"/>
    <w:rsid w:val="00B34C87"/>
    <w:rsid w:val="00B34F8A"/>
    <w:rsid w:val="00B3501D"/>
    <w:rsid w:val="00B35066"/>
    <w:rsid w:val="00B3515B"/>
    <w:rsid w:val="00B352B5"/>
    <w:rsid w:val="00B35B52"/>
    <w:rsid w:val="00B35BF3"/>
    <w:rsid w:val="00B35D7B"/>
    <w:rsid w:val="00B360E5"/>
    <w:rsid w:val="00B36180"/>
    <w:rsid w:val="00B36558"/>
    <w:rsid w:val="00B365A2"/>
    <w:rsid w:val="00B366B2"/>
    <w:rsid w:val="00B36CC2"/>
    <w:rsid w:val="00B36DBD"/>
    <w:rsid w:val="00B36F34"/>
    <w:rsid w:val="00B371B1"/>
    <w:rsid w:val="00B371EE"/>
    <w:rsid w:val="00B37605"/>
    <w:rsid w:val="00B37BDA"/>
    <w:rsid w:val="00B37C71"/>
    <w:rsid w:val="00B37D3E"/>
    <w:rsid w:val="00B37DA0"/>
    <w:rsid w:val="00B40062"/>
    <w:rsid w:val="00B401E1"/>
    <w:rsid w:val="00B403D4"/>
    <w:rsid w:val="00B406E2"/>
    <w:rsid w:val="00B40711"/>
    <w:rsid w:val="00B40964"/>
    <w:rsid w:val="00B40A77"/>
    <w:rsid w:val="00B40C5E"/>
    <w:rsid w:val="00B40CF8"/>
    <w:rsid w:val="00B40D62"/>
    <w:rsid w:val="00B40E96"/>
    <w:rsid w:val="00B411C9"/>
    <w:rsid w:val="00B4137F"/>
    <w:rsid w:val="00B41450"/>
    <w:rsid w:val="00B41653"/>
    <w:rsid w:val="00B41D34"/>
    <w:rsid w:val="00B41ED9"/>
    <w:rsid w:val="00B4218D"/>
    <w:rsid w:val="00B42379"/>
    <w:rsid w:val="00B425AD"/>
    <w:rsid w:val="00B42C12"/>
    <w:rsid w:val="00B42C43"/>
    <w:rsid w:val="00B42CF7"/>
    <w:rsid w:val="00B4332F"/>
    <w:rsid w:val="00B43447"/>
    <w:rsid w:val="00B43651"/>
    <w:rsid w:val="00B4387E"/>
    <w:rsid w:val="00B4391D"/>
    <w:rsid w:val="00B43959"/>
    <w:rsid w:val="00B43DE9"/>
    <w:rsid w:val="00B43ECB"/>
    <w:rsid w:val="00B440D3"/>
    <w:rsid w:val="00B4419E"/>
    <w:rsid w:val="00B442ED"/>
    <w:rsid w:val="00B443C7"/>
    <w:rsid w:val="00B446FC"/>
    <w:rsid w:val="00B44785"/>
    <w:rsid w:val="00B44F26"/>
    <w:rsid w:val="00B44FF9"/>
    <w:rsid w:val="00B451FD"/>
    <w:rsid w:val="00B4563C"/>
    <w:rsid w:val="00B45665"/>
    <w:rsid w:val="00B457E2"/>
    <w:rsid w:val="00B457F2"/>
    <w:rsid w:val="00B45B21"/>
    <w:rsid w:val="00B45E63"/>
    <w:rsid w:val="00B45E6F"/>
    <w:rsid w:val="00B463D2"/>
    <w:rsid w:val="00B463FB"/>
    <w:rsid w:val="00B46524"/>
    <w:rsid w:val="00B465E8"/>
    <w:rsid w:val="00B46B6B"/>
    <w:rsid w:val="00B46C14"/>
    <w:rsid w:val="00B471A1"/>
    <w:rsid w:val="00B47266"/>
    <w:rsid w:val="00B474ED"/>
    <w:rsid w:val="00B47AFF"/>
    <w:rsid w:val="00B47B69"/>
    <w:rsid w:val="00B47B87"/>
    <w:rsid w:val="00B47C1D"/>
    <w:rsid w:val="00B47D76"/>
    <w:rsid w:val="00B47D93"/>
    <w:rsid w:val="00B50022"/>
    <w:rsid w:val="00B5009C"/>
    <w:rsid w:val="00B500C5"/>
    <w:rsid w:val="00B50461"/>
    <w:rsid w:val="00B50483"/>
    <w:rsid w:val="00B5072E"/>
    <w:rsid w:val="00B508CA"/>
    <w:rsid w:val="00B50A92"/>
    <w:rsid w:val="00B51080"/>
    <w:rsid w:val="00B513F6"/>
    <w:rsid w:val="00B5141B"/>
    <w:rsid w:val="00B51648"/>
    <w:rsid w:val="00B516FD"/>
    <w:rsid w:val="00B51CF0"/>
    <w:rsid w:val="00B5215F"/>
    <w:rsid w:val="00B5222B"/>
    <w:rsid w:val="00B526A2"/>
    <w:rsid w:val="00B526B5"/>
    <w:rsid w:val="00B52818"/>
    <w:rsid w:val="00B52856"/>
    <w:rsid w:val="00B52884"/>
    <w:rsid w:val="00B52D13"/>
    <w:rsid w:val="00B52D4D"/>
    <w:rsid w:val="00B52EC1"/>
    <w:rsid w:val="00B52FE7"/>
    <w:rsid w:val="00B530F9"/>
    <w:rsid w:val="00B531AB"/>
    <w:rsid w:val="00B531EE"/>
    <w:rsid w:val="00B536C6"/>
    <w:rsid w:val="00B538BD"/>
    <w:rsid w:val="00B539B7"/>
    <w:rsid w:val="00B53B18"/>
    <w:rsid w:val="00B53B2C"/>
    <w:rsid w:val="00B53C84"/>
    <w:rsid w:val="00B54172"/>
    <w:rsid w:val="00B54184"/>
    <w:rsid w:val="00B54621"/>
    <w:rsid w:val="00B54903"/>
    <w:rsid w:val="00B54955"/>
    <w:rsid w:val="00B54CC8"/>
    <w:rsid w:val="00B5510A"/>
    <w:rsid w:val="00B558B4"/>
    <w:rsid w:val="00B558CD"/>
    <w:rsid w:val="00B55B6D"/>
    <w:rsid w:val="00B55D2D"/>
    <w:rsid w:val="00B55DD9"/>
    <w:rsid w:val="00B56106"/>
    <w:rsid w:val="00B5618E"/>
    <w:rsid w:val="00B5628C"/>
    <w:rsid w:val="00B562BA"/>
    <w:rsid w:val="00B5631B"/>
    <w:rsid w:val="00B56407"/>
    <w:rsid w:val="00B56464"/>
    <w:rsid w:val="00B564C3"/>
    <w:rsid w:val="00B56906"/>
    <w:rsid w:val="00B56B48"/>
    <w:rsid w:val="00B571EA"/>
    <w:rsid w:val="00B5722F"/>
    <w:rsid w:val="00B5724E"/>
    <w:rsid w:val="00B573B1"/>
    <w:rsid w:val="00B5779A"/>
    <w:rsid w:val="00B57A03"/>
    <w:rsid w:val="00B57C55"/>
    <w:rsid w:val="00B57EC9"/>
    <w:rsid w:val="00B57F07"/>
    <w:rsid w:val="00B601D5"/>
    <w:rsid w:val="00B60210"/>
    <w:rsid w:val="00B604CB"/>
    <w:rsid w:val="00B60665"/>
    <w:rsid w:val="00B60BB9"/>
    <w:rsid w:val="00B60DB2"/>
    <w:rsid w:val="00B60FDC"/>
    <w:rsid w:val="00B6110C"/>
    <w:rsid w:val="00B611BE"/>
    <w:rsid w:val="00B611F3"/>
    <w:rsid w:val="00B61261"/>
    <w:rsid w:val="00B6134B"/>
    <w:rsid w:val="00B613EB"/>
    <w:rsid w:val="00B6199A"/>
    <w:rsid w:val="00B619F4"/>
    <w:rsid w:val="00B61AF1"/>
    <w:rsid w:val="00B61DA2"/>
    <w:rsid w:val="00B61E1E"/>
    <w:rsid w:val="00B61E3D"/>
    <w:rsid w:val="00B61E9C"/>
    <w:rsid w:val="00B61F96"/>
    <w:rsid w:val="00B61FD6"/>
    <w:rsid w:val="00B6209C"/>
    <w:rsid w:val="00B620BA"/>
    <w:rsid w:val="00B62328"/>
    <w:rsid w:val="00B6256F"/>
    <w:rsid w:val="00B6258F"/>
    <w:rsid w:val="00B6290A"/>
    <w:rsid w:val="00B62917"/>
    <w:rsid w:val="00B62A22"/>
    <w:rsid w:val="00B62B35"/>
    <w:rsid w:val="00B62B80"/>
    <w:rsid w:val="00B62BB1"/>
    <w:rsid w:val="00B62D13"/>
    <w:rsid w:val="00B62DD7"/>
    <w:rsid w:val="00B630B8"/>
    <w:rsid w:val="00B6311E"/>
    <w:rsid w:val="00B632A3"/>
    <w:rsid w:val="00B634C2"/>
    <w:rsid w:val="00B6363E"/>
    <w:rsid w:val="00B63A3A"/>
    <w:rsid w:val="00B63CAF"/>
    <w:rsid w:val="00B63EEE"/>
    <w:rsid w:val="00B63F0C"/>
    <w:rsid w:val="00B63FF8"/>
    <w:rsid w:val="00B641A1"/>
    <w:rsid w:val="00B6424B"/>
    <w:rsid w:val="00B64270"/>
    <w:rsid w:val="00B644CC"/>
    <w:rsid w:val="00B64ADE"/>
    <w:rsid w:val="00B64D8C"/>
    <w:rsid w:val="00B65121"/>
    <w:rsid w:val="00B651B8"/>
    <w:rsid w:val="00B65DA3"/>
    <w:rsid w:val="00B65DC5"/>
    <w:rsid w:val="00B65DD6"/>
    <w:rsid w:val="00B65F37"/>
    <w:rsid w:val="00B66215"/>
    <w:rsid w:val="00B6626E"/>
    <w:rsid w:val="00B66F3B"/>
    <w:rsid w:val="00B67013"/>
    <w:rsid w:val="00B670A1"/>
    <w:rsid w:val="00B6717E"/>
    <w:rsid w:val="00B6745C"/>
    <w:rsid w:val="00B6753F"/>
    <w:rsid w:val="00B675E5"/>
    <w:rsid w:val="00B67900"/>
    <w:rsid w:val="00B67A1B"/>
    <w:rsid w:val="00B67B2C"/>
    <w:rsid w:val="00B67BCB"/>
    <w:rsid w:val="00B7003F"/>
    <w:rsid w:val="00B7060B"/>
    <w:rsid w:val="00B7084E"/>
    <w:rsid w:val="00B708E8"/>
    <w:rsid w:val="00B70B29"/>
    <w:rsid w:val="00B70CA3"/>
    <w:rsid w:val="00B70CC7"/>
    <w:rsid w:val="00B70E86"/>
    <w:rsid w:val="00B70EB6"/>
    <w:rsid w:val="00B71050"/>
    <w:rsid w:val="00B710CD"/>
    <w:rsid w:val="00B711BA"/>
    <w:rsid w:val="00B711E6"/>
    <w:rsid w:val="00B71252"/>
    <w:rsid w:val="00B7158B"/>
    <w:rsid w:val="00B7181F"/>
    <w:rsid w:val="00B71948"/>
    <w:rsid w:val="00B71C13"/>
    <w:rsid w:val="00B71C5E"/>
    <w:rsid w:val="00B71E54"/>
    <w:rsid w:val="00B729A1"/>
    <w:rsid w:val="00B729DF"/>
    <w:rsid w:val="00B72B52"/>
    <w:rsid w:val="00B72D09"/>
    <w:rsid w:val="00B72DC0"/>
    <w:rsid w:val="00B7331A"/>
    <w:rsid w:val="00B733F2"/>
    <w:rsid w:val="00B73797"/>
    <w:rsid w:val="00B73A03"/>
    <w:rsid w:val="00B73D02"/>
    <w:rsid w:val="00B73E3D"/>
    <w:rsid w:val="00B73FD4"/>
    <w:rsid w:val="00B7440C"/>
    <w:rsid w:val="00B7471D"/>
    <w:rsid w:val="00B74881"/>
    <w:rsid w:val="00B74889"/>
    <w:rsid w:val="00B749BF"/>
    <w:rsid w:val="00B74A47"/>
    <w:rsid w:val="00B74C92"/>
    <w:rsid w:val="00B74C9E"/>
    <w:rsid w:val="00B74E64"/>
    <w:rsid w:val="00B74EB8"/>
    <w:rsid w:val="00B75077"/>
    <w:rsid w:val="00B75243"/>
    <w:rsid w:val="00B75683"/>
    <w:rsid w:val="00B756EB"/>
    <w:rsid w:val="00B75781"/>
    <w:rsid w:val="00B75AD2"/>
    <w:rsid w:val="00B75BE8"/>
    <w:rsid w:val="00B75D03"/>
    <w:rsid w:val="00B75D29"/>
    <w:rsid w:val="00B75FB1"/>
    <w:rsid w:val="00B76036"/>
    <w:rsid w:val="00B7636F"/>
    <w:rsid w:val="00B764B7"/>
    <w:rsid w:val="00B767C8"/>
    <w:rsid w:val="00B76B37"/>
    <w:rsid w:val="00B76C23"/>
    <w:rsid w:val="00B76DF0"/>
    <w:rsid w:val="00B7733A"/>
    <w:rsid w:val="00B7750B"/>
    <w:rsid w:val="00B77626"/>
    <w:rsid w:val="00B77693"/>
    <w:rsid w:val="00B77863"/>
    <w:rsid w:val="00B77875"/>
    <w:rsid w:val="00B77900"/>
    <w:rsid w:val="00B779C6"/>
    <w:rsid w:val="00B77A33"/>
    <w:rsid w:val="00B77A80"/>
    <w:rsid w:val="00B77BBC"/>
    <w:rsid w:val="00B77C03"/>
    <w:rsid w:val="00B77C32"/>
    <w:rsid w:val="00B77D54"/>
    <w:rsid w:val="00B80654"/>
    <w:rsid w:val="00B80A41"/>
    <w:rsid w:val="00B80AD3"/>
    <w:rsid w:val="00B80B08"/>
    <w:rsid w:val="00B80BA0"/>
    <w:rsid w:val="00B80C32"/>
    <w:rsid w:val="00B80E02"/>
    <w:rsid w:val="00B80E2B"/>
    <w:rsid w:val="00B80E37"/>
    <w:rsid w:val="00B81097"/>
    <w:rsid w:val="00B8174D"/>
    <w:rsid w:val="00B81969"/>
    <w:rsid w:val="00B81BBC"/>
    <w:rsid w:val="00B81BF1"/>
    <w:rsid w:val="00B82830"/>
    <w:rsid w:val="00B828A0"/>
    <w:rsid w:val="00B82A21"/>
    <w:rsid w:val="00B82EA2"/>
    <w:rsid w:val="00B82F08"/>
    <w:rsid w:val="00B8321F"/>
    <w:rsid w:val="00B83259"/>
    <w:rsid w:val="00B83293"/>
    <w:rsid w:val="00B83454"/>
    <w:rsid w:val="00B8365C"/>
    <w:rsid w:val="00B8365F"/>
    <w:rsid w:val="00B837EA"/>
    <w:rsid w:val="00B838F6"/>
    <w:rsid w:val="00B83973"/>
    <w:rsid w:val="00B8401C"/>
    <w:rsid w:val="00B841D6"/>
    <w:rsid w:val="00B8438C"/>
    <w:rsid w:val="00B8465B"/>
    <w:rsid w:val="00B846A0"/>
    <w:rsid w:val="00B8479B"/>
    <w:rsid w:val="00B848D2"/>
    <w:rsid w:val="00B849D1"/>
    <w:rsid w:val="00B84ACB"/>
    <w:rsid w:val="00B84AE5"/>
    <w:rsid w:val="00B84B3D"/>
    <w:rsid w:val="00B84B9E"/>
    <w:rsid w:val="00B84FF5"/>
    <w:rsid w:val="00B85002"/>
    <w:rsid w:val="00B850D5"/>
    <w:rsid w:val="00B853A6"/>
    <w:rsid w:val="00B85493"/>
    <w:rsid w:val="00B8580D"/>
    <w:rsid w:val="00B85876"/>
    <w:rsid w:val="00B85AA1"/>
    <w:rsid w:val="00B85ADF"/>
    <w:rsid w:val="00B861D7"/>
    <w:rsid w:val="00B8623F"/>
    <w:rsid w:val="00B8637F"/>
    <w:rsid w:val="00B867BD"/>
    <w:rsid w:val="00B86EB9"/>
    <w:rsid w:val="00B86EFB"/>
    <w:rsid w:val="00B86F2F"/>
    <w:rsid w:val="00B86F83"/>
    <w:rsid w:val="00B870F5"/>
    <w:rsid w:val="00B87210"/>
    <w:rsid w:val="00B8721B"/>
    <w:rsid w:val="00B8751A"/>
    <w:rsid w:val="00B87555"/>
    <w:rsid w:val="00B87722"/>
    <w:rsid w:val="00B87825"/>
    <w:rsid w:val="00B878C2"/>
    <w:rsid w:val="00B87E93"/>
    <w:rsid w:val="00B87FDA"/>
    <w:rsid w:val="00B87FFA"/>
    <w:rsid w:val="00B900C8"/>
    <w:rsid w:val="00B90174"/>
    <w:rsid w:val="00B902AF"/>
    <w:rsid w:val="00B9035A"/>
    <w:rsid w:val="00B9038C"/>
    <w:rsid w:val="00B903A3"/>
    <w:rsid w:val="00B9042D"/>
    <w:rsid w:val="00B904EF"/>
    <w:rsid w:val="00B905F5"/>
    <w:rsid w:val="00B90B94"/>
    <w:rsid w:val="00B90BA2"/>
    <w:rsid w:val="00B90E90"/>
    <w:rsid w:val="00B90EB6"/>
    <w:rsid w:val="00B913B7"/>
    <w:rsid w:val="00B91529"/>
    <w:rsid w:val="00B916A2"/>
    <w:rsid w:val="00B91A0F"/>
    <w:rsid w:val="00B91DC8"/>
    <w:rsid w:val="00B91EB7"/>
    <w:rsid w:val="00B91F58"/>
    <w:rsid w:val="00B92024"/>
    <w:rsid w:val="00B92161"/>
    <w:rsid w:val="00B923A5"/>
    <w:rsid w:val="00B925A7"/>
    <w:rsid w:val="00B92737"/>
    <w:rsid w:val="00B928C7"/>
    <w:rsid w:val="00B92930"/>
    <w:rsid w:val="00B92C19"/>
    <w:rsid w:val="00B92C60"/>
    <w:rsid w:val="00B92CA5"/>
    <w:rsid w:val="00B92D8A"/>
    <w:rsid w:val="00B92FC2"/>
    <w:rsid w:val="00B93408"/>
    <w:rsid w:val="00B93426"/>
    <w:rsid w:val="00B9368B"/>
    <w:rsid w:val="00B9382F"/>
    <w:rsid w:val="00B93CB4"/>
    <w:rsid w:val="00B93E74"/>
    <w:rsid w:val="00B93F47"/>
    <w:rsid w:val="00B940A2"/>
    <w:rsid w:val="00B94189"/>
    <w:rsid w:val="00B941AB"/>
    <w:rsid w:val="00B942B7"/>
    <w:rsid w:val="00B94497"/>
    <w:rsid w:val="00B944E6"/>
    <w:rsid w:val="00B94820"/>
    <w:rsid w:val="00B9486C"/>
    <w:rsid w:val="00B94BBC"/>
    <w:rsid w:val="00B94DE8"/>
    <w:rsid w:val="00B95032"/>
    <w:rsid w:val="00B95209"/>
    <w:rsid w:val="00B9540F"/>
    <w:rsid w:val="00B95591"/>
    <w:rsid w:val="00B958C9"/>
    <w:rsid w:val="00B959D4"/>
    <w:rsid w:val="00B95AFB"/>
    <w:rsid w:val="00B95BD8"/>
    <w:rsid w:val="00B965E7"/>
    <w:rsid w:val="00B9679C"/>
    <w:rsid w:val="00B967EE"/>
    <w:rsid w:val="00B96B41"/>
    <w:rsid w:val="00B96C30"/>
    <w:rsid w:val="00B9752C"/>
    <w:rsid w:val="00B975E7"/>
    <w:rsid w:val="00B97B7A"/>
    <w:rsid w:val="00BA02C7"/>
    <w:rsid w:val="00BA0594"/>
    <w:rsid w:val="00BA065A"/>
    <w:rsid w:val="00BA0961"/>
    <w:rsid w:val="00BA09A7"/>
    <w:rsid w:val="00BA0ACF"/>
    <w:rsid w:val="00BA0B06"/>
    <w:rsid w:val="00BA0B36"/>
    <w:rsid w:val="00BA0CAA"/>
    <w:rsid w:val="00BA0D01"/>
    <w:rsid w:val="00BA0D7B"/>
    <w:rsid w:val="00BA1C58"/>
    <w:rsid w:val="00BA1F07"/>
    <w:rsid w:val="00BA22A6"/>
    <w:rsid w:val="00BA23E7"/>
    <w:rsid w:val="00BA2585"/>
    <w:rsid w:val="00BA28D2"/>
    <w:rsid w:val="00BA291B"/>
    <w:rsid w:val="00BA2954"/>
    <w:rsid w:val="00BA2AA5"/>
    <w:rsid w:val="00BA3297"/>
    <w:rsid w:val="00BA331F"/>
    <w:rsid w:val="00BA3537"/>
    <w:rsid w:val="00BA378A"/>
    <w:rsid w:val="00BA38AF"/>
    <w:rsid w:val="00BA3ACE"/>
    <w:rsid w:val="00BA3B08"/>
    <w:rsid w:val="00BA3D2B"/>
    <w:rsid w:val="00BA3D4F"/>
    <w:rsid w:val="00BA4141"/>
    <w:rsid w:val="00BA43AA"/>
    <w:rsid w:val="00BA4518"/>
    <w:rsid w:val="00BA4776"/>
    <w:rsid w:val="00BA4789"/>
    <w:rsid w:val="00BA49EF"/>
    <w:rsid w:val="00BA4AB7"/>
    <w:rsid w:val="00BA4F78"/>
    <w:rsid w:val="00BA50C0"/>
    <w:rsid w:val="00BA5106"/>
    <w:rsid w:val="00BA51F5"/>
    <w:rsid w:val="00BA520D"/>
    <w:rsid w:val="00BA551B"/>
    <w:rsid w:val="00BA55B8"/>
    <w:rsid w:val="00BA5A64"/>
    <w:rsid w:val="00BA5D6B"/>
    <w:rsid w:val="00BA5FCF"/>
    <w:rsid w:val="00BA64B9"/>
    <w:rsid w:val="00BA64F4"/>
    <w:rsid w:val="00BA6664"/>
    <w:rsid w:val="00BA67D7"/>
    <w:rsid w:val="00BA68D0"/>
    <w:rsid w:val="00BA6A13"/>
    <w:rsid w:val="00BA6A4A"/>
    <w:rsid w:val="00BA6C53"/>
    <w:rsid w:val="00BA72DD"/>
    <w:rsid w:val="00BA7504"/>
    <w:rsid w:val="00BA7612"/>
    <w:rsid w:val="00BA77CA"/>
    <w:rsid w:val="00BA7B29"/>
    <w:rsid w:val="00BA7B2F"/>
    <w:rsid w:val="00BA7D0C"/>
    <w:rsid w:val="00BA7DD7"/>
    <w:rsid w:val="00BA7E1F"/>
    <w:rsid w:val="00BB02AC"/>
    <w:rsid w:val="00BB0338"/>
    <w:rsid w:val="00BB03C7"/>
    <w:rsid w:val="00BB0542"/>
    <w:rsid w:val="00BB0607"/>
    <w:rsid w:val="00BB091D"/>
    <w:rsid w:val="00BB0B4A"/>
    <w:rsid w:val="00BB0BA9"/>
    <w:rsid w:val="00BB0E22"/>
    <w:rsid w:val="00BB0E8B"/>
    <w:rsid w:val="00BB15A6"/>
    <w:rsid w:val="00BB1BE5"/>
    <w:rsid w:val="00BB1E59"/>
    <w:rsid w:val="00BB2293"/>
    <w:rsid w:val="00BB275C"/>
    <w:rsid w:val="00BB2785"/>
    <w:rsid w:val="00BB279B"/>
    <w:rsid w:val="00BB287B"/>
    <w:rsid w:val="00BB28EB"/>
    <w:rsid w:val="00BB2A69"/>
    <w:rsid w:val="00BB2B84"/>
    <w:rsid w:val="00BB2C7C"/>
    <w:rsid w:val="00BB2E4F"/>
    <w:rsid w:val="00BB2F7E"/>
    <w:rsid w:val="00BB3008"/>
    <w:rsid w:val="00BB3014"/>
    <w:rsid w:val="00BB3153"/>
    <w:rsid w:val="00BB3155"/>
    <w:rsid w:val="00BB3735"/>
    <w:rsid w:val="00BB383C"/>
    <w:rsid w:val="00BB3ACA"/>
    <w:rsid w:val="00BB3B1C"/>
    <w:rsid w:val="00BB3E94"/>
    <w:rsid w:val="00BB3F3E"/>
    <w:rsid w:val="00BB4055"/>
    <w:rsid w:val="00BB455A"/>
    <w:rsid w:val="00BB45E4"/>
    <w:rsid w:val="00BB4603"/>
    <w:rsid w:val="00BB46C6"/>
    <w:rsid w:val="00BB4708"/>
    <w:rsid w:val="00BB4819"/>
    <w:rsid w:val="00BB4937"/>
    <w:rsid w:val="00BB4939"/>
    <w:rsid w:val="00BB4A6F"/>
    <w:rsid w:val="00BB4D33"/>
    <w:rsid w:val="00BB4DF1"/>
    <w:rsid w:val="00BB4F35"/>
    <w:rsid w:val="00BB4F73"/>
    <w:rsid w:val="00BB51A7"/>
    <w:rsid w:val="00BB53D2"/>
    <w:rsid w:val="00BB5712"/>
    <w:rsid w:val="00BB5D83"/>
    <w:rsid w:val="00BB5DC3"/>
    <w:rsid w:val="00BB5FF3"/>
    <w:rsid w:val="00BB67F7"/>
    <w:rsid w:val="00BB6B87"/>
    <w:rsid w:val="00BB6C12"/>
    <w:rsid w:val="00BB6C9B"/>
    <w:rsid w:val="00BB7114"/>
    <w:rsid w:val="00BB732A"/>
    <w:rsid w:val="00BB7356"/>
    <w:rsid w:val="00BB742A"/>
    <w:rsid w:val="00BB7713"/>
    <w:rsid w:val="00BB7801"/>
    <w:rsid w:val="00BB7A7A"/>
    <w:rsid w:val="00BC024F"/>
    <w:rsid w:val="00BC05D1"/>
    <w:rsid w:val="00BC0615"/>
    <w:rsid w:val="00BC0844"/>
    <w:rsid w:val="00BC08C7"/>
    <w:rsid w:val="00BC094E"/>
    <w:rsid w:val="00BC0B3F"/>
    <w:rsid w:val="00BC0B40"/>
    <w:rsid w:val="00BC0BDF"/>
    <w:rsid w:val="00BC0C17"/>
    <w:rsid w:val="00BC0EF0"/>
    <w:rsid w:val="00BC1197"/>
    <w:rsid w:val="00BC11AE"/>
    <w:rsid w:val="00BC11FA"/>
    <w:rsid w:val="00BC1262"/>
    <w:rsid w:val="00BC1460"/>
    <w:rsid w:val="00BC1632"/>
    <w:rsid w:val="00BC1694"/>
    <w:rsid w:val="00BC16DD"/>
    <w:rsid w:val="00BC1705"/>
    <w:rsid w:val="00BC17CF"/>
    <w:rsid w:val="00BC18D6"/>
    <w:rsid w:val="00BC18F5"/>
    <w:rsid w:val="00BC1AA3"/>
    <w:rsid w:val="00BC1C20"/>
    <w:rsid w:val="00BC1C83"/>
    <w:rsid w:val="00BC24AE"/>
    <w:rsid w:val="00BC268D"/>
    <w:rsid w:val="00BC2776"/>
    <w:rsid w:val="00BC279D"/>
    <w:rsid w:val="00BC2A27"/>
    <w:rsid w:val="00BC2AD4"/>
    <w:rsid w:val="00BC2C57"/>
    <w:rsid w:val="00BC2CCB"/>
    <w:rsid w:val="00BC2DE7"/>
    <w:rsid w:val="00BC3260"/>
    <w:rsid w:val="00BC3427"/>
    <w:rsid w:val="00BC34B9"/>
    <w:rsid w:val="00BC3CF7"/>
    <w:rsid w:val="00BC3EF3"/>
    <w:rsid w:val="00BC3F8E"/>
    <w:rsid w:val="00BC403F"/>
    <w:rsid w:val="00BC4138"/>
    <w:rsid w:val="00BC42BB"/>
    <w:rsid w:val="00BC43DC"/>
    <w:rsid w:val="00BC451D"/>
    <w:rsid w:val="00BC460D"/>
    <w:rsid w:val="00BC4622"/>
    <w:rsid w:val="00BC471F"/>
    <w:rsid w:val="00BC4A59"/>
    <w:rsid w:val="00BC4AAD"/>
    <w:rsid w:val="00BC4BD8"/>
    <w:rsid w:val="00BC4DBA"/>
    <w:rsid w:val="00BC4E1D"/>
    <w:rsid w:val="00BC4F7C"/>
    <w:rsid w:val="00BC52CA"/>
    <w:rsid w:val="00BC53B2"/>
    <w:rsid w:val="00BC542A"/>
    <w:rsid w:val="00BC545F"/>
    <w:rsid w:val="00BC56CB"/>
    <w:rsid w:val="00BC5AE4"/>
    <w:rsid w:val="00BC5DDB"/>
    <w:rsid w:val="00BC5EEC"/>
    <w:rsid w:val="00BC63DC"/>
    <w:rsid w:val="00BC6545"/>
    <w:rsid w:val="00BC6595"/>
    <w:rsid w:val="00BC65F0"/>
    <w:rsid w:val="00BC685D"/>
    <w:rsid w:val="00BC68EE"/>
    <w:rsid w:val="00BC69F8"/>
    <w:rsid w:val="00BC6A3B"/>
    <w:rsid w:val="00BC6A68"/>
    <w:rsid w:val="00BC6B5D"/>
    <w:rsid w:val="00BC6B97"/>
    <w:rsid w:val="00BC6C86"/>
    <w:rsid w:val="00BC6D54"/>
    <w:rsid w:val="00BC6FE3"/>
    <w:rsid w:val="00BC7075"/>
    <w:rsid w:val="00BC71C6"/>
    <w:rsid w:val="00BC7392"/>
    <w:rsid w:val="00BC79B7"/>
    <w:rsid w:val="00BC7D83"/>
    <w:rsid w:val="00BC7E4F"/>
    <w:rsid w:val="00BD00F5"/>
    <w:rsid w:val="00BD036B"/>
    <w:rsid w:val="00BD0723"/>
    <w:rsid w:val="00BD09BF"/>
    <w:rsid w:val="00BD0A0B"/>
    <w:rsid w:val="00BD106E"/>
    <w:rsid w:val="00BD1243"/>
    <w:rsid w:val="00BD15D6"/>
    <w:rsid w:val="00BD16E5"/>
    <w:rsid w:val="00BD1B47"/>
    <w:rsid w:val="00BD1B55"/>
    <w:rsid w:val="00BD1DD7"/>
    <w:rsid w:val="00BD215F"/>
    <w:rsid w:val="00BD22F9"/>
    <w:rsid w:val="00BD27F3"/>
    <w:rsid w:val="00BD280B"/>
    <w:rsid w:val="00BD2891"/>
    <w:rsid w:val="00BD2A59"/>
    <w:rsid w:val="00BD2AA1"/>
    <w:rsid w:val="00BD2BE5"/>
    <w:rsid w:val="00BD2D11"/>
    <w:rsid w:val="00BD2D18"/>
    <w:rsid w:val="00BD2E1C"/>
    <w:rsid w:val="00BD30CC"/>
    <w:rsid w:val="00BD32C2"/>
    <w:rsid w:val="00BD3375"/>
    <w:rsid w:val="00BD38BD"/>
    <w:rsid w:val="00BD3961"/>
    <w:rsid w:val="00BD3B01"/>
    <w:rsid w:val="00BD4236"/>
    <w:rsid w:val="00BD44BC"/>
    <w:rsid w:val="00BD49C5"/>
    <w:rsid w:val="00BD4B53"/>
    <w:rsid w:val="00BD5263"/>
    <w:rsid w:val="00BD5422"/>
    <w:rsid w:val="00BD5551"/>
    <w:rsid w:val="00BD55D0"/>
    <w:rsid w:val="00BD5914"/>
    <w:rsid w:val="00BD5A5D"/>
    <w:rsid w:val="00BD5D55"/>
    <w:rsid w:val="00BD5EB4"/>
    <w:rsid w:val="00BD5F69"/>
    <w:rsid w:val="00BD640F"/>
    <w:rsid w:val="00BD6410"/>
    <w:rsid w:val="00BD6574"/>
    <w:rsid w:val="00BD6B73"/>
    <w:rsid w:val="00BD6CAD"/>
    <w:rsid w:val="00BD6CDF"/>
    <w:rsid w:val="00BD6D41"/>
    <w:rsid w:val="00BD6E27"/>
    <w:rsid w:val="00BD6ECE"/>
    <w:rsid w:val="00BD7174"/>
    <w:rsid w:val="00BD743E"/>
    <w:rsid w:val="00BD74C6"/>
    <w:rsid w:val="00BD7A8F"/>
    <w:rsid w:val="00BD7BA0"/>
    <w:rsid w:val="00BD7E07"/>
    <w:rsid w:val="00BE012E"/>
    <w:rsid w:val="00BE0246"/>
    <w:rsid w:val="00BE02CD"/>
    <w:rsid w:val="00BE03CA"/>
    <w:rsid w:val="00BE03F2"/>
    <w:rsid w:val="00BE0655"/>
    <w:rsid w:val="00BE074B"/>
    <w:rsid w:val="00BE0CCD"/>
    <w:rsid w:val="00BE0CFA"/>
    <w:rsid w:val="00BE0D9B"/>
    <w:rsid w:val="00BE0DFB"/>
    <w:rsid w:val="00BE0E0E"/>
    <w:rsid w:val="00BE0FCB"/>
    <w:rsid w:val="00BE11C7"/>
    <w:rsid w:val="00BE12DB"/>
    <w:rsid w:val="00BE1652"/>
    <w:rsid w:val="00BE19A0"/>
    <w:rsid w:val="00BE19A5"/>
    <w:rsid w:val="00BE1B10"/>
    <w:rsid w:val="00BE1E09"/>
    <w:rsid w:val="00BE1E32"/>
    <w:rsid w:val="00BE1FCD"/>
    <w:rsid w:val="00BE273C"/>
    <w:rsid w:val="00BE27E3"/>
    <w:rsid w:val="00BE2DD1"/>
    <w:rsid w:val="00BE2F18"/>
    <w:rsid w:val="00BE3190"/>
    <w:rsid w:val="00BE3225"/>
    <w:rsid w:val="00BE3291"/>
    <w:rsid w:val="00BE3517"/>
    <w:rsid w:val="00BE35D5"/>
    <w:rsid w:val="00BE3B22"/>
    <w:rsid w:val="00BE3B38"/>
    <w:rsid w:val="00BE3B63"/>
    <w:rsid w:val="00BE3C19"/>
    <w:rsid w:val="00BE3CF4"/>
    <w:rsid w:val="00BE4096"/>
    <w:rsid w:val="00BE43BB"/>
    <w:rsid w:val="00BE4413"/>
    <w:rsid w:val="00BE45CD"/>
    <w:rsid w:val="00BE4641"/>
    <w:rsid w:val="00BE46CE"/>
    <w:rsid w:val="00BE4C76"/>
    <w:rsid w:val="00BE4CB8"/>
    <w:rsid w:val="00BE4CD4"/>
    <w:rsid w:val="00BE5D26"/>
    <w:rsid w:val="00BE5DB1"/>
    <w:rsid w:val="00BE5F49"/>
    <w:rsid w:val="00BE61D3"/>
    <w:rsid w:val="00BE622E"/>
    <w:rsid w:val="00BE638A"/>
    <w:rsid w:val="00BE6658"/>
    <w:rsid w:val="00BE6711"/>
    <w:rsid w:val="00BE6788"/>
    <w:rsid w:val="00BE6B03"/>
    <w:rsid w:val="00BE6C6E"/>
    <w:rsid w:val="00BE6D48"/>
    <w:rsid w:val="00BE6EEF"/>
    <w:rsid w:val="00BE7058"/>
    <w:rsid w:val="00BE715F"/>
    <w:rsid w:val="00BE75C6"/>
    <w:rsid w:val="00BE77D9"/>
    <w:rsid w:val="00BE79AF"/>
    <w:rsid w:val="00BE7D4B"/>
    <w:rsid w:val="00BE7F5E"/>
    <w:rsid w:val="00BE7FD0"/>
    <w:rsid w:val="00BF0189"/>
    <w:rsid w:val="00BF02B5"/>
    <w:rsid w:val="00BF041C"/>
    <w:rsid w:val="00BF0876"/>
    <w:rsid w:val="00BF08EF"/>
    <w:rsid w:val="00BF0E6C"/>
    <w:rsid w:val="00BF10AF"/>
    <w:rsid w:val="00BF1146"/>
    <w:rsid w:val="00BF1263"/>
    <w:rsid w:val="00BF1426"/>
    <w:rsid w:val="00BF14F9"/>
    <w:rsid w:val="00BF1A7F"/>
    <w:rsid w:val="00BF1B40"/>
    <w:rsid w:val="00BF1B51"/>
    <w:rsid w:val="00BF1BD7"/>
    <w:rsid w:val="00BF1E70"/>
    <w:rsid w:val="00BF1F78"/>
    <w:rsid w:val="00BF2279"/>
    <w:rsid w:val="00BF23F0"/>
    <w:rsid w:val="00BF2810"/>
    <w:rsid w:val="00BF2837"/>
    <w:rsid w:val="00BF2A8A"/>
    <w:rsid w:val="00BF2D36"/>
    <w:rsid w:val="00BF2ECC"/>
    <w:rsid w:val="00BF2F58"/>
    <w:rsid w:val="00BF2FC3"/>
    <w:rsid w:val="00BF3025"/>
    <w:rsid w:val="00BF3080"/>
    <w:rsid w:val="00BF32C5"/>
    <w:rsid w:val="00BF37C5"/>
    <w:rsid w:val="00BF3897"/>
    <w:rsid w:val="00BF3980"/>
    <w:rsid w:val="00BF3AD9"/>
    <w:rsid w:val="00BF3C08"/>
    <w:rsid w:val="00BF3DFD"/>
    <w:rsid w:val="00BF3E27"/>
    <w:rsid w:val="00BF3F57"/>
    <w:rsid w:val="00BF4173"/>
    <w:rsid w:val="00BF41D1"/>
    <w:rsid w:val="00BF4655"/>
    <w:rsid w:val="00BF4701"/>
    <w:rsid w:val="00BF47ED"/>
    <w:rsid w:val="00BF47F3"/>
    <w:rsid w:val="00BF48D9"/>
    <w:rsid w:val="00BF4908"/>
    <w:rsid w:val="00BF4A6F"/>
    <w:rsid w:val="00BF4AC6"/>
    <w:rsid w:val="00BF4B2B"/>
    <w:rsid w:val="00BF52A0"/>
    <w:rsid w:val="00BF5488"/>
    <w:rsid w:val="00BF54D9"/>
    <w:rsid w:val="00BF5585"/>
    <w:rsid w:val="00BF5D98"/>
    <w:rsid w:val="00BF5E9D"/>
    <w:rsid w:val="00BF5EAF"/>
    <w:rsid w:val="00BF5EF9"/>
    <w:rsid w:val="00BF5FC9"/>
    <w:rsid w:val="00BF618E"/>
    <w:rsid w:val="00BF63C4"/>
    <w:rsid w:val="00BF645B"/>
    <w:rsid w:val="00BF64FF"/>
    <w:rsid w:val="00BF65D4"/>
    <w:rsid w:val="00BF695C"/>
    <w:rsid w:val="00BF6A97"/>
    <w:rsid w:val="00BF6C1C"/>
    <w:rsid w:val="00BF6E6D"/>
    <w:rsid w:val="00BF6E9E"/>
    <w:rsid w:val="00BF741D"/>
    <w:rsid w:val="00BF74D0"/>
    <w:rsid w:val="00BF74EB"/>
    <w:rsid w:val="00BF751B"/>
    <w:rsid w:val="00BF752B"/>
    <w:rsid w:val="00BF7630"/>
    <w:rsid w:val="00BF78A2"/>
    <w:rsid w:val="00BF7C20"/>
    <w:rsid w:val="00BF7C91"/>
    <w:rsid w:val="00BF7E5E"/>
    <w:rsid w:val="00C001FC"/>
    <w:rsid w:val="00C00996"/>
    <w:rsid w:val="00C00C0F"/>
    <w:rsid w:val="00C00C27"/>
    <w:rsid w:val="00C00CEF"/>
    <w:rsid w:val="00C00FEC"/>
    <w:rsid w:val="00C0100A"/>
    <w:rsid w:val="00C012DA"/>
    <w:rsid w:val="00C013C4"/>
    <w:rsid w:val="00C013E3"/>
    <w:rsid w:val="00C016BD"/>
    <w:rsid w:val="00C017F4"/>
    <w:rsid w:val="00C01CEF"/>
    <w:rsid w:val="00C01FB1"/>
    <w:rsid w:val="00C02017"/>
    <w:rsid w:val="00C0211D"/>
    <w:rsid w:val="00C02317"/>
    <w:rsid w:val="00C026D3"/>
    <w:rsid w:val="00C0298C"/>
    <w:rsid w:val="00C02CA7"/>
    <w:rsid w:val="00C02DB3"/>
    <w:rsid w:val="00C02E7A"/>
    <w:rsid w:val="00C02F3C"/>
    <w:rsid w:val="00C0332F"/>
    <w:rsid w:val="00C03466"/>
    <w:rsid w:val="00C034C0"/>
    <w:rsid w:val="00C0380C"/>
    <w:rsid w:val="00C0392B"/>
    <w:rsid w:val="00C03ACC"/>
    <w:rsid w:val="00C03CA1"/>
    <w:rsid w:val="00C03E2F"/>
    <w:rsid w:val="00C03E62"/>
    <w:rsid w:val="00C03F00"/>
    <w:rsid w:val="00C03F44"/>
    <w:rsid w:val="00C040D8"/>
    <w:rsid w:val="00C041DA"/>
    <w:rsid w:val="00C04507"/>
    <w:rsid w:val="00C0484D"/>
    <w:rsid w:val="00C049F0"/>
    <w:rsid w:val="00C04BF9"/>
    <w:rsid w:val="00C04C63"/>
    <w:rsid w:val="00C04F90"/>
    <w:rsid w:val="00C05069"/>
    <w:rsid w:val="00C05390"/>
    <w:rsid w:val="00C058FA"/>
    <w:rsid w:val="00C05995"/>
    <w:rsid w:val="00C059F7"/>
    <w:rsid w:val="00C05BE2"/>
    <w:rsid w:val="00C05CEA"/>
    <w:rsid w:val="00C06125"/>
    <w:rsid w:val="00C0622C"/>
    <w:rsid w:val="00C06270"/>
    <w:rsid w:val="00C062DA"/>
    <w:rsid w:val="00C06647"/>
    <w:rsid w:val="00C0682B"/>
    <w:rsid w:val="00C06F0B"/>
    <w:rsid w:val="00C07224"/>
    <w:rsid w:val="00C07356"/>
    <w:rsid w:val="00C076BE"/>
    <w:rsid w:val="00C07724"/>
    <w:rsid w:val="00C078FB"/>
    <w:rsid w:val="00C079B5"/>
    <w:rsid w:val="00C07A3A"/>
    <w:rsid w:val="00C07CAB"/>
    <w:rsid w:val="00C07F2B"/>
    <w:rsid w:val="00C10050"/>
    <w:rsid w:val="00C101C5"/>
    <w:rsid w:val="00C101D8"/>
    <w:rsid w:val="00C10215"/>
    <w:rsid w:val="00C1055B"/>
    <w:rsid w:val="00C105E9"/>
    <w:rsid w:val="00C10CF2"/>
    <w:rsid w:val="00C11048"/>
    <w:rsid w:val="00C1140A"/>
    <w:rsid w:val="00C11580"/>
    <w:rsid w:val="00C11B6C"/>
    <w:rsid w:val="00C11F91"/>
    <w:rsid w:val="00C120B3"/>
    <w:rsid w:val="00C1212C"/>
    <w:rsid w:val="00C121E2"/>
    <w:rsid w:val="00C122C8"/>
    <w:rsid w:val="00C122E3"/>
    <w:rsid w:val="00C12399"/>
    <w:rsid w:val="00C12405"/>
    <w:rsid w:val="00C125A9"/>
    <w:rsid w:val="00C1288D"/>
    <w:rsid w:val="00C12E6F"/>
    <w:rsid w:val="00C12FD7"/>
    <w:rsid w:val="00C13290"/>
    <w:rsid w:val="00C132AE"/>
    <w:rsid w:val="00C13A9C"/>
    <w:rsid w:val="00C13ABA"/>
    <w:rsid w:val="00C13CD7"/>
    <w:rsid w:val="00C14034"/>
    <w:rsid w:val="00C142C3"/>
    <w:rsid w:val="00C14347"/>
    <w:rsid w:val="00C146A7"/>
    <w:rsid w:val="00C14948"/>
    <w:rsid w:val="00C14B32"/>
    <w:rsid w:val="00C14F6D"/>
    <w:rsid w:val="00C1500E"/>
    <w:rsid w:val="00C1533D"/>
    <w:rsid w:val="00C15369"/>
    <w:rsid w:val="00C15407"/>
    <w:rsid w:val="00C15C77"/>
    <w:rsid w:val="00C15CD4"/>
    <w:rsid w:val="00C15D6E"/>
    <w:rsid w:val="00C15D86"/>
    <w:rsid w:val="00C15E47"/>
    <w:rsid w:val="00C15FC4"/>
    <w:rsid w:val="00C16350"/>
    <w:rsid w:val="00C16571"/>
    <w:rsid w:val="00C16663"/>
    <w:rsid w:val="00C167E1"/>
    <w:rsid w:val="00C16D12"/>
    <w:rsid w:val="00C16FA8"/>
    <w:rsid w:val="00C170AA"/>
    <w:rsid w:val="00C17278"/>
    <w:rsid w:val="00C17280"/>
    <w:rsid w:val="00C172BE"/>
    <w:rsid w:val="00C173BE"/>
    <w:rsid w:val="00C174E4"/>
    <w:rsid w:val="00C17837"/>
    <w:rsid w:val="00C17A0E"/>
    <w:rsid w:val="00C17B8D"/>
    <w:rsid w:val="00C17EF1"/>
    <w:rsid w:val="00C201F8"/>
    <w:rsid w:val="00C20376"/>
    <w:rsid w:val="00C20723"/>
    <w:rsid w:val="00C20752"/>
    <w:rsid w:val="00C2086B"/>
    <w:rsid w:val="00C208F3"/>
    <w:rsid w:val="00C20957"/>
    <w:rsid w:val="00C209B4"/>
    <w:rsid w:val="00C20A44"/>
    <w:rsid w:val="00C20F53"/>
    <w:rsid w:val="00C21235"/>
    <w:rsid w:val="00C213E2"/>
    <w:rsid w:val="00C2148D"/>
    <w:rsid w:val="00C215DB"/>
    <w:rsid w:val="00C2164B"/>
    <w:rsid w:val="00C21771"/>
    <w:rsid w:val="00C21AA4"/>
    <w:rsid w:val="00C21D1E"/>
    <w:rsid w:val="00C21E1F"/>
    <w:rsid w:val="00C21E78"/>
    <w:rsid w:val="00C227D2"/>
    <w:rsid w:val="00C228C9"/>
    <w:rsid w:val="00C22A2F"/>
    <w:rsid w:val="00C22BDD"/>
    <w:rsid w:val="00C22BFF"/>
    <w:rsid w:val="00C22CD8"/>
    <w:rsid w:val="00C22CE8"/>
    <w:rsid w:val="00C22D43"/>
    <w:rsid w:val="00C2355D"/>
    <w:rsid w:val="00C2395D"/>
    <w:rsid w:val="00C23A2A"/>
    <w:rsid w:val="00C23BAE"/>
    <w:rsid w:val="00C23BD9"/>
    <w:rsid w:val="00C23C74"/>
    <w:rsid w:val="00C24000"/>
    <w:rsid w:val="00C24235"/>
    <w:rsid w:val="00C24259"/>
    <w:rsid w:val="00C2428D"/>
    <w:rsid w:val="00C24351"/>
    <w:rsid w:val="00C244AF"/>
    <w:rsid w:val="00C244FF"/>
    <w:rsid w:val="00C245FD"/>
    <w:rsid w:val="00C24E24"/>
    <w:rsid w:val="00C2537E"/>
    <w:rsid w:val="00C256C7"/>
    <w:rsid w:val="00C25A8B"/>
    <w:rsid w:val="00C25D5B"/>
    <w:rsid w:val="00C25F6B"/>
    <w:rsid w:val="00C25F81"/>
    <w:rsid w:val="00C25F93"/>
    <w:rsid w:val="00C261CF"/>
    <w:rsid w:val="00C261FF"/>
    <w:rsid w:val="00C264D0"/>
    <w:rsid w:val="00C265F2"/>
    <w:rsid w:val="00C266C5"/>
    <w:rsid w:val="00C26A35"/>
    <w:rsid w:val="00C26AE3"/>
    <w:rsid w:val="00C26C13"/>
    <w:rsid w:val="00C26CB4"/>
    <w:rsid w:val="00C26DEE"/>
    <w:rsid w:val="00C26E40"/>
    <w:rsid w:val="00C26FF2"/>
    <w:rsid w:val="00C2723A"/>
    <w:rsid w:val="00C272B8"/>
    <w:rsid w:val="00C272CB"/>
    <w:rsid w:val="00C276EB"/>
    <w:rsid w:val="00C27ACB"/>
    <w:rsid w:val="00C27BE4"/>
    <w:rsid w:val="00C27CDC"/>
    <w:rsid w:val="00C27FCE"/>
    <w:rsid w:val="00C3028F"/>
    <w:rsid w:val="00C30439"/>
    <w:rsid w:val="00C30453"/>
    <w:rsid w:val="00C30644"/>
    <w:rsid w:val="00C30715"/>
    <w:rsid w:val="00C30813"/>
    <w:rsid w:val="00C309F0"/>
    <w:rsid w:val="00C30BE9"/>
    <w:rsid w:val="00C30D4E"/>
    <w:rsid w:val="00C30F07"/>
    <w:rsid w:val="00C30F14"/>
    <w:rsid w:val="00C31333"/>
    <w:rsid w:val="00C316CE"/>
    <w:rsid w:val="00C32072"/>
    <w:rsid w:val="00C321F1"/>
    <w:rsid w:val="00C3234C"/>
    <w:rsid w:val="00C3253B"/>
    <w:rsid w:val="00C3266F"/>
    <w:rsid w:val="00C329CB"/>
    <w:rsid w:val="00C32BB1"/>
    <w:rsid w:val="00C32EF6"/>
    <w:rsid w:val="00C3300A"/>
    <w:rsid w:val="00C33366"/>
    <w:rsid w:val="00C33569"/>
    <w:rsid w:val="00C33807"/>
    <w:rsid w:val="00C3396B"/>
    <w:rsid w:val="00C33A2F"/>
    <w:rsid w:val="00C33D2F"/>
    <w:rsid w:val="00C33D4F"/>
    <w:rsid w:val="00C3482D"/>
    <w:rsid w:val="00C348C5"/>
    <w:rsid w:val="00C34913"/>
    <w:rsid w:val="00C34DF9"/>
    <w:rsid w:val="00C34E9B"/>
    <w:rsid w:val="00C34EE5"/>
    <w:rsid w:val="00C34F31"/>
    <w:rsid w:val="00C350BB"/>
    <w:rsid w:val="00C3525D"/>
    <w:rsid w:val="00C35544"/>
    <w:rsid w:val="00C35A53"/>
    <w:rsid w:val="00C35C87"/>
    <w:rsid w:val="00C35DD6"/>
    <w:rsid w:val="00C35E22"/>
    <w:rsid w:val="00C35EC7"/>
    <w:rsid w:val="00C35FA0"/>
    <w:rsid w:val="00C36073"/>
    <w:rsid w:val="00C36147"/>
    <w:rsid w:val="00C362BE"/>
    <w:rsid w:val="00C36300"/>
    <w:rsid w:val="00C36492"/>
    <w:rsid w:val="00C36753"/>
    <w:rsid w:val="00C367A7"/>
    <w:rsid w:val="00C368D5"/>
    <w:rsid w:val="00C3692D"/>
    <w:rsid w:val="00C36B65"/>
    <w:rsid w:val="00C36CEB"/>
    <w:rsid w:val="00C36FA4"/>
    <w:rsid w:val="00C37052"/>
    <w:rsid w:val="00C3733B"/>
    <w:rsid w:val="00C37391"/>
    <w:rsid w:val="00C374B8"/>
    <w:rsid w:val="00C37940"/>
    <w:rsid w:val="00C37942"/>
    <w:rsid w:val="00C37B6F"/>
    <w:rsid w:val="00C37C5A"/>
    <w:rsid w:val="00C37E13"/>
    <w:rsid w:val="00C404AE"/>
    <w:rsid w:val="00C40588"/>
    <w:rsid w:val="00C40606"/>
    <w:rsid w:val="00C40630"/>
    <w:rsid w:val="00C406F5"/>
    <w:rsid w:val="00C40D39"/>
    <w:rsid w:val="00C40D61"/>
    <w:rsid w:val="00C40E59"/>
    <w:rsid w:val="00C40EBC"/>
    <w:rsid w:val="00C41107"/>
    <w:rsid w:val="00C411D0"/>
    <w:rsid w:val="00C4123B"/>
    <w:rsid w:val="00C413B1"/>
    <w:rsid w:val="00C415AC"/>
    <w:rsid w:val="00C4169E"/>
    <w:rsid w:val="00C41A7F"/>
    <w:rsid w:val="00C41B0F"/>
    <w:rsid w:val="00C420C4"/>
    <w:rsid w:val="00C422B1"/>
    <w:rsid w:val="00C4234E"/>
    <w:rsid w:val="00C42643"/>
    <w:rsid w:val="00C42AC6"/>
    <w:rsid w:val="00C42AD8"/>
    <w:rsid w:val="00C42DF4"/>
    <w:rsid w:val="00C42EC2"/>
    <w:rsid w:val="00C43394"/>
    <w:rsid w:val="00C4339C"/>
    <w:rsid w:val="00C43668"/>
    <w:rsid w:val="00C4374F"/>
    <w:rsid w:val="00C43C30"/>
    <w:rsid w:val="00C43E8A"/>
    <w:rsid w:val="00C43EFF"/>
    <w:rsid w:val="00C440ED"/>
    <w:rsid w:val="00C4435A"/>
    <w:rsid w:val="00C443F6"/>
    <w:rsid w:val="00C444BB"/>
    <w:rsid w:val="00C44CE1"/>
    <w:rsid w:val="00C44CEA"/>
    <w:rsid w:val="00C44EBD"/>
    <w:rsid w:val="00C44F40"/>
    <w:rsid w:val="00C4508D"/>
    <w:rsid w:val="00C451B0"/>
    <w:rsid w:val="00C452BF"/>
    <w:rsid w:val="00C453D1"/>
    <w:rsid w:val="00C45425"/>
    <w:rsid w:val="00C45600"/>
    <w:rsid w:val="00C45C70"/>
    <w:rsid w:val="00C4613D"/>
    <w:rsid w:val="00C46184"/>
    <w:rsid w:val="00C4622D"/>
    <w:rsid w:val="00C462F1"/>
    <w:rsid w:val="00C46415"/>
    <w:rsid w:val="00C46592"/>
    <w:rsid w:val="00C46718"/>
    <w:rsid w:val="00C4698A"/>
    <w:rsid w:val="00C46D33"/>
    <w:rsid w:val="00C4772B"/>
    <w:rsid w:val="00C47837"/>
    <w:rsid w:val="00C478AF"/>
    <w:rsid w:val="00C47961"/>
    <w:rsid w:val="00C479F8"/>
    <w:rsid w:val="00C47B4A"/>
    <w:rsid w:val="00C47D5F"/>
    <w:rsid w:val="00C47E5D"/>
    <w:rsid w:val="00C5065A"/>
    <w:rsid w:val="00C50684"/>
    <w:rsid w:val="00C50717"/>
    <w:rsid w:val="00C50C3E"/>
    <w:rsid w:val="00C50CFD"/>
    <w:rsid w:val="00C50E76"/>
    <w:rsid w:val="00C50F0B"/>
    <w:rsid w:val="00C50F2E"/>
    <w:rsid w:val="00C51290"/>
    <w:rsid w:val="00C5170B"/>
    <w:rsid w:val="00C51993"/>
    <w:rsid w:val="00C51D3E"/>
    <w:rsid w:val="00C51DFF"/>
    <w:rsid w:val="00C52000"/>
    <w:rsid w:val="00C521E7"/>
    <w:rsid w:val="00C5221D"/>
    <w:rsid w:val="00C526DF"/>
    <w:rsid w:val="00C52760"/>
    <w:rsid w:val="00C52AF5"/>
    <w:rsid w:val="00C52C55"/>
    <w:rsid w:val="00C52F17"/>
    <w:rsid w:val="00C52F1A"/>
    <w:rsid w:val="00C537F4"/>
    <w:rsid w:val="00C5382A"/>
    <w:rsid w:val="00C53953"/>
    <w:rsid w:val="00C53A20"/>
    <w:rsid w:val="00C53BFA"/>
    <w:rsid w:val="00C53CFE"/>
    <w:rsid w:val="00C53FE4"/>
    <w:rsid w:val="00C54B14"/>
    <w:rsid w:val="00C54BD8"/>
    <w:rsid w:val="00C54D1A"/>
    <w:rsid w:val="00C54E65"/>
    <w:rsid w:val="00C5531A"/>
    <w:rsid w:val="00C55359"/>
    <w:rsid w:val="00C55523"/>
    <w:rsid w:val="00C55B48"/>
    <w:rsid w:val="00C55CE3"/>
    <w:rsid w:val="00C55DCD"/>
    <w:rsid w:val="00C55E57"/>
    <w:rsid w:val="00C55F84"/>
    <w:rsid w:val="00C561CF"/>
    <w:rsid w:val="00C564D4"/>
    <w:rsid w:val="00C565C5"/>
    <w:rsid w:val="00C56844"/>
    <w:rsid w:val="00C56C64"/>
    <w:rsid w:val="00C56F08"/>
    <w:rsid w:val="00C570A9"/>
    <w:rsid w:val="00C570D2"/>
    <w:rsid w:val="00C5714C"/>
    <w:rsid w:val="00C57277"/>
    <w:rsid w:val="00C57371"/>
    <w:rsid w:val="00C575E7"/>
    <w:rsid w:val="00C57A48"/>
    <w:rsid w:val="00C57EBD"/>
    <w:rsid w:val="00C57EE6"/>
    <w:rsid w:val="00C60371"/>
    <w:rsid w:val="00C607F8"/>
    <w:rsid w:val="00C609CF"/>
    <w:rsid w:val="00C60ACD"/>
    <w:rsid w:val="00C60FA1"/>
    <w:rsid w:val="00C60FF6"/>
    <w:rsid w:val="00C61050"/>
    <w:rsid w:val="00C6116F"/>
    <w:rsid w:val="00C613D2"/>
    <w:rsid w:val="00C6149F"/>
    <w:rsid w:val="00C614CB"/>
    <w:rsid w:val="00C614DE"/>
    <w:rsid w:val="00C617A2"/>
    <w:rsid w:val="00C61CDB"/>
    <w:rsid w:val="00C61DCA"/>
    <w:rsid w:val="00C61F9D"/>
    <w:rsid w:val="00C62086"/>
    <w:rsid w:val="00C622BA"/>
    <w:rsid w:val="00C624B1"/>
    <w:rsid w:val="00C62528"/>
    <w:rsid w:val="00C625BA"/>
    <w:rsid w:val="00C62811"/>
    <w:rsid w:val="00C62844"/>
    <w:rsid w:val="00C628C5"/>
    <w:rsid w:val="00C62A09"/>
    <w:rsid w:val="00C62ADD"/>
    <w:rsid w:val="00C62DC8"/>
    <w:rsid w:val="00C62E58"/>
    <w:rsid w:val="00C62F46"/>
    <w:rsid w:val="00C6308D"/>
    <w:rsid w:val="00C638DE"/>
    <w:rsid w:val="00C63904"/>
    <w:rsid w:val="00C63910"/>
    <w:rsid w:val="00C63963"/>
    <w:rsid w:val="00C6398A"/>
    <w:rsid w:val="00C63C32"/>
    <w:rsid w:val="00C63C36"/>
    <w:rsid w:val="00C63C72"/>
    <w:rsid w:val="00C63F1C"/>
    <w:rsid w:val="00C63FCB"/>
    <w:rsid w:val="00C64AA7"/>
    <w:rsid w:val="00C64D9F"/>
    <w:rsid w:val="00C6520E"/>
    <w:rsid w:val="00C652A6"/>
    <w:rsid w:val="00C6545C"/>
    <w:rsid w:val="00C65791"/>
    <w:rsid w:val="00C65998"/>
    <w:rsid w:val="00C65E7A"/>
    <w:rsid w:val="00C65EA7"/>
    <w:rsid w:val="00C65F13"/>
    <w:rsid w:val="00C65FDC"/>
    <w:rsid w:val="00C662E2"/>
    <w:rsid w:val="00C6659D"/>
    <w:rsid w:val="00C665F1"/>
    <w:rsid w:val="00C66823"/>
    <w:rsid w:val="00C66BF0"/>
    <w:rsid w:val="00C66ECC"/>
    <w:rsid w:val="00C66FFC"/>
    <w:rsid w:val="00C67318"/>
    <w:rsid w:val="00C6760E"/>
    <w:rsid w:val="00C67836"/>
    <w:rsid w:val="00C678BB"/>
    <w:rsid w:val="00C679D1"/>
    <w:rsid w:val="00C67DE3"/>
    <w:rsid w:val="00C70230"/>
    <w:rsid w:val="00C702A5"/>
    <w:rsid w:val="00C70AF0"/>
    <w:rsid w:val="00C70B0A"/>
    <w:rsid w:val="00C70B45"/>
    <w:rsid w:val="00C70F5C"/>
    <w:rsid w:val="00C71019"/>
    <w:rsid w:val="00C713A2"/>
    <w:rsid w:val="00C71591"/>
    <w:rsid w:val="00C716F3"/>
    <w:rsid w:val="00C717C0"/>
    <w:rsid w:val="00C719A0"/>
    <w:rsid w:val="00C71C4E"/>
    <w:rsid w:val="00C71D03"/>
    <w:rsid w:val="00C71DE9"/>
    <w:rsid w:val="00C71FED"/>
    <w:rsid w:val="00C72047"/>
    <w:rsid w:val="00C72192"/>
    <w:rsid w:val="00C7231A"/>
    <w:rsid w:val="00C72C05"/>
    <w:rsid w:val="00C72CF9"/>
    <w:rsid w:val="00C731AC"/>
    <w:rsid w:val="00C7338C"/>
    <w:rsid w:val="00C7342F"/>
    <w:rsid w:val="00C73477"/>
    <w:rsid w:val="00C73480"/>
    <w:rsid w:val="00C734AD"/>
    <w:rsid w:val="00C73918"/>
    <w:rsid w:val="00C73A61"/>
    <w:rsid w:val="00C73C19"/>
    <w:rsid w:val="00C73CC4"/>
    <w:rsid w:val="00C73ECF"/>
    <w:rsid w:val="00C74103"/>
    <w:rsid w:val="00C746B8"/>
    <w:rsid w:val="00C747BD"/>
    <w:rsid w:val="00C750CE"/>
    <w:rsid w:val="00C75379"/>
    <w:rsid w:val="00C753DC"/>
    <w:rsid w:val="00C754A7"/>
    <w:rsid w:val="00C7569C"/>
    <w:rsid w:val="00C757C4"/>
    <w:rsid w:val="00C757D3"/>
    <w:rsid w:val="00C75B18"/>
    <w:rsid w:val="00C75B58"/>
    <w:rsid w:val="00C75C06"/>
    <w:rsid w:val="00C75D73"/>
    <w:rsid w:val="00C75ECD"/>
    <w:rsid w:val="00C75ECE"/>
    <w:rsid w:val="00C75F90"/>
    <w:rsid w:val="00C76659"/>
    <w:rsid w:val="00C768B0"/>
    <w:rsid w:val="00C76AA0"/>
    <w:rsid w:val="00C76B97"/>
    <w:rsid w:val="00C76C6C"/>
    <w:rsid w:val="00C76D80"/>
    <w:rsid w:val="00C76D95"/>
    <w:rsid w:val="00C770C3"/>
    <w:rsid w:val="00C775D8"/>
    <w:rsid w:val="00C7765B"/>
    <w:rsid w:val="00C77810"/>
    <w:rsid w:val="00C778A9"/>
    <w:rsid w:val="00C7790D"/>
    <w:rsid w:val="00C77956"/>
    <w:rsid w:val="00C77A05"/>
    <w:rsid w:val="00C77EB5"/>
    <w:rsid w:val="00C77F7D"/>
    <w:rsid w:val="00C800A0"/>
    <w:rsid w:val="00C80171"/>
    <w:rsid w:val="00C801B4"/>
    <w:rsid w:val="00C80249"/>
    <w:rsid w:val="00C809DA"/>
    <w:rsid w:val="00C80B96"/>
    <w:rsid w:val="00C80C5F"/>
    <w:rsid w:val="00C80CBA"/>
    <w:rsid w:val="00C80CBC"/>
    <w:rsid w:val="00C80DFE"/>
    <w:rsid w:val="00C80E41"/>
    <w:rsid w:val="00C811CF"/>
    <w:rsid w:val="00C81298"/>
    <w:rsid w:val="00C813F3"/>
    <w:rsid w:val="00C81560"/>
    <w:rsid w:val="00C81739"/>
    <w:rsid w:val="00C81B02"/>
    <w:rsid w:val="00C81DB9"/>
    <w:rsid w:val="00C81E16"/>
    <w:rsid w:val="00C82054"/>
    <w:rsid w:val="00C8218F"/>
    <w:rsid w:val="00C8236B"/>
    <w:rsid w:val="00C8250E"/>
    <w:rsid w:val="00C826C1"/>
    <w:rsid w:val="00C828BB"/>
    <w:rsid w:val="00C82B01"/>
    <w:rsid w:val="00C82C2C"/>
    <w:rsid w:val="00C82C8E"/>
    <w:rsid w:val="00C82D26"/>
    <w:rsid w:val="00C83278"/>
    <w:rsid w:val="00C83380"/>
    <w:rsid w:val="00C8342A"/>
    <w:rsid w:val="00C8370D"/>
    <w:rsid w:val="00C83804"/>
    <w:rsid w:val="00C8397E"/>
    <w:rsid w:val="00C83997"/>
    <w:rsid w:val="00C83BF3"/>
    <w:rsid w:val="00C83C07"/>
    <w:rsid w:val="00C84093"/>
    <w:rsid w:val="00C841AB"/>
    <w:rsid w:val="00C8463D"/>
    <w:rsid w:val="00C847D2"/>
    <w:rsid w:val="00C8497F"/>
    <w:rsid w:val="00C84A33"/>
    <w:rsid w:val="00C84CFB"/>
    <w:rsid w:val="00C85672"/>
    <w:rsid w:val="00C85BEC"/>
    <w:rsid w:val="00C85E7F"/>
    <w:rsid w:val="00C8606D"/>
    <w:rsid w:val="00C8645C"/>
    <w:rsid w:val="00C86484"/>
    <w:rsid w:val="00C8660D"/>
    <w:rsid w:val="00C86ABA"/>
    <w:rsid w:val="00C86C31"/>
    <w:rsid w:val="00C872BA"/>
    <w:rsid w:val="00C87340"/>
    <w:rsid w:val="00C8739C"/>
    <w:rsid w:val="00C8748F"/>
    <w:rsid w:val="00C87537"/>
    <w:rsid w:val="00C877F5"/>
    <w:rsid w:val="00C87D4D"/>
    <w:rsid w:val="00C87E03"/>
    <w:rsid w:val="00C90160"/>
    <w:rsid w:val="00C903C0"/>
    <w:rsid w:val="00C9057E"/>
    <w:rsid w:val="00C9080E"/>
    <w:rsid w:val="00C90927"/>
    <w:rsid w:val="00C9095C"/>
    <w:rsid w:val="00C90DDB"/>
    <w:rsid w:val="00C91303"/>
    <w:rsid w:val="00C91436"/>
    <w:rsid w:val="00C914F6"/>
    <w:rsid w:val="00C91753"/>
    <w:rsid w:val="00C919CD"/>
    <w:rsid w:val="00C91C90"/>
    <w:rsid w:val="00C92182"/>
    <w:rsid w:val="00C92252"/>
    <w:rsid w:val="00C92420"/>
    <w:rsid w:val="00C92BCC"/>
    <w:rsid w:val="00C92C8F"/>
    <w:rsid w:val="00C92CB2"/>
    <w:rsid w:val="00C92F7E"/>
    <w:rsid w:val="00C92F95"/>
    <w:rsid w:val="00C930E7"/>
    <w:rsid w:val="00C93169"/>
    <w:rsid w:val="00C93440"/>
    <w:rsid w:val="00C935B7"/>
    <w:rsid w:val="00C937D0"/>
    <w:rsid w:val="00C939C3"/>
    <w:rsid w:val="00C93DB3"/>
    <w:rsid w:val="00C93DE4"/>
    <w:rsid w:val="00C93EE7"/>
    <w:rsid w:val="00C93F8E"/>
    <w:rsid w:val="00C94053"/>
    <w:rsid w:val="00C942F2"/>
    <w:rsid w:val="00C9457A"/>
    <w:rsid w:val="00C9472A"/>
    <w:rsid w:val="00C9474A"/>
    <w:rsid w:val="00C9482C"/>
    <w:rsid w:val="00C948F8"/>
    <w:rsid w:val="00C94A22"/>
    <w:rsid w:val="00C94B87"/>
    <w:rsid w:val="00C94F8B"/>
    <w:rsid w:val="00C95016"/>
    <w:rsid w:val="00C95025"/>
    <w:rsid w:val="00C9524A"/>
    <w:rsid w:val="00C95285"/>
    <w:rsid w:val="00C95BE2"/>
    <w:rsid w:val="00C95CDA"/>
    <w:rsid w:val="00C95E68"/>
    <w:rsid w:val="00C95F58"/>
    <w:rsid w:val="00C96281"/>
    <w:rsid w:val="00C962E0"/>
    <w:rsid w:val="00C967D6"/>
    <w:rsid w:val="00C9695D"/>
    <w:rsid w:val="00C96B79"/>
    <w:rsid w:val="00C96CCE"/>
    <w:rsid w:val="00C96CD0"/>
    <w:rsid w:val="00C96CEB"/>
    <w:rsid w:val="00C96D4B"/>
    <w:rsid w:val="00C971E0"/>
    <w:rsid w:val="00C973CB"/>
    <w:rsid w:val="00C97479"/>
    <w:rsid w:val="00C975EB"/>
    <w:rsid w:val="00C97A4F"/>
    <w:rsid w:val="00C97B87"/>
    <w:rsid w:val="00C97D66"/>
    <w:rsid w:val="00C97EDF"/>
    <w:rsid w:val="00C97F81"/>
    <w:rsid w:val="00CA0093"/>
    <w:rsid w:val="00CA0831"/>
    <w:rsid w:val="00CA0981"/>
    <w:rsid w:val="00CA0B6E"/>
    <w:rsid w:val="00CA0B6F"/>
    <w:rsid w:val="00CA0C98"/>
    <w:rsid w:val="00CA0FD8"/>
    <w:rsid w:val="00CA1021"/>
    <w:rsid w:val="00CA1338"/>
    <w:rsid w:val="00CA13E6"/>
    <w:rsid w:val="00CA179D"/>
    <w:rsid w:val="00CA17FF"/>
    <w:rsid w:val="00CA1816"/>
    <w:rsid w:val="00CA1848"/>
    <w:rsid w:val="00CA1AB8"/>
    <w:rsid w:val="00CA1DCA"/>
    <w:rsid w:val="00CA1ECF"/>
    <w:rsid w:val="00CA21A2"/>
    <w:rsid w:val="00CA23DB"/>
    <w:rsid w:val="00CA258A"/>
    <w:rsid w:val="00CA25E6"/>
    <w:rsid w:val="00CA2606"/>
    <w:rsid w:val="00CA2852"/>
    <w:rsid w:val="00CA2987"/>
    <w:rsid w:val="00CA2E4B"/>
    <w:rsid w:val="00CA303F"/>
    <w:rsid w:val="00CA3147"/>
    <w:rsid w:val="00CA336B"/>
    <w:rsid w:val="00CA362E"/>
    <w:rsid w:val="00CA36C8"/>
    <w:rsid w:val="00CA3925"/>
    <w:rsid w:val="00CA3D3D"/>
    <w:rsid w:val="00CA3DCF"/>
    <w:rsid w:val="00CA3E4B"/>
    <w:rsid w:val="00CA3FD6"/>
    <w:rsid w:val="00CA4003"/>
    <w:rsid w:val="00CA4007"/>
    <w:rsid w:val="00CA410E"/>
    <w:rsid w:val="00CA4407"/>
    <w:rsid w:val="00CA442C"/>
    <w:rsid w:val="00CA496B"/>
    <w:rsid w:val="00CA4A38"/>
    <w:rsid w:val="00CA4B56"/>
    <w:rsid w:val="00CA51DE"/>
    <w:rsid w:val="00CA52D4"/>
    <w:rsid w:val="00CA55A9"/>
    <w:rsid w:val="00CA570A"/>
    <w:rsid w:val="00CA58E5"/>
    <w:rsid w:val="00CA59F2"/>
    <w:rsid w:val="00CA5DC1"/>
    <w:rsid w:val="00CA5E61"/>
    <w:rsid w:val="00CA5E68"/>
    <w:rsid w:val="00CA6E2D"/>
    <w:rsid w:val="00CA6F59"/>
    <w:rsid w:val="00CA70B8"/>
    <w:rsid w:val="00CA736E"/>
    <w:rsid w:val="00CA7692"/>
    <w:rsid w:val="00CA77F5"/>
    <w:rsid w:val="00CA781A"/>
    <w:rsid w:val="00CA7A8D"/>
    <w:rsid w:val="00CA7AC0"/>
    <w:rsid w:val="00CB0017"/>
    <w:rsid w:val="00CB02D7"/>
    <w:rsid w:val="00CB06F7"/>
    <w:rsid w:val="00CB0883"/>
    <w:rsid w:val="00CB09E3"/>
    <w:rsid w:val="00CB0CA1"/>
    <w:rsid w:val="00CB0E53"/>
    <w:rsid w:val="00CB1028"/>
    <w:rsid w:val="00CB1411"/>
    <w:rsid w:val="00CB14BE"/>
    <w:rsid w:val="00CB15BC"/>
    <w:rsid w:val="00CB167F"/>
    <w:rsid w:val="00CB1749"/>
    <w:rsid w:val="00CB1BF3"/>
    <w:rsid w:val="00CB1D27"/>
    <w:rsid w:val="00CB22CD"/>
    <w:rsid w:val="00CB2A76"/>
    <w:rsid w:val="00CB2B67"/>
    <w:rsid w:val="00CB2C80"/>
    <w:rsid w:val="00CB2F3E"/>
    <w:rsid w:val="00CB2F3F"/>
    <w:rsid w:val="00CB354B"/>
    <w:rsid w:val="00CB371B"/>
    <w:rsid w:val="00CB3775"/>
    <w:rsid w:val="00CB390C"/>
    <w:rsid w:val="00CB3934"/>
    <w:rsid w:val="00CB39AD"/>
    <w:rsid w:val="00CB3C67"/>
    <w:rsid w:val="00CB43CD"/>
    <w:rsid w:val="00CB450C"/>
    <w:rsid w:val="00CB4BEC"/>
    <w:rsid w:val="00CB4E26"/>
    <w:rsid w:val="00CB5553"/>
    <w:rsid w:val="00CB567A"/>
    <w:rsid w:val="00CB5ABE"/>
    <w:rsid w:val="00CB5F20"/>
    <w:rsid w:val="00CB617F"/>
    <w:rsid w:val="00CB62D7"/>
    <w:rsid w:val="00CB6525"/>
    <w:rsid w:val="00CB6626"/>
    <w:rsid w:val="00CB6A79"/>
    <w:rsid w:val="00CB6AB4"/>
    <w:rsid w:val="00CB7223"/>
    <w:rsid w:val="00CB7DC9"/>
    <w:rsid w:val="00CB7DE8"/>
    <w:rsid w:val="00CB7EF3"/>
    <w:rsid w:val="00CB7F75"/>
    <w:rsid w:val="00CC017E"/>
    <w:rsid w:val="00CC01BD"/>
    <w:rsid w:val="00CC05A7"/>
    <w:rsid w:val="00CC0691"/>
    <w:rsid w:val="00CC09AD"/>
    <w:rsid w:val="00CC09F2"/>
    <w:rsid w:val="00CC0BE7"/>
    <w:rsid w:val="00CC107D"/>
    <w:rsid w:val="00CC113D"/>
    <w:rsid w:val="00CC144E"/>
    <w:rsid w:val="00CC156C"/>
    <w:rsid w:val="00CC173D"/>
    <w:rsid w:val="00CC1A2B"/>
    <w:rsid w:val="00CC1A5F"/>
    <w:rsid w:val="00CC1C8B"/>
    <w:rsid w:val="00CC1D33"/>
    <w:rsid w:val="00CC1DD1"/>
    <w:rsid w:val="00CC1FD5"/>
    <w:rsid w:val="00CC2257"/>
    <w:rsid w:val="00CC24D3"/>
    <w:rsid w:val="00CC24F3"/>
    <w:rsid w:val="00CC2954"/>
    <w:rsid w:val="00CC2C92"/>
    <w:rsid w:val="00CC2D66"/>
    <w:rsid w:val="00CC2EEA"/>
    <w:rsid w:val="00CC2F84"/>
    <w:rsid w:val="00CC3083"/>
    <w:rsid w:val="00CC3485"/>
    <w:rsid w:val="00CC35E9"/>
    <w:rsid w:val="00CC3780"/>
    <w:rsid w:val="00CC380D"/>
    <w:rsid w:val="00CC388D"/>
    <w:rsid w:val="00CC3CA5"/>
    <w:rsid w:val="00CC3D5E"/>
    <w:rsid w:val="00CC3FA0"/>
    <w:rsid w:val="00CC3FD4"/>
    <w:rsid w:val="00CC45B0"/>
    <w:rsid w:val="00CC45F0"/>
    <w:rsid w:val="00CC49B3"/>
    <w:rsid w:val="00CC4B25"/>
    <w:rsid w:val="00CC5028"/>
    <w:rsid w:val="00CC54F0"/>
    <w:rsid w:val="00CC5585"/>
    <w:rsid w:val="00CC5946"/>
    <w:rsid w:val="00CC599F"/>
    <w:rsid w:val="00CC5AF5"/>
    <w:rsid w:val="00CC61EC"/>
    <w:rsid w:val="00CC65C0"/>
    <w:rsid w:val="00CC679C"/>
    <w:rsid w:val="00CC68BC"/>
    <w:rsid w:val="00CC6B36"/>
    <w:rsid w:val="00CC6E31"/>
    <w:rsid w:val="00CC6F7D"/>
    <w:rsid w:val="00CC7010"/>
    <w:rsid w:val="00CC70E8"/>
    <w:rsid w:val="00CC727A"/>
    <w:rsid w:val="00CC75C8"/>
    <w:rsid w:val="00CC76FF"/>
    <w:rsid w:val="00CC7906"/>
    <w:rsid w:val="00CC791D"/>
    <w:rsid w:val="00CC7B1A"/>
    <w:rsid w:val="00CC7B3D"/>
    <w:rsid w:val="00CC7B80"/>
    <w:rsid w:val="00CC7DC8"/>
    <w:rsid w:val="00CD003B"/>
    <w:rsid w:val="00CD0043"/>
    <w:rsid w:val="00CD014C"/>
    <w:rsid w:val="00CD03A0"/>
    <w:rsid w:val="00CD0722"/>
    <w:rsid w:val="00CD07C6"/>
    <w:rsid w:val="00CD0842"/>
    <w:rsid w:val="00CD0967"/>
    <w:rsid w:val="00CD0A2D"/>
    <w:rsid w:val="00CD0ACA"/>
    <w:rsid w:val="00CD0CEC"/>
    <w:rsid w:val="00CD10CE"/>
    <w:rsid w:val="00CD1245"/>
    <w:rsid w:val="00CD129F"/>
    <w:rsid w:val="00CD1403"/>
    <w:rsid w:val="00CD1704"/>
    <w:rsid w:val="00CD1868"/>
    <w:rsid w:val="00CD18C2"/>
    <w:rsid w:val="00CD1A9E"/>
    <w:rsid w:val="00CD1D94"/>
    <w:rsid w:val="00CD1E6D"/>
    <w:rsid w:val="00CD1E74"/>
    <w:rsid w:val="00CD2032"/>
    <w:rsid w:val="00CD20BC"/>
    <w:rsid w:val="00CD22E3"/>
    <w:rsid w:val="00CD2344"/>
    <w:rsid w:val="00CD23A7"/>
    <w:rsid w:val="00CD2474"/>
    <w:rsid w:val="00CD26F9"/>
    <w:rsid w:val="00CD2806"/>
    <w:rsid w:val="00CD2A5D"/>
    <w:rsid w:val="00CD2A9E"/>
    <w:rsid w:val="00CD2CFA"/>
    <w:rsid w:val="00CD2FB5"/>
    <w:rsid w:val="00CD3027"/>
    <w:rsid w:val="00CD3240"/>
    <w:rsid w:val="00CD3516"/>
    <w:rsid w:val="00CD3B77"/>
    <w:rsid w:val="00CD3BEF"/>
    <w:rsid w:val="00CD3DD6"/>
    <w:rsid w:val="00CD3ED4"/>
    <w:rsid w:val="00CD3ED6"/>
    <w:rsid w:val="00CD4018"/>
    <w:rsid w:val="00CD40D5"/>
    <w:rsid w:val="00CD4859"/>
    <w:rsid w:val="00CD4FAF"/>
    <w:rsid w:val="00CD51EE"/>
    <w:rsid w:val="00CD5217"/>
    <w:rsid w:val="00CD546E"/>
    <w:rsid w:val="00CD55F6"/>
    <w:rsid w:val="00CD580A"/>
    <w:rsid w:val="00CD5907"/>
    <w:rsid w:val="00CD5B07"/>
    <w:rsid w:val="00CD5E28"/>
    <w:rsid w:val="00CD5E82"/>
    <w:rsid w:val="00CD5F2D"/>
    <w:rsid w:val="00CD5FEF"/>
    <w:rsid w:val="00CD6308"/>
    <w:rsid w:val="00CD648D"/>
    <w:rsid w:val="00CD662A"/>
    <w:rsid w:val="00CD667D"/>
    <w:rsid w:val="00CD6B15"/>
    <w:rsid w:val="00CD6D27"/>
    <w:rsid w:val="00CD6E77"/>
    <w:rsid w:val="00CD72A3"/>
    <w:rsid w:val="00CD735E"/>
    <w:rsid w:val="00CD7678"/>
    <w:rsid w:val="00CD767A"/>
    <w:rsid w:val="00CD79F8"/>
    <w:rsid w:val="00CD7AB3"/>
    <w:rsid w:val="00CD7F64"/>
    <w:rsid w:val="00CE03CC"/>
    <w:rsid w:val="00CE0540"/>
    <w:rsid w:val="00CE0708"/>
    <w:rsid w:val="00CE098C"/>
    <w:rsid w:val="00CE0A08"/>
    <w:rsid w:val="00CE0BD2"/>
    <w:rsid w:val="00CE0BF7"/>
    <w:rsid w:val="00CE0C5D"/>
    <w:rsid w:val="00CE0DC9"/>
    <w:rsid w:val="00CE10A5"/>
    <w:rsid w:val="00CE1147"/>
    <w:rsid w:val="00CE15CA"/>
    <w:rsid w:val="00CE15E2"/>
    <w:rsid w:val="00CE15F5"/>
    <w:rsid w:val="00CE1741"/>
    <w:rsid w:val="00CE17C5"/>
    <w:rsid w:val="00CE1884"/>
    <w:rsid w:val="00CE1997"/>
    <w:rsid w:val="00CE1B56"/>
    <w:rsid w:val="00CE1F40"/>
    <w:rsid w:val="00CE2654"/>
    <w:rsid w:val="00CE2E1D"/>
    <w:rsid w:val="00CE3925"/>
    <w:rsid w:val="00CE3B61"/>
    <w:rsid w:val="00CE3E14"/>
    <w:rsid w:val="00CE404C"/>
    <w:rsid w:val="00CE4203"/>
    <w:rsid w:val="00CE4472"/>
    <w:rsid w:val="00CE4640"/>
    <w:rsid w:val="00CE4A62"/>
    <w:rsid w:val="00CE4BFF"/>
    <w:rsid w:val="00CE4DCC"/>
    <w:rsid w:val="00CE4FD7"/>
    <w:rsid w:val="00CE50C9"/>
    <w:rsid w:val="00CE518D"/>
    <w:rsid w:val="00CE52E3"/>
    <w:rsid w:val="00CE5345"/>
    <w:rsid w:val="00CE53B0"/>
    <w:rsid w:val="00CE549B"/>
    <w:rsid w:val="00CE55CE"/>
    <w:rsid w:val="00CE5709"/>
    <w:rsid w:val="00CE583D"/>
    <w:rsid w:val="00CE585C"/>
    <w:rsid w:val="00CE59BF"/>
    <w:rsid w:val="00CE5C0D"/>
    <w:rsid w:val="00CE5C8E"/>
    <w:rsid w:val="00CE5CB2"/>
    <w:rsid w:val="00CE5DA0"/>
    <w:rsid w:val="00CE61F7"/>
    <w:rsid w:val="00CE6565"/>
    <w:rsid w:val="00CE679C"/>
    <w:rsid w:val="00CE67A9"/>
    <w:rsid w:val="00CE68C9"/>
    <w:rsid w:val="00CE69DB"/>
    <w:rsid w:val="00CE6D40"/>
    <w:rsid w:val="00CE7115"/>
    <w:rsid w:val="00CE7545"/>
    <w:rsid w:val="00CE79BB"/>
    <w:rsid w:val="00CE7B5E"/>
    <w:rsid w:val="00CE7BD9"/>
    <w:rsid w:val="00CE7EB7"/>
    <w:rsid w:val="00CF01E1"/>
    <w:rsid w:val="00CF0418"/>
    <w:rsid w:val="00CF0462"/>
    <w:rsid w:val="00CF09DC"/>
    <w:rsid w:val="00CF0A72"/>
    <w:rsid w:val="00CF0D65"/>
    <w:rsid w:val="00CF0FEE"/>
    <w:rsid w:val="00CF0FEF"/>
    <w:rsid w:val="00CF1325"/>
    <w:rsid w:val="00CF142E"/>
    <w:rsid w:val="00CF149F"/>
    <w:rsid w:val="00CF1939"/>
    <w:rsid w:val="00CF19B3"/>
    <w:rsid w:val="00CF1AB8"/>
    <w:rsid w:val="00CF1CA6"/>
    <w:rsid w:val="00CF1D00"/>
    <w:rsid w:val="00CF23DC"/>
    <w:rsid w:val="00CF25FC"/>
    <w:rsid w:val="00CF26DE"/>
    <w:rsid w:val="00CF289C"/>
    <w:rsid w:val="00CF289D"/>
    <w:rsid w:val="00CF2EE3"/>
    <w:rsid w:val="00CF2F8E"/>
    <w:rsid w:val="00CF3155"/>
    <w:rsid w:val="00CF3175"/>
    <w:rsid w:val="00CF32B9"/>
    <w:rsid w:val="00CF32CD"/>
    <w:rsid w:val="00CF330F"/>
    <w:rsid w:val="00CF3344"/>
    <w:rsid w:val="00CF344B"/>
    <w:rsid w:val="00CF3590"/>
    <w:rsid w:val="00CF37BB"/>
    <w:rsid w:val="00CF3A9B"/>
    <w:rsid w:val="00CF439B"/>
    <w:rsid w:val="00CF4756"/>
    <w:rsid w:val="00CF48D0"/>
    <w:rsid w:val="00CF4E84"/>
    <w:rsid w:val="00CF5385"/>
    <w:rsid w:val="00CF5595"/>
    <w:rsid w:val="00CF5756"/>
    <w:rsid w:val="00CF5B7F"/>
    <w:rsid w:val="00CF5BBC"/>
    <w:rsid w:val="00CF5BEE"/>
    <w:rsid w:val="00CF5D4D"/>
    <w:rsid w:val="00CF6066"/>
    <w:rsid w:val="00CF622A"/>
    <w:rsid w:val="00CF6379"/>
    <w:rsid w:val="00CF6657"/>
    <w:rsid w:val="00CF6767"/>
    <w:rsid w:val="00CF68DE"/>
    <w:rsid w:val="00CF6A7E"/>
    <w:rsid w:val="00CF6C6E"/>
    <w:rsid w:val="00CF6CD7"/>
    <w:rsid w:val="00CF6D67"/>
    <w:rsid w:val="00CF6E74"/>
    <w:rsid w:val="00CF709F"/>
    <w:rsid w:val="00CF70EF"/>
    <w:rsid w:val="00CF726B"/>
    <w:rsid w:val="00CF757B"/>
    <w:rsid w:val="00CF7940"/>
    <w:rsid w:val="00CF7E09"/>
    <w:rsid w:val="00D001BD"/>
    <w:rsid w:val="00D00267"/>
    <w:rsid w:val="00D0035F"/>
    <w:rsid w:val="00D004A2"/>
    <w:rsid w:val="00D00590"/>
    <w:rsid w:val="00D00C8D"/>
    <w:rsid w:val="00D011AB"/>
    <w:rsid w:val="00D01312"/>
    <w:rsid w:val="00D01389"/>
    <w:rsid w:val="00D01451"/>
    <w:rsid w:val="00D0146F"/>
    <w:rsid w:val="00D01501"/>
    <w:rsid w:val="00D01712"/>
    <w:rsid w:val="00D017B8"/>
    <w:rsid w:val="00D01AA1"/>
    <w:rsid w:val="00D01ED7"/>
    <w:rsid w:val="00D01FE7"/>
    <w:rsid w:val="00D02206"/>
    <w:rsid w:val="00D0223A"/>
    <w:rsid w:val="00D02565"/>
    <w:rsid w:val="00D025D6"/>
    <w:rsid w:val="00D02750"/>
    <w:rsid w:val="00D02842"/>
    <w:rsid w:val="00D0286B"/>
    <w:rsid w:val="00D029A4"/>
    <w:rsid w:val="00D02C2C"/>
    <w:rsid w:val="00D0314F"/>
    <w:rsid w:val="00D03314"/>
    <w:rsid w:val="00D0332B"/>
    <w:rsid w:val="00D034C5"/>
    <w:rsid w:val="00D0374E"/>
    <w:rsid w:val="00D038AF"/>
    <w:rsid w:val="00D03B03"/>
    <w:rsid w:val="00D03B6F"/>
    <w:rsid w:val="00D03CD8"/>
    <w:rsid w:val="00D03D9B"/>
    <w:rsid w:val="00D043B7"/>
    <w:rsid w:val="00D0440A"/>
    <w:rsid w:val="00D046E8"/>
    <w:rsid w:val="00D04950"/>
    <w:rsid w:val="00D04D58"/>
    <w:rsid w:val="00D04D69"/>
    <w:rsid w:val="00D051FC"/>
    <w:rsid w:val="00D052F9"/>
    <w:rsid w:val="00D05B86"/>
    <w:rsid w:val="00D05C8C"/>
    <w:rsid w:val="00D05C9D"/>
    <w:rsid w:val="00D05EA9"/>
    <w:rsid w:val="00D05EDA"/>
    <w:rsid w:val="00D06323"/>
    <w:rsid w:val="00D067C7"/>
    <w:rsid w:val="00D0688A"/>
    <w:rsid w:val="00D0695F"/>
    <w:rsid w:val="00D06E23"/>
    <w:rsid w:val="00D074AC"/>
    <w:rsid w:val="00D07659"/>
    <w:rsid w:val="00D07919"/>
    <w:rsid w:val="00D07A25"/>
    <w:rsid w:val="00D07A64"/>
    <w:rsid w:val="00D07EFA"/>
    <w:rsid w:val="00D101AA"/>
    <w:rsid w:val="00D1036C"/>
    <w:rsid w:val="00D106DB"/>
    <w:rsid w:val="00D10753"/>
    <w:rsid w:val="00D10834"/>
    <w:rsid w:val="00D10914"/>
    <w:rsid w:val="00D1091B"/>
    <w:rsid w:val="00D10B17"/>
    <w:rsid w:val="00D10CFF"/>
    <w:rsid w:val="00D10D5F"/>
    <w:rsid w:val="00D11046"/>
    <w:rsid w:val="00D1129A"/>
    <w:rsid w:val="00D1169F"/>
    <w:rsid w:val="00D11958"/>
    <w:rsid w:val="00D11AB1"/>
    <w:rsid w:val="00D11BF1"/>
    <w:rsid w:val="00D11CFA"/>
    <w:rsid w:val="00D11DCA"/>
    <w:rsid w:val="00D12203"/>
    <w:rsid w:val="00D122BD"/>
    <w:rsid w:val="00D125A1"/>
    <w:rsid w:val="00D12772"/>
    <w:rsid w:val="00D12810"/>
    <w:rsid w:val="00D129CF"/>
    <w:rsid w:val="00D131D7"/>
    <w:rsid w:val="00D1331B"/>
    <w:rsid w:val="00D13372"/>
    <w:rsid w:val="00D1399A"/>
    <w:rsid w:val="00D13ECA"/>
    <w:rsid w:val="00D13F03"/>
    <w:rsid w:val="00D13F8A"/>
    <w:rsid w:val="00D14067"/>
    <w:rsid w:val="00D14843"/>
    <w:rsid w:val="00D14946"/>
    <w:rsid w:val="00D14D25"/>
    <w:rsid w:val="00D14E58"/>
    <w:rsid w:val="00D1564E"/>
    <w:rsid w:val="00D156E7"/>
    <w:rsid w:val="00D15953"/>
    <w:rsid w:val="00D15B56"/>
    <w:rsid w:val="00D15D82"/>
    <w:rsid w:val="00D1611E"/>
    <w:rsid w:val="00D1626A"/>
    <w:rsid w:val="00D162DC"/>
    <w:rsid w:val="00D1640E"/>
    <w:rsid w:val="00D16750"/>
    <w:rsid w:val="00D167C9"/>
    <w:rsid w:val="00D16A42"/>
    <w:rsid w:val="00D16AD2"/>
    <w:rsid w:val="00D16F59"/>
    <w:rsid w:val="00D1736C"/>
    <w:rsid w:val="00D174B9"/>
    <w:rsid w:val="00D17750"/>
    <w:rsid w:val="00D17819"/>
    <w:rsid w:val="00D178C2"/>
    <w:rsid w:val="00D178C4"/>
    <w:rsid w:val="00D179F8"/>
    <w:rsid w:val="00D17A35"/>
    <w:rsid w:val="00D17C8E"/>
    <w:rsid w:val="00D17D22"/>
    <w:rsid w:val="00D20036"/>
    <w:rsid w:val="00D20113"/>
    <w:rsid w:val="00D20156"/>
    <w:rsid w:val="00D20229"/>
    <w:rsid w:val="00D202AF"/>
    <w:rsid w:val="00D20368"/>
    <w:rsid w:val="00D20614"/>
    <w:rsid w:val="00D2078B"/>
    <w:rsid w:val="00D2089E"/>
    <w:rsid w:val="00D20933"/>
    <w:rsid w:val="00D20935"/>
    <w:rsid w:val="00D20B44"/>
    <w:rsid w:val="00D20B69"/>
    <w:rsid w:val="00D20E86"/>
    <w:rsid w:val="00D20EFF"/>
    <w:rsid w:val="00D2110A"/>
    <w:rsid w:val="00D21149"/>
    <w:rsid w:val="00D2117F"/>
    <w:rsid w:val="00D21600"/>
    <w:rsid w:val="00D219E1"/>
    <w:rsid w:val="00D21B04"/>
    <w:rsid w:val="00D21C24"/>
    <w:rsid w:val="00D21C38"/>
    <w:rsid w:val="00D21F6F"/>
    <w:rsid w:val="00D221CB"/>
    <w:rsid w:val="00D22209"/>
    <w:rsid w:val="00D222BF"/>
    <w:rsid w:val="00D22755"/>
    <w:rsid w:val="00D22A6A"/>
    <w:rsid w:val="00D22CC6"/>
    <w:rsid w:val="00D22E72"/>
    <w:rsid w:val="00D23095"/>
    <w:rsid w:val="00D2349D"/>
    <w:rsid w:val="00D234B7"/>
    <w:rsid w:val="00D239A0"/>
    <w:rsid w:val="00D23ABC"/>
    <w:rsid w:val="00D23B07"/>
    <w:rsid w:val="00D23D3B"/>
    <w:rsid w:val="00D23D77"/>
    <w:rsid w:val="00D240B6"/>
    <w:rsid w:val="00D244E9"/>
    <w:rsid w:val="00D24837"/>
    <w:rsid w:val="00D2487C"/>
    <w:rsid w:val="00D24936"/>
    <w:rsid w:val="00D249EF"/>
    <w:rsid w:val="00D24A52"/>
    <w:rsid w:val="00D24B23"/>
    <w:rsid w:val="00D24C5A"/>
    <w:rsid w:val="00D24F62"/>
    <w:rsid w:val="00D253A6"/>
    <w:rsid w:val="00D2568A"/>
    <w:rsid w:val="00D25B16"/>
    <w:rsid w:val="00D25B4A"/>
    <w:rsid w:val="00D25D8E"/>
    <w:rsid w:val="00D25E76"/>
    <w:rsid w:val="00D26229"/>
    <w:rsid w:val="00D2643C"/>
    <w:rsid w:val="00D26612"/>
    <w:rsid w:val="00D269FB"/>
    <w:rsid w:val="00D26C57"/>
    <w:rsid w:val="00D26C9F"/>
    <w:rsid w:val="00D26E7C"/>
    <w:rsid w:val="00D26EB4"/>
    <w:rsid w:val="00D26F29"/>
    <w:rsid w:val="00D26FD2"/>
    <w:rsid w:val="00D271D3"/>
    <w:rsid w:val="00D27425"/>
    <w:rsid w:val="00D27675"/>
    <w:rsid w:val="00D2768C"/>
    <w:rsid w:val="00D277FB"/>
    <w:rsid w:val="00D27AB1"/>
    <w:rsid w:val="00D27FD8"/>
    <w:rsid w:val="00D3060A"/>
    <w:rsid w:val="00D306E2"/>
    <w:rsid w:val="00D30735"/>
    <w:rsid w:val="00D3085C"/>
    <w:rsid w:val="00D3087D"/>
    <w:rsid w:val="00D309A6"/>
    <w:rsid w:val="00D30AB4"/>
    <w:rsid w:val="00D30B16"/>
    <w:rsid w:val="00D30BB6"/>
    <w:rsid w:val="00D30BDE"/>
    <w:rsid w:val="00D30D00"/>
    <w:rsid w:val="00D31257"/>
    <w:rsid w:val="00D312F1"/>
    <w:rsid w:val="00D3143C"/>
    <w:rsid w:val="00D31496"/>
    <w:rsid w:val="00D3175F"/>
    <w:rsid w:val="00D318CC"/>
    <w:rsid w:val="00D31CA5"/>
    <w:rsid w:val="00D31F81"/>
    <w:rsid w:val="00D32003"/>
    <w:rsid w:val="00D32181"/>
    <w:rsid w:val="00D32244"/>
    <w:rsid w:val="00D32295"/>
    <w:rsid w:val="00D323C0"/>
    <w:rsid w:val="00D326BC"/>
    <w:rsid w:val="00D329A2"/>
    <w:rsid w:val="00D32B1F"/>
    <w:rsid w:val="00D32CDC"/>
    <w:rsid w:val="00D32CFF"/>
    <w:rsid w:val="00D33025"/>
    <w:rsid w:val="00D33232"/>
    <w:rsid w:val="00D33257"/>
    <w:rsid w:val="00D334A8"/>
    <w:rsid w:val="00D337BC"/>
    <w:rsid w:val="00D33855"/>
    <w:rsid w:val="00D33B4A"/>
    <w:rsid w:val="00D33E42"/>
    <w:rsid w:val="00D33EFA"/>
    <w:rsid w:val="00D34241"/>
    <w:rsid w:val="00D342C4"/>
    <w:rsid w:val="00D343DA"/>
    <w:rsid w:val="00D3443B"/>
    <w:rsid w:val="00D34651"/>
    <w:rsid w:val="00D34670"/>
    <w:rsid w:val="00D34696"/>
    <w:rsid w:val="00D346F5"/>
    <w:rsid w:val="00D34774"/>
    <w:rsid w:val="00D34DE2"/>
    <w:rsid w:val="00D34E27"/>
    <w:rsid w:val="00D34F3D"/>
    <w:rsid w:val="00D35016"/>
    <w:rsid w:val="00D35339"/>
    <w:rsid w:val="00D35782"/>
    <w:rsid w:val="00D35809"/>
    <w:rsid w:val="00D35A51"/>
    <w:rsid w:val="00D35C26"/>
    <w:rsid w:val="00D35EBA"/>
    <w:rsid w:val="00D3614F"/>
    <w:rsid w:val="00D363DB"/>
    <w:rsid w:val="00D365A5"/>
    <w:rsid w:val="00D36C0D"/>
    <w:rsid w:val="00D36F11"/>
    <w:rsid w:val="00D37351"/>
    <w:rsid w:val="00D37384"/>
    <w:rsid w:val="00D3746C"/>
    <w:rsid w:val="00D37813"/>
    <w:rsid w:val="00D37827"/>
    <w:rsid w:val="00D37ADF"/>
    <w:rsid w:val="00D37B19"/>
    <w:rsid w:val="00D37BD3"/>
    <w:rsid w:val="00D37D3D"/>
    <w:rsid w:val="00D40096"/>
    <w:rsid w:val="00D4019D"/>
    <w:rsid w:val="00D401FA"/>
    <w:rsid w:val="00D40511"/>
    <w:rsid w:val="00D40715"/>
    <w:rsid w:val="00D40955"/>
    <w:rsid w:val="00D40A1F"/>
    <w:rsid w:val="00D40BEC"/>
    <w:rsid w:val="00D40FCB"/>
    <w:rsid w:val="00D413C0"/>
    <w:rsid w:val="00D41538"/>
    <w:rsid w:val="00D417A8"/>
    <w:rsid w:val="00D41938"/>
    <w:rsid w:val="00D4193F"/>
    <w:rsid w:val="00D41AA4"/>
    <w:rsid w:val="00D41CF7"/>
    <w:rsid w:val="00D42110"/>
    <w:rsid w:val="00D42202"/>
    <w:rsid w:val="00D42469"/>
    <w:rsid w:val="00D4262A"/>
    <w:rsid w:val="00D426D9"/>
    <w:rsid w:val="00D42709"/>
    <w:rsid w:val="00D42C0B"/>
    <w:rsid w:val="00D42D03"/>
    <w:rsid w:val="00D42F09"/>
    <w:rsid w:val="00D4314C"/>
    <w:rsid w:val="00D43207"/>
    <w:rsid w:val="00D434B9"/>
    <w:rsid w:val="00D43587"/>
    <w:rsid w:val="00D439F8"/>
    <w:rsid w:val="00D43B3B"/>
    <w:rsid w:val="00D43CF6"/>
    <w:rsid w:val="00D4418C"/>
    <w:rsid w:val="00D4419A"/>
    <w:rsid w:val="00D44300"/>
    <w:rsid w:val="00D4439F"/>
    <w:rsid w:val="00D44661"/>
    <w:rsid w:val="00D446D1"/>
    <w:rsid w:val="00D447E2"/>
    <w:rsid w:val="00D44911"/>
    <w:rsid w:val="00D449B1"/>
    <w:rsid w:val="00D449EA"/>
    <w:rsid w:val="00D44A7F"/>
    <w:rsid w:val="00D44D17"/>
    <w:rsid w:val="00D44D79"/>
    <w:rsid w:val="00D44E93"/>
    <w:rsid w:val="00D4501A"/>
    <w:rsid w:val="00D450B6"/>
    <w:rsid w:val="00D454C7"/>
    <w:rsid w:val="00D454DF"/>
    <w:rsid w:val="00D45529"/>
    <w:rsid w:val="00D4562E"/>
    <w:rsid w:val="00D456D7"/>
    <w:rsid w:val="00D458A9"/>
    <w:rsid w:val="00D45F27"/>
    <w:rsid w:val="00D45F65"/>
    <w:rsid w:val="00D461AB"/>
    <w:rsid w:val="00D461B2"/>
    <w:rsid w:val="00D46387"/>
    <w:rsid w:val="00D4692F"/>
    <w:rsid w:val="00D4696F"/>
    <w:rsid w:val="00D46AC7"/>
    <w:rsid w:val="00D46B29"/>
    <w:rsid w:val="00D46BBF"/>
    <w:rsid w:val="00D473C4"/>
    <w:rsid w:val="00D475CA"/>
    <w:rsid w:val="00D47DC6"/>
    <w:rsid w:val="00D47E47"/>
    <w:rsid w:val="00D47E79"/>
    <w:rsid w:val="00D50105"/>
    <w:rsid w:val="00D50211"/>
    <w:rsid w:val="00D50477"/>
    <w:rsid w:val="00D505D5"/>
    <w:rsid w:val="00D507B4"/>
    <w:rsid w:val="00D507EB"/>
    <w:rsid w:val="00D5096F"/>
    <w:rsid w:val="00D50B01"/>
    <w:rsid w:val="00D50D6D"/>
    <w:rsid w:val="00D50DCA"/>
    <w:rsid w:val="00D50E06"/>
    <w:rsid w:val="00D50E98"/>
    <w:rsid w:val="00D510BE"/>
    <w:rsid w:val="00D511F4"/>
    <w:rsid w:val="00D512CC"/>
    <w:rsid w:val="00D513CF"/>
    <w:rsid w:val="00D519C4"/>
    <w:rsid w:val="00D51A7C"/>
    <w:rsid w:val="00D52071"/>
    <w:rsid w:val="00D523E0"/>
    <w:rsid w:val="00D52571"/>
    <w:rsid w:val="00D5280C"/>
    <w:rsid w:val="00D52CC3"/>
    <w:rsid w:val="00D532EE"/>
    <w:rsid w:val="00D533A3"/>
    <w:rsid w:val="00D53489"/>
    <w:rsid w:val="00D535D9"/>
    <w:rsid w:val="00D537EC"/>
    <w:rsid w:val="00D53882"/>
    <w:rsid w:val="00D53B4E"/>
    <w:rsid w:val="00D54076"/>
    <w:rsid w:val="00D540B1"/>
    <w:rsid w:val="00D5416E"/>
    <w:rsid w:val="00D542AD"/>
    <w:rsid w:val="00D54923"/>
    <w:rsid w:val="00D54937"/>
    <w:rsid w:val="00D54A05"/>
    <w:rsid w:val="00D54C8B"/>
    <w:rsid w:val="00D54CCE"/>
    <w:rsid w:val="00D54E5D"/>
    <w:rsid w:val="00D550D7"/>
    <w:rsid w:val="00D551C5"/>
    <w:rsid w:val="00D55513"/>
    <w:rsid w:val="00D555D7"/>
    <w:rsid w:val="00D55A15"/>
    <w:rsid w:val="00D55C0D"/>
    <w:rsid w:val="00D55CE6"/>
    <w:rsid w:val="00D55DB5"/>
    <w:rsid w:val="00D560E2"/>
    <w:rsid w:val="00D56393"/>
    <w:rsid w:val="00D569E5"/>
    <w:rsid w:val="00D56D07"/>
    <w:rsid w:val="00D5702C"/>
    <w:rsid w:val="00D572E4"/>
    <w:rsid w:val="00D57372"/>
    <w:rsid w:val="00D57507"/>
    <w:rsid w:val="00D57785"/>
    <w:rsid w:val="00D577C2"/>
    <w:rsid w:val="00D57BF2"/>
    <w:rsid w:val="00D57C79"/>
    <w:rsid w:val="00D57DB5"/>
    <w:rsid w:val="00D57DD5"/>
    <w:rsid w:val="00D57E1E"/>
    <w:rsid w:val="00D57FF6"/>
    <w:rsid w:val="00D6014F"/>
    <w:rsid w:val="00D60A63"/>
    <w:rsid w:val="00D60B8B"/>
    <w:rsid w:val="00D60C3B"/>
    <w:rsid w:val="00D60C9A"/>
    <w:rsid w:val="00D60CA8"/>
    <w:rsid w:val="00D6103A"/>
    <w:rsid w:val="00D616AE"/>
    <w:rsid w:val="00D6183F"/>
    <w:rsid w:val="00D619D4"/>
    <w:rsid w:val="00D61F55"/>
    <w:rsid w:val="00D620F4"/>
    <w:rsid w:val="00D621C6"/>
    <w:rsid w:val="00D6251C"/>
    <w:rsid w:val="00D625FD"/>
    <w:rsid w:val="00D62A11"/>
    <w:rsid w:val="00D633A3"/>
    <w:rsid w:val="00D634BB"/>
    <w:rsid w:val="00D63681"/>
    <w:rsid w:val="00D63874"/>
    <w:rsid w:val="00D639D2"/>
    <w:rsid w:val="00D63C0B"/>
    <w:rsid w:val="00D63C2B"/>
    <w:rsid w:val="00D63CD8"/>
    <w:rsid w:val="00D63E0F"/>
    <w:rsid w:val="00D64923"/>
    <w:rsid w:val="00D64C0A"/>
    <w:rsid w:val="00D64D64"/>
    <w:rsid w:val="00D651F4"/>
    <w:rsid w:val="00D65335"/>
    <w:rsid w:val="00D657D4"/>
    <w:rsid w:val="00D65B41"/>
    <w:rsid w:val="00D65F4A"/>
    <w:rsid w:val="00D66199"/>
    <w:rsid w:val="00D662D8"/>
    <w:rsid w:val="00D665BE"/>
    <w:rsid w:val="00D667AC"/>
    <w:rsid w:val="00D6689A"/>
    <w:rsid w:val="00D668AC"/>
    <w:rsid w:val="00D668E0"/>
    <w:rsid w:val="00D669D5"/>
    <w:rsid w:val="00D66AC5"/>
    <w:rsid w:val="00D66B8B"/>
    <w:rsid w:val="00D66B9A"/>
    <w:rsid w:val="00D66C13"/>
    <w:rsid w:val="00D66C62"/>
    <w:rsid w:val="00D66F87"/>
    <w:rsid w:val="00D66F94"/>
    <w:rsid w:val="00D67213"/>
    <w:rsid w:val="00D6749E"/>
    <w:rsid w:val="00D67542"/>
    <w:rsid w:val="00D67694"/>
    <w:rsid w:val="00D67830"/>
    <w:rsid w:val="00D67872"/>
    <w:rsid w:val="00D67A2B"/>
    <w:rsid w:val="00D67A9D"/>
    <w:rsid w:val="00D67AE0"/>
    <w:rsid w:val="00D67B3E"/>
    <w:rsid w:val="00D67F0D"/>
    <w:rsid w:val="00D67FE4"/>
    <w:rsid w:val="00D70047"/>
    <w:rsid w:val="00D7037B"/>
    <w:rsid w:val="00D70794"/>
    <w:rsid w:val="00D708B1"/>
    <w:rsid w:val="00D70D09"/>
    <w:rsid w:val="00D71150"/>
    <w:rsid w:val="00D713CB"/>
    <w:rsid w:val="00D7141F"/>
    <w:rsid w:val="00D71662"/>
    <w:rsid w:val="00D71BFC"/>
    <w:rsid w:val="00D71C48"/>
    <w:rsid w:val="00D71FC8"/>
    <w:rsid w:val="00D7223E"/>
    <w:rsid w:val="00D7229A"/>
    <w:rsid w:val="00D72305"/>
    <w:rsid w:val="00D72432"/>
    <w:rsid w:val="00D725F0"/>
    <w:rsid w:val="00D72C93"/>
    <w:rsid w:val="00D72DF7"/>
    <w:rsid w:val="00D72E66"/>
    <w:rsid w:val="00D72E9E"/>
    <w:rsid w:val="00D72ED5"/>
    <w:rsid w:val="00D72F85"/>
    <w:rsid w:val="00D72FE8"/>
    <w:rsid w:val="00D73000"/>
    <w:rsid w:val="00D73182"/>
    <w:rsid w:val="00D731B1"/>
    <w:rsid w:val="00D7324A"/>
    <w:rsid w:val="00D73932"/>
    <w:rsid w:val="00D7398A"/>
    <w:rsid w:val="00D73A68"/>
    <w:rsid w:val="00D73BFE"/>
    <w:rsid w:val="00D73CD5"/>
    <w:rsid w:val="00D73D88"/>
    <w:rsid w:val="00D73FDF"/>
    <w:rsid w:val="00D7417D"/>
    <w:rsid w:val="00D74323"/>
    <w:rsid w:val="00D745CB"/>
    <w:rsid w:val="00D745E3"/>
    <w:rsid w:val="00D7474D"/>
    <w:rsid w:val="00D74A32"/>
    <w:rsid w:val="00D74C7F"/>
    <w:rsid w:val="00D74DB0"/>
    <w:rsid w:val="00D74E17"/>
    <w:rsid w:val="00D74F0E"/>
    <w:rsid w:val="00D7528E"/>
    <w:rsid w:val="00D757FE"/>
    <w:rsid w:val="00D75847"/>
    <w:rsid w:val="00D75B46"/>
    <w:rsid w:val="00D75C71"/>
    <w:rsid w:val="00D7601B"/>
    <w:rsid w:val="00D76125"/>
    <w:rsid w:val="00D76253"/>
    <w:rsid w:val="00D767C1"/>
    <w:rsid w:val="00D7687C"/>
    <w:rsid w:val="00D769C9"/>
    <w:rsid w:val="00D76A32"/>
    <w:rsid w:val="00D76BDB"/>
    <w:rsid w:val="00D76D7B"/>
    <w:rsid w:val="00D77100"/>
    <w:rsid w:val="00D77417"/>
    <w:rsid w:val="00D7744D"/>
    <w:rsid w:val="00D778BC"/>
    <w:rsid w:val="00D77A95"/>
    <w:rsid w:val="00D77B08"/>
    <w:rsid w:val="00D77BED"/>
    <w:rsid w:val="00D77D34"/>
    <w:rsid w:val="00D77D84"/>
    <w:rsid w:val="00D77E36"/>
    <w:rsid w:val="00D77FA8"/>
    <w:rsid w:val="00D8018D"/>
    <w:rsid w:val="00D8048C"/>
    <w:rsid w:val="00D804DA"/>
    <w:rsid w:val="00D805CE"/>
    <w:rsid w:val="00D81035"/>
    <w:rsid w:val="00D81346"/>
    <w:rsid w:val="00D81376"/>
    <w:rsid w:val="00D814F3"/>
    <w:rsid w:val="00D81603"/>
    <w:rsid w:val="00D8182E"/>
    <w:rsid w:val="00D81D5D"/>
    <w:rsid w:val="00D823FB"/>
    <w:rsid w:val="00D82418"/>
    <w:rsid w:val="00D82713"/>
    <w:rsid w:val="00D8276B"/>
    <w:rsid w:val="00D827CF"/>
    <w:rsid w:val="00D82981"/>
    <w:rsid w:val="00D82A2F"/>
    <w:rsid w:val="00D82CE6"/>
    <w:rsid w:val="00D82ED2"/>
    <w:rsid w:val="00D82EFD"/>
    <w:rsid w:val="00D830A6"/>
    <w:rsid w:val="00D8347C"/>
    <w:rsid w:val="00D835E1"/>
    <w:rsid w:val="00D837EC"/>
    <w:rsid w:val="00D83A04"/>
    <w:rsid w:val="00D83EA3"/>
    <w:rsid w:val="00D83F1D"/>
    <w:rsid w:val="00D83F2A"/>
    <w:rsid w:val="00D83F45"/>
    <w:rsid w:val="00D84075"/>
    <w:rsid w:val="00D844E1"/>
    <w:rsid w:val="00D846EC"/>
    <w:rsid w:val="00D84919"/>
    <w:rsid w:val="00D84B0D"/>
    <w:rsid w:val="00D84DAE"/>
    <w:rsid w:val="00D850F4"/>
    <w:rsid w:val="00D8528A"/>
    <w:rsid w:val="00D85373"/>
    <w:rsid w:val="00D85551"/>
    <w:rsid w:val="00D855E2"/>
    <w:rsid w:val="00D855F5"/>
    <w:rsid w:val="00D858B7"/>
    <w:rsid w:val="00D85A54"/>
    <w:rsid w:val="00D85DED"/>
    <w:rsid w:val="00D85E5B"/>
    <w:rsid w:val="00D85F81"/>
    <w:rsid w:val="00D86223"/>
    <w:rsid w:val="00D864CE"/>
    <w:rsid w:val="00D867D3"/>
    <w:rsid w:val="00D86A0E"/>
    <w:rsid w:val="00D86C3F"/>
    <w:rsid w:val="00D870D7"/>
    <w:rsid w:val="00D8718D"/>
    <w:rsid w:val="00D87698"/>
    <w:rsid w:val="00D877E1"/>
    <w:rsid w:val="00D8780D"/>
    <w:rsid w:val="00D87828"/>
    <w:rsid w:val="00D902BE"/>
    <w:rsid w:val="00D902FD"/>
    <w:rsid w:val="00D90386"/>
    <w:rsid w:val="00D905D6"/>
    <w:rsid w:val="00D9094E"/>
    <w:rsid w:val="00D90A34"/>
    <w:rsid w:val="00D90C98"/>
    <w:rsid w:val="00D90EC4"/>
    <w:rsid w:val="00D90F10"/>
    <w:rsid w:val="00D90FB9"/>
    <w:rsid w:val="00D91110"/>
    <w:rsid w:val="00D915AC"/>
    <w:rsid w:val="00D9163D"/>
    <w:rsid w:val="00D91670"/>
    <w:rsid w:val="00D91794"/>
    <w:rsid w:val="00D91820"/>
    <w:rsid w:val="00D91BCF"/>
    <w:rsid w:val="00D91C3A"/>
    <w:rsid w:val="00D91EB3"/>
    <w:rsid w:val="00D91F84"/>
    <w:rsid w:val="00D91FD5"/>
    <w:rsid w:val="00D923ED"/>
    <w:rsid w:val="00D925F9"/>
    <w:rsid w:val="00D9271F"/>
    <w:rsid w:val="00D92CD7"/>
    <w:rsid w:val="00D92E27"/>
    <w:rsid w:val="00D92EED"/>
    <w:rsid w:val="00D92FCE"/>
    <w:rsid w:val="00D9301B"/>
    <w:rsid w:val="00D931AC"/>
    <w:rsid w:val="00D9348E"/>
    <w:rsid w:val="00D9351A"/>
    <w:rsid w:val="00D937B9"/>
    <w:rsid w:val="00D93C10"/>
    <w:rsid w:val="00D93F13"/>
    <w:rsid w:val="00D93FE7"/>
    <w:rsid w:val="00D94178"/>
    <w:rsid w:val="00D94196"/>
    <w:rsid w:val="00D94448"/>
    <w:rsid w:val="00D945D3"/>
    <w:rsid w:val="00D94898"/>
    <w:rsid w:val="00D949A8"/>
    <w:rsid w:val="00D94D01"/>
    <w:rsid w:val="00D950CA"/>
    <w:rsid w:val="00D954B9"/>
    <w:rsid w:val="00D955A6"/>
    <w:rsid w:val="00D95794"/>
    <w:rsid w:val="00D959CE"/>
    <w:rsid w:val="00D95AA1"/>
    <w:rsid w:val="00D95EDB"/>
    <w:rsid w:val="00D963BE"/>
    <w:rsid w:val="00D96694"/>
    <w:rsid w:val="00D967F4"/>
    <w:rsid w:val="00D96840"/>
    <w:rsid w:val="00D96875"/>
    <w:rsid w:val="00D96CEA"/>
    <w:rsid w:val="00D96E65"/>
    <w:rsid w:val="00D96EDB"/>
    <w:rsid w:val="00D972F2"/>
    <w:rsid w:val="00D97604"/>
    <w:rsid w:val="00D977AD"/>
    <w:rsid w:val="00D97961"/>
    <w:rsid w:val="00D9798C"/>
    <w:rsid w:val="00D97A10"/>
    <w:rsid w:val="00D97A69"/>
    <w:rsid w:val="00D97AD5"/>
    <w:rsid w:val="00DA0413"/>
    <w:rsid w:val="00DA042E"/>
    <w:rsid w:val="00DA0B34"/>
    <w:rsid w:val="00DA1439"/>
    <w:rsid w:val="00DA1561"/>
    <w:rsid w:val="00DA17A6"/>
    <w:rsid w:val="00DA17C8"/>
    <w:rsid w:val="00DA1DBB"/>
    <w:rsid w:val="00DA1F70"/>
    <w:rsid w:val="00DA2289"/>
    <w:rsid w:val="00DA23EF"/>
    <w:rsid w:val="00DA2773"/>
    <w:rsid w:val="00DA2C05"/>
    <w:rsid w:val="00DA2F3A"/>
    <w:rsid w:val="00DA3047"/>
    <w:rsid w:val="00DA321B"/>
    <w:rsid w:val="00DA3494"/>
    <w:rsid w:val="00DA358A"/>
    <w:rsid w:val="00DA3718"/>
    <w:rsid w:val="00DA3752"/>
    <w:rsid w:val="00DA3816"/>
    <w:rsid w:val="00DA3938"/>
    <w:rsid w:val="00DA393C"/>
    <w:rsid w:val="00DA3A4A"/>
    <w:rsid w:val="00DA3ECC"/>
    <w:rsid w:val="00DA3F6E"/>
    <w:rsid w:val="00DA40BD"/>
    <w:rsid w:val="00DA40F2"/>
    <w:rsid w:val="00DA426E"/>
    <w:rsid w:val="00DA4398"/>
    <w:rsid w:val="00DA43A9"/>
    <w:rsid w:val="00DA44A9"/>
    <w:rsid w:val="00DA484D"/>
    <w:rsid w:val="00DA49B7"/>
    <w:rsid w:val="00DA4AEB"/>
    <w:rsid w:val="00DA4D9A"/>
    <w:rsid w:val="00DA4EC1"/>
    <w:rsid w:val="00DA5234"/>
    <w:rsid w:val="00DA5292"/>
    <w:rsid w:val="00DA5504"/>
    <w:rsid w:val="00DA565A"/>
    <w:rsid w:val="00DA576C"/>
    <w:rsid w:val="00DA57CC"/>
    <w:rsid w:val="00DA58A4"/>
    <w:rsid w:val="00DA58CC"/>
    <w:rsid w:val="00DA59D1"/>
    <w:rsid w:val="00DA5C36"/>
    <w:rsid w:val="00DA5D57"/>
    <w:rsid w:val="00DA5DCC"/>
    <w:rsid w:val="00DA5E0E"/>
    <w:rsid w:val="00DA5ED7"/>
    <w:rsid w:val="00DA6804"/>
    <w:rsid w:val="00DA686A"/>
    <w:rsid w:val="00DA69DC"/>
    <w:rsid w:val="00DA6A2E"/>
    <w:rsid w:val="00DA6BCA"/>
    <w:rsid w:val="00DA6D61"/>
    <w:rsid w:val="00DA6F99"/>
    <w:rsid w:val="00DA7060"/>
    <w:rsid w:val="00DA71C3"/>
    <w:rsid w:val="00DA75F1"/>
    <w:rsid w:val="00DA79D2"/>
    <w:rsid w:val="00DA7B2C"/>
    <w:rsid w:val="00DB00C0"/>
    <w:rsid w:val="00DB00E3"/>
    <w:rsid w:val="00DB01C3"/>
    <w:rsid w:val="00DB0356"/>
    <w:rsid w:val="00DB090E"/>
    <w:rsid w:val="00DB0A6F"/>
    <w:rsid w:val="00DB0B23"/>
    <w:rsid w:val="00DB0B3B"/>
    <w:rsid w:val="00DB0C0E"/>
    <w:rsid w:val="00DB0D84"/>
    <w:rsid w:val="00DB0E0C"/>
    <w:rsid w:val="00DB10E5"/>
    <w:rsid w:val="00DB15CB"/>
    <w:rsid w:val="00DB1627"/>
    <w:rsid w:val="00DB169B"/>
    <w:rsid w:val="00DB16FC"/>
    <w:rsid w:val="00DB1753"/>
    <w:rsid w:val="00DB1985"/>
    <w:rsid w:val="00DB24F1"/>
    <w:rsid w:val="00DB257F"/>
    <w:rsid w:val="00DB25FB"/>
    <w:rsid w:val="00DB2A32"/>
    <w:rsid w:val="00DB2B2C"/>
    <w:rsid w:val="00DB2D1B"/>
    <w:rsid w:val="00DB2E3E"/>
    <w:rsid w:val="00DB2ED9"/>
    <w:rsid w:val="00DB2F27"/>
    <w:rsid w:val="00DB3182"/>
    <w:rsid w:val="00DB3543"/>
    <w:rsid w:val="00DB3903"/>
    <w:rsid w:val="00DB3979"/>
    <w:rsid w:val="00DB3C6E"/>
    <w:rsid w:val="00DB3C88"/>
    <w:rsid w:val="00DB3D12"/>
    <w:rsid w:val="00DB3D53"/>
    <w:rsid w:val="00DB3D67"/>
    <w:rsid w:val="00DB3E8B"/>
    <w:rsid w:val="00DB4153"/>
    <w:rsid w:val="00DB420C"/>
    <w:rsid w:val="00DB4230"/>
    <w:rsid w:val="00DB42BE"/>
    <w:rsid w:val="00DB4387"/>
    <w:rsid w:val="00DB43E3"/>
    <w:rsid w:val="00DB485B"/>
    <w:rsid w:val="00DB489F"/>
    <w:rsid w:val="00DB498B"/>
    <w:rsid w:val="00DB4D67"/>
    <w:rsid w:val="00DB4E32"/>
    <w:rsid w:val="00DB50A7"/>
    <w:rsid w:val="00DB5376"/>
    <w:rsid w:val="00DB546B"/>
    <w:rsid w:val="00DB5815"/>
    <w:rsid w:val="00DB58B1"/>
    <w:rsid w:val="00DB5916"/>
    <w:rsid w:val="00DB5C4B"/>
    <w:rsid w:val="00DB61B4"/>
    <w:rsid w:val="00DB6472"/>
    <w:rsid w:val="00DB6568"/>
    <w:rsid w:val="00DB6C8F"/>
    <w:rsid w:val="00DB6D0E"/>
    <w:rsid w:val="00DB71C0"/>
    <w:rsid w:val="00DB729A"/>
    <w:rsid w:val="00DB7364"/>
    <w:rsid w:val="00DB748F"/>
    <w:rsid w:val="00DB74FC"/>
    <w:rsid w:val="00DB7882"/>
    <w:rsid w:val="00DB7E4A"/>
    <w:rsid w:val="00DB7F92"/>
    <w:rsid w:val="00DC00E4"/>
    <w:rsid w:val="00DC0185"/>
    <w:rsid w:val="00DC02F1"/>
    <w:rsid w:val="00DC0929"/>
    <w:rsid w:val="00DC094B"/>
    <w:rsid w:val="00DC0952"/>
    <w:rsid w:val="00DC0ABC"/>
    <w:rsid w:val="00DC0C36"/>
    <w:rsid w:val="00DC0D4A"/>
    <w:rsid w:val="00DC0DFC"/>
    <w:rsid w:val="00DC101E"/>
    <w:rsid w:val="00DC1069"/>
    <w:rsid w:val="00DC114C"/>
    <w:rsid w:val="00DC197B"/>
    <w:rsid w:val="00DC215F"/>
    <w:rsid w:val="00DC287A"/>
    <w:rsid w:val="00DC28A6"/>
    <w:rsid w:val="00DC2C52"/>
    <w:rsid w:val="00DC2DE3"/>
    <w:rsid w:val="00DC30BF"/>
    <w:rsid w:val="00DC318B"/>
    <w:rsid w:val="00DC31D2"/>
    <w:rsid w:val="00DC332B"/>
    <w:rsid w:val="00DC35A1"/>
    <w:rsid w:val="00DC3643"/>
    <w:rsid w:val="00DC37D4"/>
    <w:rsid w:val="00DC388E"/>
    <w:rsid w:val="00DC3A05"/>
    <w:rsid w:val="00DC3B00"/>
    <w:rsid w:val="00DC405D"/>
    <w:rsid w:val="00DC4198"/>
    <w:rsid w:val="00DC4671"/>
    <w:rsid w:val="00DC46DF"/>
    <w:rsid w:val="00DC47D1"/>
    <w:rsid w:val="00DC4B06"/>
    <w:rsid w:val="00DC4D16"/>
    <w:rsid w:val="00DC4DFD"/>
    <w:rsid w:val="00DC4E20"/>
    <w:rsid w:val="00DC5027"/>
    <w:rsid w:val="00DC50EB"/>
    <w:rsid w:val="00DC5105"/>
    <w:rsid w:val="00DC510A"/>
    <w:rsid w:val="00DC5125"/>
    <w:rsid w:val="00DC51B1"/>
    <w:rsid w:val="00DC53EC"/>
    <w:rsid w:val="00DC5475"/>
    <w:rsid w:val="00DC5539"/>
    <w:rsid w:val="00DC5680"/>
    <w:rsid w:val="00DC58DC"/>
    <w:rsid w:val="00DC5907"/>
    <w:rsid w:val="00DC5C41"/>
    <w:rsid w:val="00DC5CF1"/>
    <w:rsid w:val="00DC5D03"/>
    <w:rsid w:val="00DC5D9F"/>
    <w:rsid w:val="00DC5DA0"/>
    <w:rsid w:val="00DC5DD5"/>
    <w:rsid w:val="00DC5E55"/>
    <w:rsid w:val="00DC65DC"/>
    <w:rsid w:val="00DC673F"/>
    <w:rsid w:val="00DC67FD"/>
    <w:rsid w:val="00DC68AE"/>
    <w:rsid w:val="00DC68F1"/>
    <w:rsid w:val="00DC6A11"/>
    <w:rsid w:val="00DC6C64"/>
    <w:rsid w:val="00DC6D3C"/>
    <w:rsid w:val="00DC6D95"/>
    <w:rsid w:val="00DC6E71"/>
    <w:rsid w:val="00DC6F52"/>
    <w:rsid w:val="00DC70B1"/>
    <w:rsid w:val="00DC7381"/>
    <w:rsid w:val="00DC7447"/>
    <w:rsid w:val="00DC7628"/>
    <w:rsid w:val="00DC7680"/>
    <w:rsid w:val="00DC77E4"/>
    <w:rsid w:val="00DC7AB1"/>
    <w:rsid w:val="00DC7CD4"/>
    <w:rsid w:val="00DC7E43"/>
    <w:rsid w:val="00DC7FB5"/>
    <w:rsid w:val="00DD000A"/>
    <w:rsid w:val="00DD003E"/>
    <w:rsid w:val="00DD05F0"/>
    <w:rsid w:val="00DD089F"/>
    <w:rsid w:val="00DD0972"/>
    <w:rsid w:val="00DD0E8F"/>
    <w:rsid w:val="00DD0E90"/>
    <w:rsid w:val="00DD0EB7"/>
    <w:rsid w:val="00DD0F14"/>
    <w:rsid w:val="00DD152B"/>
    <w:rsid w:val="00DD19E3"/>
    <w:rsid w:val="00DD1A42"/>
    <w:rsid w:val="00DD1A4B"/>
    <w:rsid w:val="00DD1AA9"/>
    <w:rsid w:val="00DD1BDF"/>
    <w:rsid w:val="00DD1DD4"/>
    <w:rsid w:val="00DD1F11"/>
    <w:rsid w:val="00DD2048"/>
    <w:rsid w:val="00DD2108"/>
    <w:rsid w:val="00DD231C"/>
    <w:rsid w:val="00DD252D"/>
    <w:rsid w:val="00DD2613"/>
    <w:rsid w:val="00DD2758"/>
    <w:rsid w:val="00DD2A5E"/>
    <w:rsid w:val="00DD2B6C"/>
    <w:rsid w:val="00DD2DE0"/>
    <w:rsid w:val="00DD2FD2"/>
    <w:rsid w:val="00DD3013"/>
    <w:rsid w:val="00DD30F0"/>
    <w:rsid w:val="00DD34CC"/>
    <w:rsid w:val="00DD3635"/>
    <w:rsid w:val="00DD3811"/>
    <w:rsid w:val="00DD38DC"/>
    <w:rsid w:val="00DD3B4D"/>
    <w:rsid w:val="00DD3D33"/>
    <w:rsid w:val="00DD3E84"/>
    <w:rsid w:val="00DD3FAC"/>
    <w:rsid w:val="00DD43C8"/>
    <w:rsid w:val="00DD4485"/>
    <w:rsid w:val="00DD4635"/>
    <w:rsid w:val="00DD46C5"/>
    <w:rsid w:val="00DD4B8A"/>
    <w:rsid w:val="00DD4BB8"/>
    <w:rsid w:val="00DD4C9E"/>
    <w:rsid w:val="00DD4D61"/>
    <w:rsid w:val="00DD4E85"/>
    <w:rsid w:val="00DD5194"/>
    <w:rsid w:val="00DD520A"/>
    <w:rsid w:val="00DD54A8"/>
    <w:rsid w:val="00DD5569"/>
    <w:rsid w:val="00DD5630"/>
    <w:rsid w:val="00DD57A6"/>
    <w:rsid w:val="00DD594C"/>
    <w:rsid w:val="00DD595B"/>
    <w:rsid w:val="00DD5AC5"/>
    <w:rsid w:val="00DD5B52"/>
    <w:rsid w:val="00DD5C74"/>
    <w:rsid w:val="00DD6062"/>
    <w:rsid w:val="00DD61EF"/>
    <w:rsid w:val="00DD6224"/>
    <w:rsid w:val="00DD6304"/>
    <w:rsid w:val="00DD633D"/>
    <w:rsid w:val="00DD640A"/>
    <w:rsid w:val="00DD65E6"/>
    <w:rsid w:val="00DD6B1A"/>
    <w:rsid w:val="00DD6DFE"/>
    <w:rsid w:val="00DD72A2"/>
    <w:rsid w:val="00DD7454"/>
    <w:rsid w:val="00DD7498"/>
    <w:rsid w:val="00DD75B0"/>
    <w:rsid w:val="00DD75D4"/>
    <w:rsid w:val="00DD7683"/>
    <w:rsid w:val="00DD772E"/>
    <w:rsid w:val="00DD7DB0"/>
    <w:rsid w:val="00DE052A"/>
    <w:rsid w:val="00DE06C3"/>
    <w:rsid w:val="00DE0803"/>
    <w:rsid w:val="00DE09EE"/>
    <w:rsid w:val="00DE0BFB"/>
    <w:rsid w:val="00DE0C33"/>
    <w:rsid w:val="00DE0E48"/>
    <w:rsid w:val="00DE1013"/>
    <w:rsid w:val="00DE1107"/>
    <w:rsid w:val="00DE1414"/>
    <w:rsid w:val="00DE1920"/>
    <w:rsid w:val="00DE19E1"/>
    <w:rsid w:val="00DE1B03"/>
    <w:rsid w:val="00DE1BD6"/>
    <w:rsid w:val="00DE1BFD"/>
    <w:rsid w:val="00DE1DEC"/>
    <w:rsid w:val="00DE1F31"/>
    <w:rsid w:val="00DE1FF8"/>
    <w:rsid w:val="00DE2532"/>
    <w:rsid w:val="00DE2537"/>
    <w:rsid w:val="00DE2798"/>
    <w:rsid w:val="00DE2D05"/>
    <w:rsid w:val="00DE2F55"/>
    <w:rsid w:val="00DE3219"/>
    <w:rsid w:val="00DE32FC"/>
    <w:rsid w:val="00DE3341"/>
    <w:rsid w:val="00DE33D4"/>
    <w:rsid w:val="00DE37A6"/>
    <w:rsid w:val="00DE384D"/>
    <w:rsid w:val="00DE3862"/>
    <w:rsid w:val="00DE3887"/>
    <w:rsid w:val="00DE39E6"/>
    <w:rsid w:val="00DE3AFB"/>
    <w:rsid w:val="00DE3B14"/>
    <w:rsid w:val="00DE3B6F"/>
    <w:rsid w:val="00DE3BEC"/>
    <w:rsid w:val="00DE3FA0"/>
    <w:rsid w:val="00DE4125"/>
    <w:rsid w:val="00DE421A"/>
    <w:rsid w:val="00DE421E"/>
    <w:rsid w:val="00DE426D"/>
    <w:rsid w:val="00DE428D"/>
    <w:rsid w:val="00DE486D"/>
    <w:rsid w:val="00DE4B3B"/>
    <w:rsid w:val="00DE4C65"/>
    <w:rsid w:val="00DE4D66"/>
    <w:rsid w:val="00DE4EDD"/>
    <w:rsid w:val="00DE4F56"/>
    <w:rsid w:val="00DE5456"/>
    <w:rsid w:val="00DE586D"/>
    <w:rsid w:val="00DE5A24"/>
    <w:rsid w:val="00DE5CAA"/>
    <w:rsid w:val="00DE5CD9"/>
    <w:rsid w:val="00DE5D2D"/>
    <w:rsid w:val="00DE5DAF"/>
    <w:rsid w:val="00DE5F12"/>
    <w:rsid w:val="00DE614D"/>
    <w:rsid w:val="00DE6355"/>
    <w:rsid w:val="00DE639C"/>
    <w:rsid w:val="00DE652B"/>
    <w:rsid w:val="00DE660E"/>
    <w:rsid w:val="00DE6A36"/>
    <w:rsid w:val="00DE6B0B"/>
    <w:rsid w:val="00DE6B3A"/>
    <w:rsid w:val="00DE6D86"/>
    <w:rsid w:val="00DE6FD5"/>
    <w:rsid w:val="00DE7126"/>
    <w:rsid w:val="00DE7127"/>
    <w:rsid w:val="00DE717E"/>
    <w:rsid w:val="00DE71CA"/>
    <w:rsid w:val="00DE71E6"/>
    <w:rsid w:val="00DE72D1"/>
    <w:rsid w:val="00DE75CA"/>
    <w:rsid w:val="00DE76D8"/>
    <w:rsid w:val="00DE78A4"/>
    <w:rsid w:val="00DE78F4"/>
    <w:rsid w:val="00DE7982"/>
    <w:rsid w:val="00DE7C54"/>
    <w:rsid w:val="00DE7DC7"/>
    <w:rsid w:val="00DE7DEB"/>
    <w:rsid w:val="00DE7E27"/>
    <w:rsid w:val="00DE7F26"/>
    <w:rsid w:val="00DF01FF"/>
    <w:rsid w:val="00DF056B"/>
    <w:rsid w:val="00DF0B2B"/>
    <w:rsid w:val="00DF0CA0"/>
    <w:rsid w:val="00DF1207"/>
    <w:rsid w:val="00DF13CA"/>
    <w:rsid w:val="00DF166C"/>
    <w:rsid w:val="00DF1968"/>
    <w:rsid w:val="00DF19CA"/>
    <w:rsid w:val="00DF1A11"/>
    <w:rsid w:val="00DF1CCD"/>
    <w:rsid w:val="00DF1F34"/>
    <w:rsid w:val="00DF24ED"/>
    <w:rsid w:val="00DF252C"/>
    <w:rsid w:val="00DF282B"/>
    <w:rsid w:val="00DF2D8B"/>
    <w:rsid w:val="00DF2DC5"/>
    <w:rsid w:val="00DF3013"/>
    <w:rsid w:val="00DF30DD"/>
    <w:rsid w:val="00DF3316"/>
    <w:rsid w:val="00DF345F"/>
    <w:rsid w:val="00DF36DF"/>
    <w:rsid w:val="00DF3778"/>
    <w:rsid w:val="00DF37C3"/>
    <w:rsid w:val="00DF38D4"/>
    <w:rsid w:val="00DF394D"/>
    <w:rsid w:val="00DF3AEF"/>
    <w:rsid w:val="00DF3E0A"/>
    <w:rsid w:val="00DF41E6"/>
    <w:rsid w:val="00DF43D6"/>
    <w:rsid w:val="00DF4B5B"/>
    <w:rsid w:val="00DF4DF7"/>
    <w:rsid w:val="00DF4F6E"/>
    <w:rsid w:val="00DF5387"/>
    <w:rsid w:val="00DF549F"/>
    <w:rsid w:val="00DF558C"/>
    <w:rsid w:val="00DF5B2D"/>
    <w:rsid w:val="00DF5B4F"/>
    <w:rsid w:val="00DF5E65"/>
    <w:rsid w:val="00DF5F69"/>
    <w:rsid w:val="00DF610B"/>
    <w:rsid w:val="00DF614B"/>
    <w:rsid w:val="00DF6478"/>
    <w:rsid w:val="00DF65D0"/>
    <w:rsid w:val="00DF662E"/>
    <w:rsid w:val="00DF66B1"/>
    <w:rsid w:val="00DF688C"/>
    <w:rsid w:val="00DF6A6F"/>
    <w:rsid w:val="00DF6C31"/>
    <w:rsid w:val="00DF6FB1"/>
    <w:rsid w:val="00DF723E"/>
    <w:rsid w:val="00DF72E3"/>
    <w:rsid w:val="00DF7324"/>
    <w:rsid w:val="00DF732F"/>
    <w:rsid w:val="00DF79C5"/>
    <w:rsid w:val="00DF79EE"/>
    <w:rsid w:val="00DF7A80"/>
    <w:rsid w:val="00DF7AE4"/>
    <w:rsid w:val="00DF7B27"/>
    <w:rsid w:val="00DF7B2C"/>
    <w:rsid w:val="00DF7B3D"/>
    <w:rsid w:val="00DF7EF6"/>
    <w:rsid w:val="00E0017B"/>
    <w:rsid w:val="00E008DD"/>
    <w:rsid w:val="00E00986"/>
    <w:rsid w:val="00E00C92"/>
    <w:rsid w:val="00E00DF8"/>
    <w:rsid w:val="00E00F20"/>
    <w:rsid w:val="00E0106B"/>
    <w:rsid w:val="00E0113B"/>
    <w:rsid w:val="00E012D3"/>
    <w:rsid w:val="00E01549"/>
    <w:rsid w:val="00E01552"/>
    <w:rsid w:val="00E015EC"/>
    <w:rsid w:val="00E01679"/>
    <w:rsid w:val="00E01AA4"/>
    <w:rsid w:val="00E01DD5"/>
    <w:rsid w:val="00E01E1E"/>
    <w:rsid w:val="00E01E57"/>
    <w:rsid w:val="00E01EAC"/>
    <w:rsid w:val="00E01F1A"/>
    <w:rsid w:val="00E025B5"/>
    <w:rsid w:val="00E0277B"/>
    <w:rsid w:val="00E02CA1"/>
    <w:rsid w:val="00E02E8A"/>
    <w:rsid w:val="00E03230"/>
    <w:rsid w:val="00E0354B"/>
    <w:rsid w:val="00E03B12"/>
    <w:rsid w:val="00E03C04"/>
    <w:rsid w:val="00E03C26"/>
    <w:rsid w:val="00E03FDF"/>
    <w:rsid w:val="00E0427B"/>
    <w:rsid w:val="00E0459C"/>
    <w:rsid w:val="00E047B4"/>
    <w:rsid w:val="00E047E4"/>
    <w:rsid w:val="00E04B25"/>
    <w:rsid w:val="00E04D02"/>
    <w:rsid w:val="00E04D06"/>
    <w:rsid w:val="00E04FF0"/>
    <w:rsid w:val="00E053C5"/>
    <w:rsid w:val="00E054FA"/>
    <w:rsid w:val="00E05521"/>
    <w:rsid w:val="00E055A8"/>
    <w:rsid w:val="00E05905"/>
    <w:rsid w:val="00E05AE3"/>
    <w:rsid w:val="00E05FBD"/>
    <w:rsid w:val="00E060DB"/>
    <w:rsid w:val="00E0626A"/>
    <w:rsid w:val="00E0648B"/>
    <w:rsid w:val="00E069AD"/>
    <w:rsid w:val="00E06A17"/>
    <w:rsid w:val="00E06CE1"/>
    <w:rsid w:val="00E06D8A"/>
    <w:rsid w:val="00E06FEA"/>
    <w:rsid w:val="00E0734C"/>
    <w:rsid w:val="00E0738D"/>
    <w:rsid w:val="00E073A6"/>
    <w:rsid w:val="00E0776E"/>
    <w:rsid w:val="00E07E4E"/>
    <w:rsid w:val="00E07F7C"/>
    <w:rsid w:val="00E105B1"/>
    <w:rsid w:val="00E10AF8"/>
    <w:rsid w:val="00E1126D"/>
    <w:rsid w:val="00E11517"/>
    <w:rsid w:val="00E1153E"/>
    <w:rsid w:val="00E11992"/>
    <w:rsid w:val="00E119AF"/>
    <w:rsid w:val="00E11B9E"/>
    <w:rsid w:val="00E11D0F"/>
    <w:rsid w:val="00E11D42"/>
    <w:rsid w:val="00E11E97"/>
    <w:rsid w:val="00E123CB"/>
    <w:rsid w:val="00E124C9"/>
    <w:rsid w:val="00E12946"/>
    <w:rsid w:val="00E12B83"/>
    <w:rsid w:val="00E12D3D"/>
    <w:rsid w:val="00E13300"/>
    <w:rsid w:val="00E1369A"/>
    <w:rsid w:val="00E137EA"/>
    <w:rsid w:val="00E137F6"/>
    <w:rsid w:val="00E13942"/>
    <w:rsid w:val="00E13A68"/>
    <w:rsid w:val="00E13AE1"/>
    <w:rsid w:val="00E13CC1"/>
    <w:rsid w:val="00E13D8A"/>
    <w:rsid w:val="00E13D8D"/>
    <w:rsid w:val="00E13DD0"/>
    <w:rsid w:val="00E13FE4"/>
    <w:rsid w:val="00E141F0"/>
    <w:rsid w:val="00E143EA"/>
    <w:rsid w:val="00E145A4"/>
    <w:rsid w:val="00E145D0"/>
    <w:rsid w:val="00E1477A"/>
    <w:rsid w:val="00E14908"/>
    <w:rsid w:val="00E149DA"/>
    <w:rsid w:val="00E14C0F"/>
    <w:rsid w:val="00E14F78"/>
    <w:rsid w:val="00E1532B"/>
    <w:rsid w:val="00E155A9"/>
    <w:rsid w:val="00E15980"/>
    <w:rsid w:val="00E15987"/>
    <w:rsid w:val="00E159BD"/>
    <w:rsid w:val="00E15A2F"/>
    <w:rsid w:val="00E15AF6"/>
    <w:rsid w:val="00E16092"/>
    <w:rsid w:val="00E16153"/>
    <w:rsid w:val="00E163AF"/>
    <w:rsid w:val="00E167AD"/>
    <w:rsid w:val="00E167C4"/>
    <w:rsid w:val="00E1689A"/>
    <w:rsid w:val="00E169A4"/>
    <w:rsid w:val="00E16AC7"/>
    <w:rsid w:val="00E16BCF"/>
    <w:rsid w:val="00E16C70"/>
    <w:rsid w:val="00E16EB0"/>
    <w:rsid w:val="00E16F9B"/>
    <w:rsid w:val="00E1707F"/>
    <w:rsid w:val="00E170B9"/>
    <w:rsid w:val="00E17252"/>
    <w:rsid w:val="00E1739D"/>
    <w:rsid w:val="00E1798C"/>
    <w:rsid w:val="00E17BDA"/>
    <w:rsid w:val="00E17CFD"/>
    <w:rsid w:val="00E17D0F"/>
    <w:rsid w:val="00E17E94"/>
    <w:rsid w:val="00E201A8"/>
    <w:rsid w:val="00E2028D"/>
    <w:rsid w:val="00E202CF"/>
    <w:rsid w:val="00E202DE"/>
    <w:rsid w:val="00E2040D"/>
    <w:rsid w:val="00E20601"/>
    <w:rsid w:val="00E20AC7"/>
    <w:rsid w:val="00E20E6C"/>
    <w:rsid w:val="00E20F44"/>
    <w:rsid w:val="00E21057"/>
    <w:rsid w:val="00E21574"/>
    <w:rsid w:val="00E21903"/>
    <w:rsid w:val="00E21939"/>
    <w:rsid w:val="00E21CFE"/>
    <w:rsid w:val="00E21FCA"/>
    <w:rsid w:val="00E21FFF"/>
    <w:rsid w:val="00E221AD"/>
    <w:rsid w:val="00E22203"/>
    <w:rsid w:val="00E223C0"/>
    <w:rsid w:val="00E22597"/>
    <w:rsid w:val="00E226F7"/>
    <w:rsid w:val="00E22842"/>
    <w:rsid w:val="00E229A5"/>
    <w:rsid w:val="00E22A34"/>
    <w:rsid w:val="00E22C03"/>
    <w:rsid w:val="00E235D1"/>
    <w:rsid w:val="00E23814"/>
    <w:rsid w:val="00E23949"/>
    <w:rsid w:val="00E23BF6"/>
    <w:rsid w:val="00E23DB4"/>
    <w:rsid w:val="00E23F89"/>
    <w:rsid w:val="00E24271"/>
    <w:rsid w:val="00E243D6"/>
    <w:rsid w:val="00E24762"/>
    <w:rsid w:val="00E2484F"/>
    <w:rsid w:val="00E24A59"/>
    <w:rsid w:val="00E24AB7"/>
    <w:rsid w:val="00E24BB6"/>
    <w:rsid w:val="00E24DC3"/>
    <w:rsid w:val="00E24E03"/>
    <w:rsid w:val="00E25141"/>
    <w:rsid w:val="00E25322"/>
    <w:rsid w:val="00E2539C"/>
    <w:rsid w:val="00E253D6"/>
    <w:rsid w:val="00E255F3"/>
    <w:rsid w:val="00E257F1"/>
    <w:rsid w:val="00E259F7"/>
    <w:rsid w:val="00E25D1F"/>
    <w:rsid w:val="00E25D90"/>
    <w:rsid w:val="00E26031"/>
    <w:rsid w:val="00E26264"/>
    <w:rsid w:val="00E262A5"/>
    <w:rsid w:val="00E264E4"/>
    <w:rsid w:val="00E268C3"/>
    <w:rsid w:val="00E269E6"/>
    <w:rsid w:val="00E26A04"/>
    <w:rsid w:val="00E26B6F"/>
    <w:rsid w:val="00E26B7E"/>
    <w:rsid w:val="00E26D30"/>
    <w:rsid w:val="00E26FDF"/>
    <w:rsid w:val="00E27374"/>
    <w:rsid w:val="00E27383"/>
    <w:rsid w:val="00E27433"/>
    <w:rsid w:val="00E275B2"/>
    <w:rsid w:val="00E27643"/>
    <w:rsid w:val="00E27977"/>
    <w:rsid w:val="00E279A6"/>
    <w:rsid w:val="00E27FF3"/>
    <w:rsid w:val="00E30138"/>
    <w:rsid w:val="00E301E1"/>
    <w:rsid w:val="00E3044A"/>
    <w:rsid w:val="00E304A1"/>
    <w:rsid w:val="00E304FA"/>
    <w:rsid w:val="00E309D1"/>
    <w:rsid w:val="00E30AB3"/>
    <w:rsid w:val="00E30C12"/>
    <w:rsid w:val="00E30FBF"/>
    <w:rsid w:val="00E311CD"/>
    <w:rsid w:val="00E3121F"/>
    <w:rsid w:val="00E31378"/>
    <w:rsid w:val="00E3178C"/>
    <w:rsid w:val="00E31916"/>
    <w:rsid w:val="00E31D97"/>
    <w:rsid w:val="00E31E4C"/>
    <w:rsid w:val="00E31F4B"/>
    <w:rsid w:val="00E32126"/>
    <w:rsid w:val="00E321C3"/>
    <w:rsid w:val="00E3232B"/>
    <w:rsid w:val="00E32610"/>
    <w:rsid w:val="00E32633"/>
    <w:rsid w:val="00E32919"/>
    <w:rsid w:val="00E331B4"/>
    <w:rsid w:val="00E33231"/>
    <w:rsid w:val="00E3338E"/>
    <w:rsid w:val="00E33FA5"/>
    <w:rsid w:val="00E34116"/>
    <w:rsid w:val="00E34190"/>
    <w:rsid w:val="00E344CF"/>
    <w:rsid w:val="00E3464C"/>
    <w:rsid w:val="00E34859"/>
    <w:rsid w:val="00E34C45"/>
    <w:rsid w:val="00E34D24"/>
    <w:rsid w:val="00E35161"/>
    <w:rsid w:val="00E35230"/>
    <w:rsid w:val="00E356DE"/>
    <w:rsid w:val="00E35B77"/>
    <w:rsid w:val="00E35BE4"/>
    <w:rsid w:val="00E35C34"/>
    <w:rsid w:val="00E35ED9"/>
    <w:rsid w:val="00E35F8D"/>
    <w:rsid w:val="00E35FCF"/>
    <w:rsid w:val="00E36007"/>
    <w:rsid w:val="00E366D0"/>
    <w:rsid w:val="00E36C51"/>
    <w:rsid w:val="00E36CDD"/>
    <w:rsid w:val="00E36D2D"/>
    <w:rsid w:val="00E36F85"/>
    <w:rsid w:val="00E3712D"/>
    <w:rsid w:val="00E37527"/>
    <w:rsid w:val="00E37695"/>
    <w:rsid w:val="00E377FC"/>
    <w:rsid w:val="00E37BE9"/>
    <w:rsid w:val="00E37CE9"/>
    <w:rsid w:val="00E37D0C"/>
    <w:rsid w:val="00E37DF3"/>
    <w:rsid w:val="00E4002E"/>
    <w:rsid w:val="00E4017D"/>
    <w:rsid w:val="00E40287"/>
    <w:rsid w:val="00E40576"/>
    <w:rsid w:val="00E40634"/>
    <w:rsid w:val="00E40B4E"/>
    <w:rsid w:val="00E40BA1"/>
    <w:rsid w:val="00E40C39"/>
    <w:rsid w:val="00E40FE6"/>
    <w:rsid w:val="00E41081"/>
    <w:rsid w:val="00E41C93"/>
    <w:rsid w:val="00E41EA3"/>
    <w:rsid w:val="00E4202B"/>
    <w:rsid w:val="00E4257A"/>
    <w:rsid w:val="00E425D2"/>
    <w:rsid w:val="00E42647"/>
    <w:rsid w:val="00E42E97"/>
    <w:rsid w:val="00E42F92"/>
    <w:rsid w:val="00E4366E"/>
    <w:rsid w:val="00E436F6"/>
    <w:rsid w:val="00E43C90"/>
    <w:rsid w:val="00E43CA7"/>
    <w:rsid w:val="00E43E32"/>
    <w:rsid w:val="00E441C0"/>
    <w:rsid w:val="00E44993"/>
    <w:rsid w:val="00E44A29"/>
    <w:rsid w:val="00E44E7F"/>
    <w:rsid w:val="00E452EF"/>
    <w:rsid w:val="00E454BC"/>
    <w:rsid w:val="00E45B63"/>
    <w:rsid w:val="00E45C27"/>
    <w:rsid w:val="00E45C2B"/>
    <w:rsid w:val="00E46181"/>
    <w:rsid w:val="00E46382"/>
    <w:rsid w:val="00E463F7"/>
    <w:rsid w:val="00E464CE"/>
    <w:rsid w:val="00E469AA"/>
    <w:rsid w:val="00E46A04"/>
    <w:rsid w:val="00E46BC1"/>
    <w:rsid w:val="00E46CE9"/>
    <w:rsid w:val="00E46F7D"/>
    <w:rsid w:val="00E4722B"/>
    <w:rsid w:val="00E474AD"/>
    <w:rsid w:val="00E474C5"/>
    <w:rsid w:val="00E476DC"/>
    <w:rsid w:val="00E47736"/>
    <w:rsid w:val="00E477A7"/>
    <w:rsid w:val="00E479C0"/>
    <w:rsid w:val="00E479C3"/>
    <w:rsid w:val="00E47B3A"/>
    <w:rsid w:val="00E47B4D"/>
    <w:rsid w:val="00E47C27"/>
    <w:rsid w:val="00E47DA3"/>
    <w:rsid w:val="00E47DCC"/>
    <w:rsid w:val="00E47F54"/>
    <w:rsid w:val="00E5005F"/>
    <w:rsid w:val="00E50070"/>
    <w:rsid w:val="00E500F0"/>
    <w:rsid w:val="00E504B8"/>
    <w:rsid w:val="00E50573"/>
    <w:rsid w:val="00E505B7"/>
    <w:rsid w:val="00E50633"/>
    <w:rsid w:val="00E507B3"/>
    <w:rsid w:val="00E50B13"/>
    <w:rsid w:val="00E50C4F"/>
    <w:rsid w:val="00E50D0C"/>
    <w:rsid w:val="00E50DFA"/>
    <w:rsid w:val="00E50E94"/>
    <w:rsid w:val="00E50F60"/>
    <w:rsid w:val="00E51079"/>
    <w:rsid w:val="00E510E1"/>
    <w:rsid w:val="00E51221"/>
    <w:rsid w:val="00E512C4"/>
    <w:rsid w:val="00E51346"/>
    <w:rsid w:val="00E51628"/>
    <w:rsid w:val="00E51634"/>
    <w:rsid w:val="00E51648"/>
    <w:rsid w:val="00E5167B"/>
    <w:rsid w:val="00E51CA6"/>
    <w:rsid w:val="00E51CAB"/>
    <w:rsid w:val="00E51D2B"/>
    <w:rsid w:val="00E51E2F"/>
    <w:rsid w:val="00E520C7"/>
    <w:rsid w:val="00E522ED"/>
    <w:rsid w:val="00E5282A"/>
    <w:rsid w:val="00E52894"/>
    <w:rsid w:val="00E52938"/>
    <w:rsid w:val="00E52D1D"/>
    <w:rsid w:val="00E52E7E"/>
    <w:rsid w:val="00E52F22"/>
    <w:rsid w:val="00E53B01"/>
    <w:rsid w:val="00E53C53"/>
    <w:rsid w:val="00E53FC7"/>
    <w:rsid w:val="00E54358"/>
    <w:rsid w:val="00E5437D"/>
    <w:rsid w:val="00E544CF"/>
    <w:rsid w:val="00E546DA"/>
    <w:rsid w:val="00E546DF"/>
    <w:rsid w:val="00E547E7"/>
    <w:rsid w:val="00E54B2C"/>
    <w:rsid w:val="00E54F6C"/>
    <w:rsid w:val="00E54F83"/>
    <w:rsid w:val="00E55215"/>
    <w:rsid w:val="00E552B5"/>
    <w:rsid w:val="00E55340"/>
    <w:rsid w:val="00E556D0"/>
    <w:rsid w:val="00E558EF"/>
    <w:rsid w:val="00E55A77"/>
    <w:rsid w:val="00E55C98"/>
    <w:rsid w:val="00E55D7A"/>
    <w:rsid w:val="00E55F4F"/>
    <w:rsid w:val="00E55F6C"/>
    <w:rsid w:val="00E5609B"/>
    <w:rsid w:val="00E56186"/>
    <w:rsid w:val="00E5640C"/>
    <w:rsid w:val="00E5644E"/>
    <w:rsid w:val="00E56642"/>
    <w:rsid w:val="00E566A8"/>
    <w:rsid w:val="00E568A7"/>
    <w:rsid w:val="00E57106"/>
    <w:rsid w:val="00E573F0"/>
    <w:rsid w:val="00E5746F"/>
    <w:rsid w:val="00E57517"/>
    <w:rsid w:val="00E57781"/>
    <w:rsid w:val="00E5788A"/>
    <w:rsid w:val="00E578C9"/>
    <w:rsid w:val="00E57954"/>
    <w:rsid w:val="00E57A31"/>
    <w:rsid w:val="00E57A77"/>
    <w:rsid w:val="00E60171"/>
    <w:rsid w:val="00E60287"/>
    <w:rsid w:val="00E604EE"/>
    <w:rsid w:val="00E60541"/>
    <w:rsid w:val="00E605BE"/>
    <w:rsid w:val="00E60ABB"/>
    <w:rsid w:val="00E60B75"/>
    <w:rsid w:val="00E60BF4"/>
    <w:rsid w:val="00E60CA6"/>
    <w:rsid w:val="00E60F89"/>
    <w:rsid w:val="00E60FE0"/>
    <w:rsid w:val="00E611D0"/>
    <w:rsid w:val="00E61447"/>
    <w:rsid w:val="00E6187D"/>
    <w:rsid w:val="00E618B6"/>
    <w:rsid w:val="00E61AF0"/>
    <w:rsid w:val="00E61BAA"/>
    <w:rsid w:val="00E61E15"/>
    <w:rsid w:val="00E61FF6"/>
    <w:rsid w:val="00E6212F"/>
    <w:rsid w:val="00E622B2"/>
    <w:rsid w:val="00E62381"/>
    <w:rsid w:val="00E62573"/>
    <w:rsid w:val="00E62913"/>
    <w:rsid w:val="00E62A45"/>
    <w:rsid w:val="00E62DF2"/>
    <w:rsid w:val="00E62E0E"/>
    <w:rsid w:val="00E62FC1"/>
    <w:rsid w:val="00E631CC"/>
    <w:rsid w:val="00E63227"/>
    <w:rsid w:val="00E6333A"/>
    <w:rsid w:val="00E633AC"/>
    <w:rsid w:val="00E636B7"/>
    <w:rsid w:val="00E63AA4"/>
    <w:rsid w:val="00E63DC1"/>
    <w:rsid w:val="00E63F3A"/>
    <w:rsid w:val="00E641E8"/>
    <w:rsid w:val="00E6471B"/>
    <w:rsid w:val="00E648B3"/>
    <w:rsid w:val="00E64EDE"/>
    <w:rsid w:val="00E64F5C"/>
    <w:rsid w:val="00E65168"/>
    <w:rsid w:val="00E651D3"/>
    <w:rsid w:val="00E6521B"/>
    <w:rsid w:val="00E65227"/>
    <w:rsid w:val="00E65281"/>
    <w:rsid w:val="00E6578E"/>
    <w:rsid w:val="00E65BA4"/>
    <w:rsid w:val="00E65C32"/>
    <w:rsid w:val="00E65CD8"/>
    <w:rsid w:val="00E6632D"/>
    <w:rsid w:val="00E6639C"/>
    <w:rsid w:val="00E66558"/>
    <w:rsid w:val="00E665DF"/>
    <w:rsid w:val="00E66767"/>
    <w:rsid w:val="00E667BA"/>
    <w:rsid w:val="00E66827"/>
    <w:rsid w:val="00E6693C"/>
    <w:rsid w:val="00E66C22"/>
    <w:rsid w:val="00E66C8A"/>
    <w:rsid w:val="00E66CB6"/>
    <w:rsid w:val="00E66CC0"/>
    <w:rsid w:val="00E66D2B"/>
    <w:rsid w:val="00E67062"/>
    <w:rsid w:val="00E67135"/>
    <w:rsid w:val="00E67206"/>
    <w:rsid w:val="00E67703"/>
    <w:rsid w:val="00E6781F"/>
    <w:rsid w:val="00E67D45"/>
    <w:rsid w:val="00E67D82"/>
    <w:rsid w:val="00E67DC7"/>
    <w:rsid w:val="00E7004B"/>
    <w:rsid w:val="00E702D6"/>
    <w:rsid w:val="00E70390"/>
    <w:rsid w:val="00E70700"/>
    <w:rsid w:val="00E708DB"/>
    <w:rsid w:val="00E70912"/>
    <w:rsid w:val="00E70A05"/>
    <w:rsid w:val="00E70A4D"/>
    <w:rsid w:val="00E70B71"/>
    <w:rsid w:val="00E70E1A"/>
    <w:rsid w:val="00E70EF9"/>
    <w:rsid w:val="00E71340"/>
    <w:rsid w:val="00E71735"/>
    <w:rsid w:val="00E7180C"/>
    <w:rsid w:val="00E71A10"/>
    <w:rsid w:val="00E71B0F"/>
    <w:rsid w:val="00E71BB6"/>
    <w:rsid w:val="00E71D23"/>
    <w:rsid w:val="00E71DA1"/>
    <w:rsid w:val="00E71DA9"/>
    <w:rsid w:val="00E71DD0"/>
    <w:rsid w:val="00E71EF5"/>
    <w:rsid w:val="00E720AC"/>
    <w:rsid w:val="00E721A0"/>
    <w:rsid w:val="00E725FB"/>
    <w:rsid w:val="00E726BD"/>
    <w:rsid w:val="00E72752"/>
    <w:rsid w:val="00E72812"/>
    <w:rsid w:val="00E72E81"/>
    <w:rsid w:val="00E72F12"/>
    <w:rsid w:val="00E7304C"/>
    <w:rsid w:val="00E7328E"/>
    <w:rsid w:val="00E733D4"/>
    <w:rsid w:val="00E736C1"/>
    <w:rsid w:val="00E73E23"/>
    <w:rsid w:val="00E73E9F"/>
    <w:rsid w:val="00E7414B"/>
    <w:rsid w:val="00E74432"/>
    <w:rsid w:val="00E744A2"/>
    <w:rsid w:val="00E74B5E"/>
    <w:rsid w:val="00E74C61"/>
    <w:rsid w:val="00E75417"/>
    <w:rsid w:val="00E754FC"/>
    <w:rsid w:val="00E755B9"/>
    <w:rsid w:val="00E7588A"/>
    <w:rsid w:val="00E7593D"/>
    <w:rsid w:val="00E75957"/>
    <w:rsid w:val="00E759DA"/>
    <w:rsid w:val="00E759FB"/>
    <w:rsid w:val="00E75AB8"/>
    <w:rsid w:val="00E75E85"/>
    <w:rsid w:val="00E7617A"/>
    <w:rsid w:val="00E761C8"/>
    <w:rsid w:val="00E76263"/>
    <w:rsid w:val="00E762EB"/>
    <w:rsid w:val="00E76390"/>
    <w:rsid w:val="00E76662"/>
    <w:rsid w:val="00E76B4F"/>
    <w:rsid w:val="00E76F6C"/>
    <w:rsid w:val="00E77258"/>
    <w:rsid w:val="00E7767B"/>
    <w:rsid w:val="00E7771C"/>
    <w:rsid w:val="00E77C99"/>
    <w:rsid w:val="00E8027C"/>
    <w:rsid w:val="00E80BA6"/>
    <w:rsid w:val="00E80C1C"/>
    <w:rsid w:val="00E80C2B"/>
    <w:rsid w:val="00E80DD3"/>
    <w:rsid w:val="00E80FB6"/>
    <w:rsid w:val="00E8115D"/>
    <w:rsid w:val="00E81593"/>
    <w:rsid w:val="00E8169D"/>
    <w:rsid w:val="00E81797"/>
    <w:rsid w:val="00E81865"/>
    <w:rsid w:val="00E819D6"/>
    <w:rsid w:val="00E81A46"/>
    <w:rsid w:val="00E822B0"/>
    <w:rsid w:val="00E82460"/>
    <w:rsid w:val="00E8264E"/>
    <w:rsid w:val="00E82711"/>
    <w:rsid w:val="00E82713"/>
    <w:rsid w:val="00E82A76"/>
    <w:rsid w:val="00E82C26"/>
    <w:rsid w:val="00E82CBE"/>
    <w:rsid w:val="00E832F9"/>
    <w:rsid w:val="00E83345"/>
    <w:rsid w:val="00E838AC"/>
    <w:rsid w:val="00E83DBB"/>
    <w:rsid w:val="00E844FC"/>
    <w:rsid w:val="00E8450D"/>
    <w:rsid w:val="00E847F1"/>
    <w:rsid w:val="00E84862"/>
    <w:rsid w:val="00E848D2"/>
    <w:rsid w:val="00E849FF"/>
    <w:rsid w:val="00E84B9D"/>
    <w:rsid w:val="00E84D7D"/>
    <w:rsid w:val="00E84F6B"/>
    <w:rsid w:val="00E84F98"/>
    <w:rsid w:val="00E8514B"/>
    <w:rsid w:val="00E855D8"/>
    <w:rsid w:val="00E85818"/>
    <w:rsid w:val="00E85E8A"/>
    <w:rsid w:val="00E8620D"/>
    <w:rsid w:val="00E86B86"/>
    <w:rsid w:val="00E86BD7"/>
    <w:rsid w:val="00E86C71"/>
    <w:rsid w:val="00E86CD8"/>
    <w:rsid w:val="00E872AB"/>
    <w:rsid w:val="00E87704"/>
    <w:rsid w:val="00E877C8"/>
    <w:rsid w:val="00E8786F"/>
    <w:rsid w:val="00E8789E"/>
    <w:rsid w:val="00E87A99"/>
    <w:rsid w:val="00E87DE7"/>
    <w:rsid w:val="00E9001C"/>
    <w:rsid w:val="00E90381"/>
    <w:rsid w:val="00E9043F"/>
    <w:rsid w:val="00E9048A"/>
    <w:rsid w:val="00E904A8"/>
    <w:rsid w:val="00E904FE"/>
    <w:rsid w:val="00E9064D"/>
    <w:rsid w:val="00E9071A"/>
    <w:rsid w:val="00E908FE"/>
    <w:rsid w:val="00E90A79"/>
    <w:rsid w:val="00E90BED"/>
    <w:rsid w:val="00E90DFD"/>
    <w:rsid w:val="00E90E2C"/>
    <w:rsid w:val="00E91201"/>
    <w:rsid w:val="00E913EA"/>
    <w:rsid w:val="00E9162A"/>
    <w:rsid w:val="00E91793"/>
    <w:rsid w:val="00E918B3"/>
    <w:rsid w:val="00E91900"/>
    <w:rsid w:val="00E91E19"/>
    <w:rsid w:val="00E91EFE"/>
    <w:rsid w:val="00E92238"/>
    <w:rsid w:val="00E92500"/>
    <w:rsid w:val="00E927BC"/>
    <w:rsid w:val="00E929BB"/>
    <w:rsid w:val="00E92DE8"/>
    <w:rsid w:val="00E93031"/>
    <w:rsid w:val="00E930C9"/>
    <w:rsid w:val="00E93224"/>
    <w:rsid w:val="00E93364"/>
    <w:rsid w:val="00E93807"/>
    <w:rsid w:val="00E93C55"/>
    <w:rsid w:val="00E93EDF"/>
    <w:rsid w:val="00E93FC8"/>
    <w:rsid w:val="00E9445E"/>
    <w:rsid w:val="00E945C3"/>
    <w:rsid w:val="00E946AE"/>
    <w:rsid w:val="00E947C7"/>
    <w:rsid w:val="00E948AB"/>
    <w:rsid w:val="00E9492B"/>
    <w:rsid w:val="00E94D5F"/>
    <w:rsid w:val="00E950DD"/>
    <w:rsid w:val="00E95118"/>
    <w:rsid w:val="00E95618"/>
    <w:rsid w:val="00E9566D"/>
    <w:rsid w:val="00E95A3B"/>
    <w:rsid w:val="00E95AD0"/>
    <w:rsid w:val="00E95C84"/>
    <w:rsid w:val="00E95FFB"/>
    <w:rsid w:val="00E96184"/>
    <w:rsid w:val="00E9624C"/>
    <w:rsid w:val="00E962DF"/>
    <w:rsid w:val="00E96390"/>
    <w:rsid w:val="00E96479"/>
    <w:rsid w:val="00E964F6"/>
    <w:rsid w:val="00E966BE"/>
    <w:rsid w:val="00E96705"/>
    <w:rsid w:val="00E9672A"/>
    <w:rsid w:val="00E96785"/>
    <w:rsid w:val="00E971D1"/>
    <w:rsid w:val="00E975FC"/>
    <w:rsid w:val="00E97758"/>
    <w:rsid w:val="00E97770"/>
    <w:rsid w:val="00E97C1F"/>
    <w:rsid w:val="00E97D32"/>
    <w:rsid w:val="00EA0356"/>
    <w:rsid w:val="00EA0414"/>
    <w:rsid w:val="00EA06C1"/>
    <w:rsid w:val="00EA07F7"/>
    <w:rsid w:val="00EA0A9F"/>
    <w:rsid w:val="00EA0CDB"/>
    <w:rsid w:val="00EA15CD"/>
    <w:rsid w:val="00EA1798"/>
    <w:rsid w:val="00EA19D9"/>
    <w:rsid w:val="00EA1A0A"/>
    <w:rsid w:val="00EA1A42"/>
    <w:rsid w:val="00EA1CD0"/>
    <w:rsid w:val="00EA1D5A"/>
    <w:rsid w:val="00EA1D66"/>
    <w:rsid w:val="00EA1F55"/>
    <w:rsid w:val="00EA21BA"/>
    <w:rsid w:val="00EA2315"/>
    <w:rsid w:val="00EA2583"/>
    <w:rsid w:val="00EA2619"/>
    <w:rsid w:val="00EA2707"/>
    <w:rsid w:val="00EA285A"/>
    <w:rsid w:val="00EA2884"/>
    <w:rsid w:val="00EA28B2"/>
    <w:rsid w:val="00EA2A1E"/>
    <w:rsid w:val="00EA2EFF"/>
    <w:rsid w:val="00EA3078"/>
    <w:rsid w:val="00EA32F0"/>
    <w:rsid w:val="00EA332F"/>
    <w:rsid w:val="00EA33CE"/>
    <w:rsid w:val="00EA3459"/>
    <w:rsid w:val="00EA3902"/>
    <w:rsid w:val="00EA3AF6"/>
    <w:rsid w:val="00EA3B85"/>
    <w:rsid w:val="00EA3DBF"/>
    <w:rsid w:val="00EA3E13"/>
    <w:rsid w:val="00EA3F18"/>
    <w:rsid w:val="00EA3F20"/>
    <w:rsid w:val="00EA40D8"/>
    <w:rsid w:val="00EA4227"/>
    <w:rsid w:val="00EA442D"/>
    <w:rsid w:val="00EA457F"/>
    <w:rsid w:val="00EA4653"/>
    <w:rsid w:val="00EA480E"/>
    <w:rsid w:val="00EA4C3C"/>
    <w:rsid w:val="00EA4C71"/>
    <w:rsid w:val="00EA4FE2"/>
    <w:rsid w:val="00EA52ED"/>
    <w:rsid w:val="00EA5891"/>
    <w:rsid w:val="00EA5949"/>
    <w:rsid w:val="00EA599A"/>
    <w:rsid w:val="00EA63BC"/>
    <w:rsid w:val="00EA654D"/>
    <w:rsid w:val="00EA690D"/>
    <w:rsid w:val="00EA6994"/>
    <w:rsid w:val="00EA6A1E"/>
    <w:rsid w:val="00EA6D86"/>
    <w:rsid w:val="00EA6D8D"/>
    <w:rsid w:val="00EA72C6"/>
    <w:rsid w:val="00EA7697"/>
    <w:rsid w:val="00EA7755"/>
    <w:rsid w:val="00EA77C7"/>
    <w:rsid w:val="00EA7820"/>
    <w:rsid w:val="00EA7D48"/>
    <w:rsid w:val="00EA7E09"/>
    <w:rsid w:val="00EB0124"/>
    <w:rsid w:val="00EB0259"/>
    <w:rsid w:val="00EB02EC"/>
    <w:rsid w:val="00EB0645"/>
    <w:rsid w:val="00EB0775"/>
    <w:rsid w:val="00EB07A4"/>
    <w:rsid w:val="00EB0B3E"/>
    <w:rsid w:val="00EB0C43"/>
    <w:rsid w:val="00EB0FB8"/>
    <w:rsid w:val="00EB1026"/>
    <w:rsid w:val="00EB103F"/>
    <w:rsid w:val="00EB115B"/>
    <w:rsid w:val="00EB134C"/>
    <w:rsid w:val="00EB1660"/>
    <w:rsid w:val="00EB1A36"/>
    <w:rsid w:val="00EB1BBD"/>
    <w:rsid w:val="00EB1D4B"/>
    <w:rsid w:val="00EB1EE6"/>
    <w:rsid w:val="00EB1F3D"/>
    <w:rsid w:val="00EB2217"/>
    <w:rsid w:val="00EB236F"/>
    <w:rsid w:val="00EB2372"/>
    <w:rsid w:val="00EB26DF"/>
    <w:rsid w:val="00EB270E"/>
    <w:rsid w:val="00EB274C"/>
    <w:rsid w:val="00EB2816"/>
    <w:rsid w:val="00EB2976"/>
    <w:rsid w:val="00EB2BB1"/>
    <w:rsid w:val="00EB2E59"/>
    <w:rsid w:val="00EB2FCF"/>
    <w:rsid w:val="00EB32BD"/>
    <w:rsid w:val="00EB365B"/>
    <w:rsid w:val="00EB41A8"/>
    <w:rsid w:val="00EB429F"/>
    <w:rsid w:val="00EB4335"/>
    <w:rsid w:val="00EB44D2"/>
    <w:rsid w:val="00EB45D7"/>
    <w:rsid w:val="00EB4789"/>
    <w:rsid w:val="00EB49A8"/>
    <w:rsid w:val="00EB4A99"/>
    <w:rsid w:val="00EB4B8E"/>
    <w:rsid w:val="00EB5382"/>
    <w:rsid w:val="00EB5505"/>
    <w:rsid w:val="00EB571D"/>
    <w:rsid w:val="00EB579B"/>
    <w:rsid w:val="00EB57B9"/>
    <w:rsid w:val="00EB582A"/>
    <w:rsid w:val="00EB5F44"/>
    <w:rsid w:val="00EB5FFA"/>
    <w:rsid w:val="00EB6076"/>
    <w:rsid w:val="00EB683B"/>
    <w:rsid w:val="00EB6903"/>
    <w:rsid w:val="00EB6A35"/>
    <w:rsid w:val="00EB6EC0"/>
    <w:rsid w:val="00EB6F51"/>
    <w:rsid w:val="00EB7005"/>
    <w:rsid w:val="00EB7150"/>
    <w:rsid w:val="00EB75E6"/>
    <w:rsid w:val="00EB7880"/>
    <w:rsid w:val="00EB7A8D"/>
    <w:rsid w:val="00EB7B9F"/>
    <w:rsid w:val="00EB7C12"/>
    <w:rsid w:val="00EB7C2F"/>
    <w:rsid w:val="00EB7DE0"/>
    <w:rsid w:val="00EB7F6A"/>
    <w:rsid w:val="00EC01BD"/>
    <w:rsid w:val="00EC02FA"/>
    <w:rsid w:val="00EC048E"/>
    <w:rsid w:val="00EC04E6"/>
    <w:rsid w:val="00EC0538"/>
    <w:rsid w:val="00EC083E"/>
    <w:rsid w:val="00EC0A28"/>
    <w:rsid w:val="00EC0EC1"/>
    <w:rsid w:val="00EC0ED2"/>
    <w:rsid w:val="00EC1077"/>
    <w:rsid w:val="00EC1208"/>
    <w:rsid w:val="00EC1264"/>
    <w:rsid w:val="00EC1439"/>
    <w:rsid w:val="00EC1440"/>
    <w:rsid w:val="00EC17A2"/>
    <w:rsid w:val="00EC1A32"/>
    <w:rsid w:val="00EC1E80"/>
    <w:rsid w:val="00EC20AB"/>
    <w:rsid w:val="00EC211A"/>
    <w:rsid w:val="00EC22AD"/>
    <w:rsid w:val="00EC23F0"/>
    <w:rsid w:val="00EC2595"/>
    <w:rsid w:val="00EC2648"/>
    <w:rsid w:val="00EC27F6"/>
    <w:rsid w:val="00EC2941"/>
    <w:rsid w:val="00EC2D41"/>
    <w:rsid w:val="00EC3254"/>
    <w:rsid w:val="00EC32C6"/>
    <w:rsid w:val="00EC3300"/>
    <w:rsid w:val="00EC35FD"/>
    <w:rsid w:val="00EC3700"/>
    <w:rsid w:val="00EC37B3"/>
    <w:rsid w:val="00EC3F23"/>
    <w:rsid w:val="00EC412E"/>
    <w:rsid w:val="00EC4197"/>
    <w:rsid w:val="00EC456A"/>
    <w:rsid w:val="00EC47D9"/>
    <w:rsid w:val="00EC4B3A"/>
    <w:rsid w:val="00EC4B88"/>
    <w:rsid w:val="00EC4EC1"/>
    <w:rsid w:val="00EC4FAA"/>
    <w:rsid w:val="00EC5029"/>
    <w:rsid w:val="00EC50AC"/>
    <w:rsid w:val="00EC513A"/>
    <w:rsid w:val="00EC5305"/>
    <w:rsid w:val="00EC584B"/>
    <w:rsid w:val="00EC59F3"/>
    <w:rsid w:val="00EC5CD9"/>
    <w:rsid w:val="00EC5DB7"/>
    <w:rsid w:val="00EC5E68"/>
    <w:rsid w:val="00EC5F00"/>
    <w:rsid w:val="00EC6012"/>
    <w:rsid w:val="00EC68CF"/>
    <w:rsid w:val="00EC6956"/>
    <w:rsid w:val="00EC6975"/>
    <w:rsid w:val="00EC6A2F"/>
    <w:rsid w:val="00EC6CDA"/>
    <w:rsid w:val="00EC7595"/>
    <w:rsid w:val="00EC75A4"/>
    <w:rsid w:val="00EC75BF"/>
    <w:rsid w:val="00EC7844"/>
    <w:rsid w:val="00EC788F"/>
    <w:rsid w:val="00EC7ACC"/>
    <w:rsid w:val="00EC7B4C"/>
    <w:rsid w:val="00EC7BA9"/>
    <w:rsid w:val="00EC7C49"/>
    <w:rsid w:val="00EC7DBF"/>
    <w:rsid w:val="00EC7EBF"/>
    <w:rsid w:val="00ED0553"/>
    <w:rsid w:val="00ED068F"/>
    <w:rsid w:val="00ED0801"/>
    <w:rsid w:val="00ED0927"/>
    <w:rsid w:val="00ED099A"/>
    <w:rsid w:val="00ED0B4A"/>
    <w:rsid w:val="00ED0D23"/>
    <w:rsid w:val="00ED1010"/>
    <w:rsid w:val="00ED1220"/>
    <w:rsid w:val="00ED14D6"/>
    <w:rsid w:val="00ED161C"/>
    <w:rsid w:val="00ED1842"/>
    <w:rsid w:val="00ED190A"/>
    <w:rsid w:val="00ED21C1"/>
    <w:rsid w:val="00ED22FB"/>
    <w:rsid w:val="00ED267D"/>
    <w:rsid w:val="00ED2896"/>
    <w:rsid w:val="00ED2DBB"/>
    <w:rsid w:val="00ED2F59"/>
    <w:rsid w:val="00ED3072"/>
    <w:rsid w:val="00ED33B3"/>
    <w:rsid w:val="00ED344A"/>
    <w:rsid w:val="00ED358D"/>
    <w:rsid w:val="00ED35B9"/>
    <w:rsid w:val="00ED375C"/>
    <w:rsid w:val="00ED37E2"/>
    <w:rsid w:val="00ED3A01"/>
    <w:rsid w:val="00ED3C99"/>
    <w:rsid w:val="00ED3CEE"/>
    <w:rsid w:val="00ED3CFC"/>
    <w:rsid w:val="00ED3FF7"/>
    <w:rsid w:val="00ED42C4"/>
    <w:rsid w:val="00ED435E"/>
    <w:rsid w:val="00ED4543"/>
    <w:rsid w:val="00ED4568"/>
    <w:rsid w:val="00ED4628"/>
    <w:rsid w:val="00ED477A"/>
    <w:rsid w:val="00ED4818"/>
    <w:rsid w:val="00ED487C"/>
    <w:rsid w:val="00ED48EE"/>
    <w:rsid w:val="00ED4E8F"/>
    <w:rsid w:val="00ED4FED"/>
    <w:rsid w:val="00ED59C2"/>
    <w:rsid w:val="00ED5AC5"/>
    <w:rsid w:val="00ED5EEA"/>
    <w:rsid w:val="00ED5F65"/>
    <w:rsid w:val="00ED6354"/>
    <w:rsid w:val="00ED63E0"/>
    <w:rsid w:val="00ED67B4"/>
    <w:rsid w:val="00ED6CA5"/>
    <w:rsid w:val="00ED6CCF"/>
    <w:rsid w:val="00ED6FA6"/>
    <w:rsid w:val="00ED6FAF"/>
    <w:rsid w:val="00ED70CA"/>
    <w:rsid w:val="00ED7333"/>
    <w:rsid w:val="00ED7348"/>
    <w:rsid w:val="00EE02FB"/>
    <w:rsid w:val="00EE0642"/>
    <w:rsid w:val="00EE088D"/>
    <w:rsid w:val="00EE093E"/>
    <w:rsid w:val="00EE0A98"/>
    <w:rsid w:val="00EE0C05"/>
    <w:rsid w:val="00EE0E02"/>
    <w:rsid w:val="00EE0E32"/>
    <w:rsid w:val="00EE0E3A"/>
    <w:rsid w:val="00EE15AD"/>
    <w:rsid w:val="00EE1898"/>
    <w:rsid w:val="00EE1A09"/>
    <w:rsid w:val="00EE1CF0"/>
    <w:rsid w:val="00EE1FA6"/>
    <w:rsid w:val="00EE1FDC"/>
    <w:rsid w:val="00EE2474"/>
    <w:rsid w:val="00EE2626"/>
    <w:rsid w:val="00EE2B3E"/>
    <w:rsid w:val="00EE2C2B"/>
    <w:rsid w:val="00EE2C51"/>
    <w:rsid w:val="00EE2D8C"/>
    <w:rsid w:val="00EE2EA9"/>
    <w:rsid w:val="00EE2F52"/>
    <w:rsid w:val="00EE3323"/>
    <w:rsid w:val="00EE33C2"/>
    <w:rsid w:val="00EE37A4"/>
    <w:rsid w:val="00EE39F8"/>
    <w:rsid w:val="00EE3C55"/>
    <w:rsid w:val="00EE3C99"/>
    <w:rsid w:val="00EE4013"/>
    <w:rsid w:val="00EE407F"/>
    <w:rsid w:val="00EE4661"/>
    <w:rsid w:val="00EE4762"/>
    <w:rsid w:val="00EE4897"/>
    <w:rsid w:val="00EE4ACA"/>
    <w:rsid w:val="00EE4BD9"/>
    <w:rsid w:val="00EE4BED"/>
    <w:rsid w:val="00EE4F7A"/>
    <w:rsid w:val="00EE52D9"/>
    <w:rsid w:val="00EE5595"/>
    <w:rsid w:val="00EE5649"/>
    <w:rsid w:val="00EE57DC"/>
    <w:rsid w:val="00EE5AD8"/>
    <w:rsid w:val="00EE5BE4"/>
    <w:rsid w:val="00EE61FC"/>
    <w:rsid w:val="00EE6556"/>
    <w:rsid w:val="00EE676C"/>
    <w:rsid w:val="00EE681E"/>
    <w:rsid w:val="00EE68E4"/>
    <w:rsid w:val="00EE6A16"/>
    <w:rsid w:val="00EE6B11"/>
    <w:rsid w:val="00EE6C31"/>
    <w:rsid w:val="00EE6CDF"/>
    <w:rsid w:val="00EE6EAC"/>
    <w:rsid w:val="00EE705A"/>
    <w:rsid w:val="00EE7573"/>
    <w:rsid w:val="00EE78A4"/>
    <w:rsid w:val="00EE7A28"/>
    <w:rsid w:val="00EE7EDF"/>
    <w:rsid w:val="00EF0036"/>
    <w:rsid w:val="00EF0120"/>
    <w:rsid w:val="00EF01B1"/>
    <w:rsid w:val="00EF03BF"/>
    <w:rsid w:val="00EF04CA"/>
    <w:rsid w:val="00EF05E7"/>
    <w:rsid w:val="00EF0DA2"/>
    <w:rsid w:val="00EF0DD5"/>
    <w:rsid w:val="00EF1009"/>
    <w:rsid w:val="00EF1649"/>
    <w:rsid w:val="00EF1D18"/>
    <w:rsid w:val="00EF1D79"/>
    <w:rsid w:val="00EF1D89"/>
    <w:rsid w:val="00EF1DA0"/>
    <w:rsid w:val="00EF1F94"/>
    <w:rsid w:val="00EF23AB"/>
    <w:rsid w:val="00EF296B"/>
    <w:rsid w:val="00EF2DFC"/>
    <w:rsid w:val="00EF3025"/>
    <w:rsid w:val="00EF32DB"/>
    <w:rsid w:val="00EF33C8"/>
    <w:rsid w:val="00EF36DB"/>
    <w:rsid w:val="00EF3AA9"/>
    <w:rsid w:val="00EF3AE1"/>
    <w:rsid w:val="00EF3BB7"/>
    <w:rsid w:val="00EF3BB8"/>
    <w:rsid w:val="00EF3C69"/>
    <w:rsid w:val="00EF3CDE"/>
    <w:rsid w:val="00EF3D51"/>
    <w:rsid w:val="00EF3E72"/>
    <w:rsid w:val="00EF3F88"/>
    <w:rsid w:val="00EF40C2"/>
    <w:rsid w:val="00EF40DF"/>
    <w:rsid w:val="00EF4366"/>
    <w:rsid w:val="00EF43D2"/>
    <w:rsid w:val="00EF45CE"/>
    <w:rsid w:val="00EF46C7"/>
    <w:rsid w:val="00EF48C3"/>
    <w:rsid w:val="00EF48CD"/>
    <w:rsid w:val="00EF4922"/>
    <w:rsid w:val="00EF4B65"/>
    <w:rsid w:val="00EF4C2D"/>
    <w:rsid w:val="00EF4C56"/>
    <w:rsid w:val="00EF4DCF"/>
    <w:rsid w:val="00EF4E93"/>
    <w:rsid w:val="00EF51E2"/>
    <w:rsid w:val="00EF55E7"/>
    <w:rsid w:val="00EF5615"/>
    <w:rsid w:val="00EF59D9"/>
    <w:rsid w:val="00EF5DE8"/>
    <w:rsid w:val="00EF6266"/>
    <w:rsid w:val="00EF65A5"/>
    <w:rsid w:val="00EF6673"/>
    <w:rsid w:val="00EF688F"/>
    <w:rsid w:val="00EF6B17"/>
    <w:rsid w:val="00EF6B2E"/>
    <w:rsid w:val="00EF6DAB"/>
    <w:rsid w:val="00EF6F60"/>
    <w:rsid w:val="00EF70C1"/>
    <w:rsid w:val="00EF71B7"/>
    <w:rsid w:val="00EF72CF"/>
    <w:rsid w:val="00EF73A6"/>
    <w:rsid w:val="00EF795C"/>
    <w:rsid w:val="00EF7CB4"/>
    <w:rsid w:val="00EF7DF3"/>
    <w:rsid w:val="00EF7F3E"/>
    <w:rsid w:val="00F001F1"/>
    <w:rsid w:val="00F002B7"/>
    <w:rsid w:val="00F00574"/>
    <w:rsid w:val="00F00720"/>
    <w:rsid w:val="00F00836"/>
    <w:rsid w:val="00F00AE2"/>
    <w:rsid w:val="00F00B7E"/>
    <w:rsid w:val="00F00D7F"/>
    <w:rsid w:val="00F00EAD"/>
    <w:rsid w:val="00F00ED1"/>
    <w:rsid w:val="00F012F1"/>
    <w:rsid w:val="00F01418"/>
    <w:rsid w:val="00F01525"/>
    <w:rsid w:val="00F01AAC"/>
    <w:rsid w:val="00F01B86"/>
    <w:rsid w:val="00F01BE8"/>
    <w:rsid w:val="00F021EC"/>
    <w:rsid w:val="00F022B3"/>
    <w:rsid w:val="00F0231F"/>
    <w:rsid w:val="00F02370"/>
    <w:rsid w:val="00F0252E"/>
    <w:rsid w:val="00F02653"/>
    <w:rsid w:val="00F026C5"/>
    <w:rsid w:val="00F02835"/>
    <w:rsid w:val="00F02A45"/>
    <w:rsid w:val="00F02AAC"/>
    <w:rsid w:val="00F02B6D"/>
    <w:rsid w:val="00F02B84"/>
    <w:rsid w:val="00F02C9C"/>
    <w:rsid w:val="00F02D80"/>
    <w:rsid w:val="00F02FE8"/>
    <w:rsid w:val="00F03118"/>
    <w:rsid w:val="00F03551"/>
    <w:rsid w:val="00F03784"/>
    <w:rsid w:val="00F0390F"/>
    <w:rsid w:val="00F0395A"/>
    <w:rsid w:val="00F03CE9"/>
    <w:rsid w:val="00F03F58"/>
    <w:rsid w:val="00F040B1"/>
    <w:rsid w:val="00F040C0"/>
    <w:rsid w:val="00F04199"/>
    <w:rsid w:val="00F042B3"/>
    <w:rsid w:val="00F044D4"/>
    <w:rsid w:val="00F04592"/>
    <w:rsid w:val="00F04719"/>
    <w:rsid w:val="00F048C4"/>
    <w:rsid w:val="00F04B50"/>
    <w:rsid w:val="00F04BBA"/>
    <w:rsid w:val="00F04F29"/>
    <w:rsid w:val="00F04FC8"/>
    <w:rsid w:val="00F050CB"/>
    <w:rsid w:val="00F056FA"/>
    <w:rsid w:val="00F05703"/>
    <w:rsid w:val="00F058AA"/>
    <w:rsid w:val="00F05AAE"/>
    <w:rsid w:val="00F05ABF"/>
    <w:rsid w:val="00F05B65"/>
    <w:rsid w:val="00F05DEC"/>
    <w:rsid w:val="00F06121"/>
    <w:rsid w:val="00F06302"/>
    <w:rsid w:val="00F0641F"/>
    <w:rsid w:val="00F06517"/>
    <w:rsid w:val="00F068C9"/>
    <w:rsid w:val="00F06A0F"/>
    <w:rsid w:val="00F06AB7"/>
    <w:rsid w:val="00F06CD8"/>
    <w:rsid w:val="00F06D00"/>
    <w:rsid w:val="00F07068"/>
    <w:rsid w:val="00F073DF"/>
    <w:rsid w:val="00F07837"/>
    <w:rsid w:val="00F07903"/>
    <w:rsid w:val="00F07EE8"/>
    <w:rsid w:val="00F10218"/>
    <w:rsid w:val="00F1044B"/>
    <w:rsid w:val="00F1083D"/>
    <w:rsid w:val="00F10A93"/>
    <w:rsid w:val="00F10ACE"/>
    <w:rsid w:val="00F10BAA"/>
    <w:rsid w:val="00F10E52"/>
    <w:rsid w:val="00F1106C"/>
    <w:rsid w:val="00F11098"/>
    <w:rsid w:val="00F110E8"/>
    <w:rsid w:val="00F1130A"/>
    <w:rsid w:val="00F1154A"/>
    <w:rsid w:val="00F119AA"/>
    <w:rsid w:val="00F119C7"/>
    <w:rsid w:val="00F11EBA"/>
    <w:rsid w:val="00F11F73"/>
    <w:rsid w:val="00F120CA"/>
    <w:rsid w:val="00F128F0"/>
    <w:rsid w:val="00F129A9"/>
    <w:rsid w:val="00F12AC6"/>
    <w:rsid w:val="00F12C8E"/>
    <w:rsid w:val="00F12DD9"/>
    <w:rsid w:val="00F12E38"/>
    <w:rsid w:val="00F12E99"/>
    <w:rsid w:val="00F13009"/>
    <w:rsid w:val="00F1393D"/>
    <w:rsid w:val="00F13A7D"/>
    <w:rsid w:val="00F13A8D"/>
    <w:rsid w:val="00F13B72"/>
    <w:rsid w:val="00F14398"/>
    <w:rsid w:val="00F1439C"/>
    <w:rsid w:val="00F144A0"/>
    <w:rsid w:val="00F14705"/>
    <w:rsid w:val="00F147BC"/>
    <w:rsid w:val="00F14831"/>
    <w:rsid w:val="00F14A26"/>
    <w:rsid w:val="00F14A8F"/>
    <w:rsid w:val="00F14B3C"/>
    <w:rsid w:val="00F14BF8"/>
    <w:rsid w:val="00F14D1F"/>
    <w:rsid w:val="00F14EED"/>
    <w:rsid w:val="00F15123"/>
    <w:rsid w:val="00F15135"/>
    <w:rsid w:val="00F15256"/>
    <w:rsid w:val="00F15398"/>
    <w:rsid w:val="00F155C4"/>
    <w:rsid w:val="00F15602"/>
    <w:rsid w:val="00F156A7"/>
    <w:rsid w:val="00F158E5"/>
    <w:rsid w:val="00F15A65"/>
    <w:rsid w:val="00F15AD0"/>
    <w:rsid w:val="00F15FD7"/>
    <w:rsid w:val="00F16200"/>
    <w:rsid w:val="00F16590"/>
    <w:rsid w:val="00F167A4"/>
    <w:rsid w:val="00F16CAC"/>
    <w:rsid w:val="00F16CDD"/>
    <w:rsid w:val="00F16CE8"/>
    <w:rsid w:val="00F16D07"/>
    <w:rsid w:val="00F16EEC"/>
    <w:rsid w:val="00F170C3"/>
    <w:rsid w:val="00F1733D"/>
    <w:rsid w:val="00F174FE"/>
    <w:rsid w:val="00F1759C"/>
    <w:rsid w:val="00F177B6"/>
    <w:rsid w:val="00F17F76"/>
    <w:rsid w:val="00F17FE6"/>
    <w:rsid w:val="00F2002C"/>
    <w:rsid w:val="00F20766"/>
    <w:rsid w:val="00F208CB"/>
    <w:rsid w:val="00F20CDC"/>
    <w:rsid w:val="00F20CFA"/>
    <w:rsid w:val="00F20DE0"/>
    <w:rsid w:val="00F210C6"/>
    <w:rsid w:val="00F2110B"/>
    <w:rsid w:val="00F2140B"/>
    <w:rsid w:val="00F215AB"/>
    <w:rsid w:val="00F215CE"/>
    <w:rsid w:val="00F215F5"/>
    <w:rsid w:val="00F2182E"/>
    <w:rsid w:val="00F21906"/>
    <w:rsid w:val="00F21BD8"/>
    <w:rsid w:val="00F21CAC"/>
    <w:rsid w:val="00F21D41"/>
    <w:rsid w:val="00F220D2"/>
    <w:rsid w:val="00F221B2"/>
    <w:rsid w:val="00F225CC"/>
    <w:rsid w:val="00F226D2"/>
    <w:rsid w:val="00F2277F"/>
    <w:rsid w:val="00F22A73"/>
    <w:rsid w:val="00F22C0B"/>
    <w:rsid w:val="00F22E8F"/>
    <w:rsid w:val="00F23255"/>
    <w:rsid w:val="00F233D2"/>
    <w:rsid w:val="00F23486"/>
    <w:rsid w:val="00F235DF"/>
    <w:rsid w:val="00F23C27"/>
    <w:rsid w:val="00F23EB2"/>
    <w:rsid w:val="00F242CD"/>
    <w:rsid w:val="00F244FE"/>
    <w:rsid w:val="00F24524"/>
    <w:rsid w:val="00F2469B"/>
    <w:rsid w:val="00F24744"/>
    <w:rsid w:val="00F24844"/>
    <w:rsid w:val="00F2489C"/>
    <w:rsid w:val="00F249B1"/>
    <w:rsid w:val="00F24D13"/>
    <w:rsid w:val="00F24E52"/>
    <w:rsid w:val="00F24FB2"/>
    <w:rsid w:val="00F24FE3"/>
    <w:rsid w:val="00F25146"/>
    <w:rsid w:val="00F253D3"/>
    <w:rsid w:val="00F254A8"/>
    <w:rsid w:val="00F255A7"/>
    <w:rsid w:val="00F256EB"/>
    <w:rsid w:val="00F25734"/>
    <w:rsid w:val="00F257EF"/>
    <w:rsid w:val="00F25B17"/>
    <w:rsid w:val="00F25C13"/>
    <w:rsid w:val="00F25CA5"/>
    <w:rsid w:val="00F25D07"/>
    <w:rsid w:val="00F25DC5"/>
    <w:rsid w:val="00F25E4A"/>
    <w:rsid w:val="00F25E50"/>
    <w:rsid w:val="00F2668E"/>
    <w:rsid w:val="00F26712"/>
    <w:rsid w:val="00F267B5"/>
    <w:rsid w:val="00F26804"/>
    <w:rsid w:val="00F26922"/>
    <w:rsid w:val="00F26A94"/>
    <w:rsid w:val="00F26EAD"/>
    <w:rsid w:val="00F27377"/>
    <w:rsid w:val="00F27559"/>
    <w:rsid w:val="00F27C61"/>
    <w:rsid w:val="00F27EC6"/>
    <w:rsid w:val="00F30829"/>
    <w:rsid w:val="00F308C4"/>
    <w:rsid w:val="00F30C4F"/>
    <w:rsid w:val="00F3100B"/>
    <w:rsid w:val="00F310CE"/>
    <w:rsid w:val="00F314F0"/>
    <w:rsid w:val="00F31705"/>
    <w:rsid w:val="00F3191E"/>
    <w:rsid w:val="00F31AF3"/>
    <w:rsid w:val="00F31BD0"/>
    <w:rsid w:val="00F31C1E"/>
    <w:rsid w:val="00F31F25"/>
    <w:rsid w:val="00F320CA"/>
    <w:rsid w:val="00F32142"/>
    <w:rsid w:val="00F326A6"/>
    <w:rsid w:val="00F32794"/>
    <w:rsid w:val="00F3286B"/>
    <w:rsid w:val="00F32A89"/>
    <w:rsid w:val="00F32AEF"/>
    <w:rsid w:val="00F32B14"/>
    <w:rsid w:val="00F32DD7"/>
    <w:rsid w:val="00F33037"/>
    <w:rsid w:val="00F331A9"/>
    <w:rsid w:val="00F3353C"/>
    <w:rsid w:val="00F335BD"/>
    <w:rsid w:val="00F3375C"/>
    <w:rsid w:val="00F33891"/>
    <w:rsid w:val="00F338FB"/>
    <w:rsid w:val="00F33AC4"/>
    <w:rsid w:val="00F33B71"/>
    <w:rsid w:val="00F33BA7"/>
    <w:rsid w:val="00F33D2E"/>
    <w:rsid w:val="00F33F75"/>
    <w:rsid w:val="00F342B3"/>
    <w:rsid w:val="00F343FF"/>
    <w:rsid w:val="00F3445D"/>
    <w:rsid w:val="00F34492"/>
    <w:rsid w:val="00F34808"/>
    <w:rsid w:val="00F34836"/>
    <w:rsid w:val="00F349D7"/>
    <w:rsid w:val="00F34DB5"/>
    <w:rsid w:val="00F34E85"/>
    <w:rsid w:val="00F34EE3"/>
    <w:rsid w:val="00F34F22"/>
    <w:rsid w:val="00F34FD8"/>
    <w:rsid w:val="00F35182"/>
    <w:rsid w:val="00F35214"/>
    <w:rsid w:val="00F3533B"/>
    <w:rsid w:val="00F354E1"/>
    <w:rsid w:val="00F35596"/>
    <w:rsid w:val="00F356C2"/>
    <w:rsid w:val="00F3597B"/>
    <w:rsid w:val="00F35C00"/>
    <w:rsid w:val="00F35D51"/>
    <w:rsid w:val="00F35E10"/>
    <w:rsid w:val="00F35FBC"/>
    <w:rsid w:val="00F361C9"/>
    <w:rsid w:val="00F3669F"/>
    <w:rsid w:val="00F36952"/>
    <w:rsid w:val="00F36A4E"/>
    <w:rsid w:val="00F36C83"/>
    <w:rsid w:val="00F37396"/>
    <w:rsid w:val="00F376CE"/>
    <w:rsid w:val="00F377F9"/>
    <w:rsid w:val="00F37F6D"/>
    <w:rsid w:val="00F37FE5"/>
    <w:rsid w:val="00F4003E"/>
    <w:rsid w:val="00F400D0"/>
    <w:rsid w:val="00F40105"/>
    <w:rsid w:val="00F4015E"/>
    <w:rsid w:val="00F40363"/>
    <w:rsid w:val="00F40771"/>
    <w:rsid w:val="00F40AA7"/>
    <w:rsid w:val="00F40C92"/>
    <w:rsid w:val="00F40DB0"/>
    <w:rsid w:val="00F41025"/>
    <w:rsid w:val="00F41333"/>
    <w:rsid w:val="00F41928"/>
    <w:rsid w:val="00F41A65"/>
    <w:rsid w:val="00F41AAD"/>
    <w:rsid w:val="00F41B4D"/>
    <w:rsid w:val="00F41DE9"/>
    <w:rsid w:val="00F41EAF"/>
    <w:rsid w:val="00F421A5"/>
    <w:rsid w:val="00F421C7"/>
    <w:rsid w:val="00F422B4"/>
    <w:rsid w:val="00F425E1"/>
    <w:rsid w:val="00F42F29"/>
    <w:rsid w:val="00F430BF"/>
    <w:rsid w:val="00F43162"/>
    <w:rsid w:val="00F432DA"/>
    <w:rsid w:val="00F432FF"/>
    <w:rsid w:val="00F4398B"/>
    <w:rsid w:val="00F43A31"/>
    <w:rsid w:val="00F43D1A"/>
    <w:rsid w:val="00F43DA9"/>
    <w:rsid w:val="00F43EBC"/>
    <w:rsid w:val="00F444B8"/>
    <w:rsid w:val="00F44628"/>
    <w:rsid w:val="00F446CE"/>
    <w:rsid w:val="00F44784"/>
    <w:rsid w:val="00F448C7"/>
    <w:rsid w:val="00F44B73"/>
    <w:rsid w:val="00F44E16"/>
    <w:rsid w:val="00F44E1B"/>
    <w:rsid w:val="00F44F17"/>
    <w:rsid w:val="00F455D1"/>
    <w:rsid w:val="00F456BA"/>
    <w:rsid w:val="00F4587F"/>
    <w:rsid w:val="00F45895"/>
    <w:rsid w:val="00F45A67"/>
    <w:rsid w:val="00F45DE8"/>
    <w:rsid w:val="00F45DF6"/>
    <w:rsid w:val="00F45E31"/>
    <w:rsid w:val="00F46028"/>
    <w:rsid w:val="00F46319"/>
    <w:rsid w:val="00F46321"/>
    <w:rsid w:val="00F464C6"/>
    <w:rsid w:val="00F4653C"/>
    <w:rsid w:val="00F465A4"/>
    <w:rsid w:val="00F4663E"/>
    <w:rsid w:val="00F4704F"/>
    <w:rsid w:val="00F472C5"/>
    <w:rsid w:val="00F4759A"/>
    <w:rsid w:val="00F47623"/>
    <w:rsid w:val="00F47684"/>
    <w:rsid w:val="00F47847"/>
    <w:rsid w:val="00F47B5B"/>
    <w:rsid w:val="00F47C81"/>
    <w:rsid w:val="00F47DB1"/>
    <w:rsid w:val="00F47F7A"/>
    <w:rsid w:val="00F50188"/>
    <w:rsid w:val="00F50490"/>
    <w:rsid w:val="00F506C5"/>
    <w:rsid w:val="00F50B23"/>
    <w:rsid w:val="00F50CDC"/>
    <w:rsid w:val="00F50E8D"/>
    <w:rsid w:val="00F50EBF"/>
    <w:rsid w:val="00F512C9"/>
    <w:rsid w:val="00F514B6"/>
    <w:rsid w:val="00F515BC"/>
    <w:rsid w:val="00F515CF"/>
    <w:rsid w:val="00F515EF"/>
    <w:rsid w:val="00F5176B"/>
    <w:rsid w:val="00F51E36"/>
    <w:rsid w:val="00F520E9"/>
    <w:rsid w:val="00F520F7"/>
    <w:rsid w:val="00F5228A"/>
    <w:rsid w:val="00F52564"/>
    <w:rsid w:val="00F52765"/>
    <w:rsid w:val="00F52802"/>
    <w:rsid w:val="00F5295D"/>
    <w:rsid w:val="00F52A86"/>
    <w:rsid w:val="00F52B9A"/>
    <w:rsid w:val="00F52E41"/>
    <w:rsid w:val="00F531DD"/>
    <w:rsid w:val="00F533B5"/>
    <w:rsid w:val="00F5347D"/>
    <w:rsid w:val="00F534F6"/>
    <w:rsid w:val="00F53582"/>
    <w:rsid w:val="00F53B57"/>
    <w:rsid w:val="00F53E55"/>
    <w:rsid w:val="00F5422C"/>
    <w:rsid w:val="00F54234"/>
    <w:rsid w:val="00F544BE"/>
    <w:rsid w:val="00F54CB3"/>
    <w:rsid w:val="00F54D5F"/>
    <w:rsid w:val="00F54EEA"/>
    <w:rsid w:val="00F554ED"/>
    <w:rsid w:val="00F555AC"/>
    <w:rsid w:val="00F555AD"/>
    <w:rsid w:val="00F55798"/>
    <w:rsid w:val="00F55B5D"/>
    <w:rsid w:val="00F55DF7"/>
    <w:rsid w:val="00F55F3C"/>
    <w:rsid w:val="00F55FD0"/>
    <w:rsid w:val="00F560BD"/>
    <w:rsid w:val="00F564EF"/>
    <w:rsid w:val="00F56A99"/>
    <w:rsid w:val="00F56E6C"/>
    <w:rsid w:val="00F5708F"/>
    <w:rsid w:val="00F5716C"/>
    <w:rsid w:val="00F5723C"/>
    <w:rsid w:val="00F57609"/>
    <w:rsid w:val="00F5762D"/>
    <w:rsid w:val="00F578C3"/>
    <w:rsid w:val="00F57B7F"/>
    <w:rsid w:val="00F57E20"/>
    <w:rsid w:val="00F60001"/>
    <w:rsid w:val="00F605EA"/>
    <w:rsid w:val="00F60704"/>
    <w:rsid w:val="00F607B7"/>
    <w:rsid w:val="00F609C8"/>
    <w:rsid w:val="00F60C97"/>
    <w:rsid w:val="00F61022"/>
    <w:rsid w:val="00F6105A"/>
    <w:rsid w:val="00F612B0"/>
    <w:rsid w:val="00F6148E"/>
    <w:rsid w:val="00F615FA"/>
    <w:rsid w:val="00F619CA"/>
    <w:rsid w:val="00F61AB7"/>
    <w:rsid w:val="00F61FA3"/>
    <w:rsid w:val="00F62033"/>
    <w:rsid w:val="00F620E0"/>
    <w:rsid w:val="00F621F6"/>
    <w:rsid w:val="00F62323"/>
    <w:rsid w:val="00F625E2"/>
    <w:rsid w:val="00F627A4"/>
    <w:rsid w:val="00F628CB"/>
    <w:rsid w:val="00F62BA4"/>
    <w:rsid w:val="00F62EB8"/>
    <w:rsid w:val="00F62F69"/>
    <w:rsid w:val="00F62FD5"/>
    <w:rsid w:val="00F6326A"/>
    <w:rsid w:val="00F6334D"/>
    <w:rsid w:val="00F63457"/>
    <w:rsid w:val="00F63F83"/>
    <w:rsid w:val="00F63FED"/>
    <w:rsid w:val="00F641E0"/>
    <w:rsid w:val="00F6465D"/>
    <w:rsid w:val="00F6466F"/>
    <w:rsid w:val="00F646CA"/>
    <w:rsid w:val="00F646DB"/>
    <w:rsid w:val="00F646EA"/>
    <w:rsid w:val="00F6470B"/>
    <w:rsid w:val="00F647BA"/>
    <w:rsid w:val="00F6485B"/>
    <w:rsid w:val="00F64956"/>
    <w:rsid w:val="00F64B3E"/>
    <w:rsid w:val="00F64B6B"/>
    <w:rsid w:val="00F64EA5"/>
    <w:rsid w:val="00F651B4"/>
    <w:rsid w:val="00F652EF"/>
    <w:rsid w:val="00F6557E"/>
    <w:rsid w:val="00F656FC"/>
    <w:rsid w:val="00F657EC"/>
    <w:rsid w:val="00F65B0F"/>
    <w:rsid w:val="00F65CB5"/>
    <w:rsid w:val="00F65D9B"/>
    <w:rsid w:val="00F65E54"/>
    <w:rsid w:val="00F66036"/>
    <w:rsid w:val="00F6682D"/>
    <w:rsid w:val="00F66B69"/>
    <w:rsid w:val="00F670D3"/>
    <w:rsid w:val="00F67286"/>
    <w:rsid w:val="00F67301"/>
    <w:rsid w:val="00F67470"/>
    <w:rsid w:val="00F678FB"/>
    <w:rsid w:val="00F67CF9"/>
    <w:rsid w:val="00F67EC7"/>
    <w:rsid w:val="00F67EDD"/>
    <w:rsid w:val="00F67F41"/>
    <w:rsid w:val="00F67F8B"/>
    <w:rsid w:val="00F70006"/>
    <w:rsid w:val="00F70361"/>
    <w:rsid w:val="00F70880"/>
    <w:rsid w:val="00F70D74"/>
    <w:rsid w:val="00F70F3A"/>
    <w:rsid w:val="00F70FB7"/>
    <w:rsid w:val="00F70FD9"/>
    <w:rsid w:val="00F71101"/>
    <w:rsid w:val="00F716ED"/>
    <w:rsid w:val="00F723AA"/>
    <w:rsid w:val="00F72477"/>
    <w:rsid w:val="00F724EB"/>
    <w:rsid w:val="00F7250F"/>
    <w:rsid w:val="00F72531"/>
    <w:rsid w:val="00F72B83"/>
    <w:rsid w:val="00F72B9F"/>
    <w:rsid w:val="00F72C36"/>
    <w:rsid w:val="00F72E43"/>
    <w:rsid w:val="00F72E99"/>
    <w:rsid w:val="00F7324E"/>
    <w:rsid w:val="00F732F9"/>
    <w:rsid w:val="00F73566"/>
    <w:rsid w:val="00F73B28"/>
    <w:rsid w:val="00F74123"/>
    <w:rsid w:val="00F741DF"/>
    <w:rsid w:val="00F7422A"/>
    <w:rsid w:val="00F74576"/>
    <w:rsid w:val="00F745E4"/>
    <w:rsid w:val="00F74644"/>
    <w:rsid w:val="00F746B2"/>
    <w:rsid w:val="00F74723"/>
    <w:rsid w:val="00F74FED"/>
    <w:rsid w:val="00F751CD"/>
    <w:rsid w:val="00F753DE"/>
    <w:rsid w:val="00F754B7"/>
    <w:rsid w:val="00F7552C"/>
    <w:rsid w:val="00F755A1"/>
    <w:rsid w:val="00F75671"/>
    <w:rsid w:val="00F75DA6"/>
    <w:rsid w:val="00F7614F"/>
    <w:rsid w:val="00F76405"/>
    <w:rsid w:val="00F7665F"/>
    <w:rsid w:val="00F76A61"/>
    <w:rsid w:val="00F76EBA"/>
    <w:rsid w:val="00F77102"/>
    <w:rsid w:val="00F77741"/>
    <w:rsid w:val="00F777A6"/>
    <w:rsid w:val="00F777E7"/>
    <w:rsid w:val="00F77E38"/>
    <w:rsid w:val="00F77EBE"/>
    <w:rsid w:val="00F77FC7"/>
    <w:rsid w:val="00F8067A"/>
    <w:rsid w:val="00F808B4"/>
    <w:rsid w:val="00F80DD2"/>
    <w:rsid w:val="00F815A5"/>
    <w:rsid w:val="00F8177A"/>
    <w:rsid w:val="00F819E0"/>
    <w:rsid w:val="00F81A3D"/>
    <w:rsid w:val="00F81AE0"/>
    <w:rsid w:val="00F81B2A"/>
    <w:rsid w:val="00F81B51"/>
    <w:rsid w:val="00F820B9"/>
    <w:rsid w:val="00F820EF"/>
    <w:rsid w:val="00F8267C"/>
    <w:rsid w:val="00F82761"/>
    <w:rsid w:val="00F829EB"/>
    <w:rsid w:val="00F82A19"/>
    <w:rsid w:val="00F82A89"/>
    <w:rsid w:val="00F82E75"/>
    <w:rsid w:val="00F83031"/>
    <w:rsid w:val="00F83039"/>
    <w:rsid w:val="00F8305E"/>
    <w:rsid w:val="00F83084"/>
    <w:rsid w:val="00F8324E"/>
    <w:rsid w:val="00F8356D"/>
    <w:rsid w:val="00F83626"/>
    <w:rsid w:val="00F8362F"/>
    <w:rsid w:val="00F8365A"/>
    <w:rsid w:val="00F83681"/>
    <w:rsid w:val="00F836F7"/>
    <w:rsid w:val="00F83728"/>
    <w:rsid w:val="00F837A5"/>
    <w:rsid w:val="00F839AE"/>
    <w:rsid w:val="00F83B65"/>
    <w:rsid w:val="00F83CC3"/>
    <w:rsid w:val="00F83CD2"/>
    <w:rsid w:val="00F83CD9"/>
    <w:rsid w:val="00F8420B"/>
    <w:rsid w:val="00F84305"/>
    <w:rsid w:val="00F84562"/>
    <w:rsid w:val="00F848A0"/>
    <w:rsid w:val="00F8525B"/>
    <w:rsid w:val="00F856EE"/>
    <w:rsid w:val="00F85704"/>
    <w:rsid w:val="00F85C1A"/>
    <w:rsid w:val="00F85C45"/>
    <w:rsid w:val="00F85D9B"/>
    <w:rsid w:val="00F8609D"/>
    <w:rsid w:val="00F860B5"/>
    <w:rsid w:val="00F8627A"/>
    <w:rsid w:val="00F866AE"/>
    <w:rsid w:val="00F8696D"/>
    <w:rsid w:val="00F869A3"/>
    <w:rsid w:val="00F86BE1"/>
    <w:rsid w:val="00F86E10"/>
    <w:rsid w:val="00F86F8B"/>
    <w:rsid w:val="00F86FB1"/>
    <w:rsid w:val="00F871F9"/>
    <w:rsid w:val="00F872C5"/>
    <w:rsid w:val="00F87630"/>
    <w:rsid w:val="00F876E3"/>
    <w:rsid w:val="00F878AB"/>
    <w:rsid w:val="00F87945"/>
    <w:rsid w:val="00F87A14"/>
    <w:rsid w:val="00F87A4A"/>
    <w:rsid w:val="00F87E4F"/>
    <w:rsid w:val="00F87FC9"/>
    <w:rsid w:val="00F90160"/>
    <w:rsid w:val="00F90164"/>
    <w:rsid w:val="00F9029C"/>
    <w:rsid w:val="00F90559"/>
    <w:rsid w:val="00F905BD"/>
    <w:rsid w:val="00F9084B"/>
    <w:rsid w:val="00F90AA5"/>
    <w:rsid w:val="00F90E3A"/>
    <w:rsid w:val="00F91068"/>
    <w:rsid w:val="00F91073"/>
    <w:rsid w:val="00F910DE"/>
    <w:rsid w:val="00F911EA"/>
    <w:rsid w:val="00F913ED"/>
    <w:rsid w:val="00F915DF"/>
    <w:rsid w:val="00F91764"/>
    <w:rsid w:val="00F91892"/>
    <w:rsid w:val="00F91942"/>
    <w:rsid w:val="00F91AB1"/>
    <w:rsid w:val="00F91C71"/>
    <w:rsid w:val="00F91CDA"/>
    <w:rsid w:val="00F91E43"/>
    <w:rsid w:val="00F91F75"/>
    <w:rsid w:val="00F92214"/>
    <w:rsid w:val="00F924D6"/>
    <w:rsid w:val="00F92692"/>
    <w:rsid w:val="00F926D2"/>
    <w:rsid w:val="00F92806"/>
    <w:rsid w:val="00F92BF3"/>
    <w:rsid w:val="00F92EBC"/>
    <w:rsid w:val="00F92F01"/>
    <w:rsid w:val="00F930C0"/>
    <w:rsid w:val="00F93124"/>
    <w:rsid w:val="00F93235"/>
    <w:rsid w:val="00F93363"/>
    <w:rsid w:val="00F935A4"/>
    <w:rsid w:val="00F93B5C"/>
    <w:rsid w:val="00F93CB0"/>
    <w:rsid w:val="00F93D62"/>
    <w:rsid w:val="00F93E0F"/>
    <w:rsid w:val="00F93E6C"/>
    <w:rsid w:val="00F940D3"/>
    <w:rsid w:val="00F94106"/>
    <w:rsid w:val="00F94B05"/>
    <w:rsid w:val="00F94BFD"/>
    <w:rsid w:val="00F94F83"/>
    <w:rsid w:val="00F951F6"/>
    <w:rsid w:val="00F95207"/>
    <w:rsid w:val="00F9558C"/>
    <w:rsid w:val="00F958F2"/>
    <w:rsid w:val="00F959E0"/>
    <w:rsid w:val="00F95A81"/>
    <w:rsid w:val="00F95D27"/>
    <w:rsid w:val="00F95D50"/>
    <w:rsid w:val="00F95E28"/>
    <w:rsid w:val="00F96006"/>
    <w:rsid w:val="00F96621"/>
    <w:rsid w:val="00F9699E"/>
    <w:rsid w:val="00F96C19"/>
    <w:rsid w:val="00F96C2D"/>
    <w:rsid w:val="00F96C6D"/>
    <w:rsid w:val="00F96EC7"/>
    <w:rsid w:val="00F9701E"/>
    <w:rsid w:val="00F970CF"/>
    <w:rsid w:val="00F971D4"/>
    <w:rsid w:val="00F971E3"/>
    <w:rsid w:val="00F97310"/>
    <w:rsid w:val="00F973A4"/>
    <w:rsid w:val="00F974BB"/>
    <w:rsid w:val="00F97620"/>
    <w:rsid w:val="00F976F0"/>
    <w:rsid w:val="00F9782A"/>
    <w:rsid w:val="00F97C42"/>
    <w:rsid w:val="00F97DEA"/>
    <w:rsid w:val="00F97E46"/>
    <w:rsid w:val="00F97E8F"/>
    <w:rsid w:val="00FA0066"/>
    <w:rsid w:val="00FA0BD7"/>
    <w:rsid w:val="00FA0BF7"/>
    <w:rsid w:val="00FA109D"/>
    <w:rsid w:val="00FA10B9"/>
    <w:rsid w:val="00FA130F"/>
    <w:rsid w:val="00FA1A8C"/>
    <w:rsid w:val="00FA1B6E"/>
    <w:rsid w:val="00FA1BDF"/>
    <w:rsid w:val="00FA1C73"/>
    <w:rsid w:val="00FA1D1A"/>
    <w:rsid w:val="00FA1E4D"/>
    <w:rsid w:val="00FA2047"/>
    <w:rsid w:val="00FA2405"/>
    <w:rsid w:val="00FA2834"/>
    <w:rsid w:val="00FA29D6"/>
    <w:rsid w:val="00FA2A10"/>
    <w:rsid w:val="00FA2EFB"/>
    <w:rsid w:val="00FA2FE9"/>
    <w:rsid w:val="00FA304A"/>
    <w:rsid w:val="00FA328D"/>
    <w:rsid w:val="00FA32B0"/>
    <w:rsid w:val="00FA358E"/>
    <w:rsid w:val="00FA3766"/>
    <w:rsid w:val="00FA3B4D"/>
    <w:rsid w:val="00FA3F4F"/>
    <w:rsid w:val="00FA3F5A"/>
    <w:rsid w:val="00FA3F85"/>
    <w:rsid w:val="00FA4047"/>
    <w:rsid w:val="00FA40BE"/>
    <w:rsid w:val="00FA41D4"/>
    <w:rsid w:val="00FA41F5"/>
    <w:rsid w:val="00FA4531"/>
    <w:rsid w:val="00FA48D7"/>
    <w:rsid w:val="00FA4C0B"/>
    <w:rsid w:val="00FA4D6D"/>
    <w:rsid w:val="00FA4E1B"/>
    <w:rsid w:val="00FA4E84"/>
    <w:rsid w:val="00FA4EAE"/>
    <w:rsid w:val="00FA4FD0"/>
    <w:rsid w:val="00FA50BB"/>
    <w:rsid w:val="00FA523C"/>
    <w:rsid w:val="00FA5600"/>
    <w:rsid w:val="00FA572E"/>
    <w:rsid w:val="00FA57B0"/>
    <w:rsid w:val="00FA5A14"/>
    <w:rsid w:val="00FA644D"/>
    <w:rsid w:val="00FA6534"/>
    <w:rsid w:val="00FA66C4"/>
    <w:rsid w:val="00FA66F0"/>
    <w:rsid w:val="00FA6864"/>
    <w:rsid w:val="00FA6B84"/>
    <w:rsid w:val="00FA6CE1"/>
    <w:rsid w:val="00FA6EA0"/>
    <w:rsid w:val="00FA6FD0"/>
    <w:rsid w:val="00FA7246"/>
    <w:rsid w:val="00FA7256"/>
    <w:rsid w:val="00FA72AE"/>
    <w:rsid w:val="00FA72BE"/>
    <w:rsid w:val="00FA72DF"/>
    <w:rsid w:val="00FA7663"/>
    <w:rsid w:val="00FA76B7"/>
    <w:rsid w:val="00FA7896"/>
    <w:rsid w:val="00FA7992"/>
    <w:rsid w:val="00FA7AFA"/>
    <w:rsid w:val="00FA7BBF"/>
    <w:rsid w:val="00FA7C21"/>
    <w:rsid w:val="00FA7D38"/>
    <w:rsid w:val="00FA7D7B"/>
    <w:rsid w:val="00FA7D8B"/>
    <w:rsid w:val="00FA7E78"/>
    <w:rsid w:val="00FB02A1"/>
    <w:rsid w:val="00FB0A94"/>
    <w:rsid w:val="00FB0D66"/>
    <w:rsid w:val="00FB0DB3"/>
    <w:rsid w:val="00FB0DEF"/>
    <w:rsid w:val="00FB0E6C"/>
    <w:rsid w:val="00FB0E76"/>
    <w:rsid w:val="00FB0F4F"/>
    <w:rsid w:val="00FB0F65"/>
    <w:rsid w:val="00FB18FF"/>
    <w:rsid w:val="00FB1B0E"/>
    <w:rsid w:val="00FB1C1F"/>
    <w:rsid w:val="00FB1E5F"/>
    <w:rsid w:val="00FB2213"/>
    <w:rsid w:val="00FB230E"/>
    <w:rsid w:val="00FB23D4"/>
    <w:rsid w:val="00FB2566"/>
    <w:rsid w:val="00FB25F7"/>
    <w:rsid w:val="00FB28D5"/>
    <w:rsid w:val="00FB2C99"/>
    <w:rsid w:val="00FB2CB6"/>
    <w:rsid w:val="00FB2E60"/>
    <w:rsid w:val="00FB314F"/>
    <w:rsid w:val="00FB3310"/>
    <w:rsid w:val="00FB3B52"/>
    <w:rsid w:val="00FB3F9C"/>
    <w:rsid w:val="00FB41C0"/>
    <w:rsid w:val="00FB42C4"/>
    <w:rsid w:val="00FB4514"/>
    <w:rsid w:val="00FB46FF"/>
    <w:rsid w:val="00FB4DBE"/>
    <w:rsid w:val="00FB4FA2"/>
    <w:rsid w:val="00FB502E"/>
    <w:rsid w:val="00FB50C7"/>
    <w:rsid w:val="00FB52B6"/>
    <w:rsid w:val="00FB5378"/>
    <w:rsid w:val="00FB5388"/>
    <w:rsid w:val="00FB559C"/>
    <w:rsid w:val="00FB58B7"/>
    <w:rsid w:val="00FB5D7A"/>
    <w:rsid w:val="00FB6082"/>
    <w:rsid w:val="00FB610F"/>
    <w:rsid w:val="00FB6187"/>
    <w:rsid w:val="00FB626D"/>
    <w:rsid w:val="00FB6305"/>
    <w:rsid w:val="00FB6496"/>
    <w:rsid w:val="00FB689E"/>
    <w:rsid w:val="00FB697F"/>
    <w:rsid w:val="00FB6A8F"/>
    <w:rsid w:val="00FB6B9D"/>
    <w:rsid w:val="00FB6C38"/>
    <w:rsid w:val="00FB6D50"/>
    <w:rsid w:val="00FB70EB"/>
    <w:rsid w:val="00FB717B"/>
    <w:rsid w:val="00FB72A5"/>
    <w:rsid w:val="00FB72C5"/>
    <w:rsid w:val="00FB72D1"/>
    <w:rsid w:val="00FB733B"/>
    <w:rsid w:val="00FB753C"/>
    <w:rsid w:val="00FB7672"/>
    <w:rsid w:val="00FB77EC"/>
    <w:rsid w:val="00FB794B"/>
    <w:rsid w:val="00FB7BE9"/>
    <w:rsid w:val="00FB7C85"/>
    <w:rsid w:val="00FC00D9"/>
    <w:rsid w:val="00FC0322"/>
    <w:rsid w:val="00FC06C3"/>
    <w:rsid w:val="00FC0703"/>
    <w:rsid w:val="00FC0759"/>
    <w:rsid w:val="00FC0CC7"/>
    <w:rsid w:val="00FC0D2F"/>
    <w:rsid w:val="00FC0DE5"/>
    <w:rsid w:val="00FC0E12"/>
    <w:rsid w:val="00FC0F6B"/>
    <w:rsid w:val="00FC1075"/>
    <w:rsid w:val="00FC10E1"/>
    <w:rsid w:val="00FC110A"/>
    <w:rsid w:val="00FC1384"/>
    <w:rsid w:val="00FC1759"/>
    <w:rsid w:val="00FC1774"/>
    <w:rsid w:val="00FC17B4"/>
    <w:rsid w:val="00FC1C17"/>
    <w:rsid w:val="00FC1DE6"/>
    <w:rsid w:val="00FC21FB"/>
    <w:rsid w:val="00FC22D5"/>
    <w:rsid w:val="00FC25F0"/>
    <w:rsid w:val="00FC2639"/>
    <w:rsid w:val="00FC263A"/>
    <w:rsid w:val="00FC2862"/>
    <w:rsid w:val="00FC2A5D"/>
    <w:rsid w:val="00FC2B54"/>
    <w:rsid w:val="00FC2C90"/>
    <w:rsid w:val="00FC2D55"/>
    <w:rsid w:val="00FC2F46"/>
    <w:rsid w:val="00FC31B9"/>
    <w:rsid w:val="00FC37DB"/>
    <w:rsid w:val="00FC3855"/>
    <w:rsid w:val="00FC3C4C"/>
    <w:rsid w:val="00FC3EA5"/>
    <w:rsid w:val="00FC4413"/>
    <w:rsid w:val="00FC46E6"/>
    <w:rsid w:val="00FC4809"/>
    <w:rsid w:val="00FC4852"/>
    <w:rsid w:val="00FC495D"/>
    <w:rsid w:val="00FC4A95"/>
    <w:rsid w:val="00FC4AD1"/>
    <w:rsid w:val="00FC4BCC"/>
    <w:rsid w:val="00FC4BEC"/>
    <w:rsid w:val="00FC4CA5"/>
    <w:rsid w:val="00FC4FC0"/>
    <w:rsid w:val="00FC5147"/>
    <w:rsid w:val="00FC52C0"/>
    <w:rsid w:val="00FC535F"/>
    <w:rsid w:val="00FC5524"/>
    <w:rsid w:val="00FC556D"/>
    <w:rsid w:val="00FC56A8"/>
    <w:rsid w:val="00FC5784"/>
    <w:rsid w:val="00FC5851"/>
    <w:rsid w:val="00FC5856"/>
    <w:rsid w:val="00FC58AD"/>
    <w:rsid w:val="00FC59E4"/>
    <w:rsid w:val="00FC5B1E"/>
    <w:rsid w:val="00FC60BB"/>
    <w:rsid w:val="00FC61CE"/>
    <w:rsid w:val="00FC631B"/>
    <w:rsid w:val="00FC65D5"/>
    <w:rsid w:val="00FC661E"/>
    <w:rsid w:val="00FC6821"/>
    <w:rsid w:val="00FC698A"/>
    <w:rsid w:val="00FC69E4"/>
    <w:rsid w:val="00FC6A97"/>
    <w:rsid w:val="00FC6B3F"/>
    <w:rsid w:val="00FC6BD0"/>
    <w:rsid w:val="00FC6EF9"/>
    <w:rsid w:val="00FC705F"/>
    <w:rsid w:val="00FC7145"/>
    <w:rsid w:val="00FC73E8"/>
    <w:rsid w:val="00FC74DA"/>
    <w:rsid w:val="00FC77E1"/>
    <w:rsid w:val="00FC78E0"/>
    <w:rsid w:val="00FD0097"/>
    <w:rsid w:val="00FD0125"/>
    <w:rsid w:val="00FD02BF"/>
    <w:rsid w:val="00FD0355"/>
    <w:rsid w:val="00FD043F"/>
    <w:rsid w:val="00FD05F5"/>
    <w:rsid w:val="00FD062F"/>
    <w:rsid w:val="00FD07E0"/>
    <w:rsid w:val="00FD09BC"/>
    <w:rsid w:val="00FD0A04"/>
    <w:rsid w:val="00FD0ACE"/>
    <w:rsid w:val="00FD0BD4"/>
    <w:rsid w:val="00FD0C51"/>
    <w:rsid w:val="00FD0D80"/>
    <w:rsid w:val="00FD0FEB"/>
    <w:rsid w:val="00FD1041"/>
    <w:rsid w:val="00FD1243"/>
    <w:rsid w:val="00FD137C"/>
    <w:rsid w:val="00FD14F8"/>
    <w:rsid w:val="00FD16E1"/>
    <w:rsid w:val="00FD1735"/>
    <w:rsid w:val="00FD1885"/>
    <w:rsid w:val="00FD19EF"/>
    <w:rsid w:val="00FD1B77"/>
    <w:rsid w:val="00FD1CE6"/>
    <w:rsid w:val="00FD1F68"/>
    <w:rsid w:val="00FD233A"/>
    <w:rsid w:val="00FD23E5"/>
    <w:rsid w:val="00FD2530"/>
    <w:rsid w:val="00FD25B3"/>
    <w:rsid w:val="00FD2FFE"/>
    <w:rsid w:val="00FD3267"/>
    <w:rsid w:val="00FD32C2"/>
    <w:rsid w:val="00FD33F7"/>
    <w:rsid w:val="00FD3887"/>
    <w:rsid w:val="00FD3ACD"/>
    <w:rsid w:val="00FD3B33"/>
    <w:rsid w:val="00FD3CFE"/>
    <w:rsid w:val="00FD3E14"/>
    <w:rsid w:val="00FD3E6F"/>
    <w:rsid w:val="00FD3F99"/>
    <w:rsid w:val="00FD3FCD"/>
    <w:rsid w:val="00FD4258"/>
    <w:rsid w:val="00FD43CB"/>
    <w:rsid w:val="00FD458E"/>
    <w:rsid w:val="00FD45FD"/>
    <w:rsid w:val="00FD4772"/>
    <w:rsid w:val="00FD494C"/>
    <w:rsid w:val="00FD4D05"/>
    <w:rsid w:val="00FD4D0F"/>
    <w:rsid w:val="00FD4D9F"/>
    <w:rsid w:val="00FD5108"/>
    <w:rsid w:val="00FD5574"/>
    <w:rsid w:val="00FD5653"/>
    <w:rsid w:val="00FD5664"/>
    <w:rsid w:val="00FD57B7"/>
    <w:rsid w:val="00FD582D"/>
    <w:rsid w:val="00FD5895"/>
    <w:rsid w:val="00FD58C3"/>
    <w:rsid w:val="00FD5983"/>
    <w:rsid w:val="00FD5B69"/>
    <w:rsid w:val="00FD5F49"/>
    <w:rsid w:val="00FD6019"/>
    <w:rsid w:val="00FD6150"/>
    <w:rsid w:val="00FD6152"/>
    <w:rsid w:val="00FD6367"/>
    <w:rsid w:val="00FD6716"/>
    <w:rsid w:val="00FD6AF5"/>
    <w:rsid w:val="00FD6C36"/>
    <w:rsid w:val="00FD729A"/>
    <w:rsid w:val="00FD741A"/>
    <w:rsid w:val="00FD7587"/>
    <w:rsid w:val="00FD7592"/>
    <w:rsid w:val="00FD7612"/>
    <w:rsid w:val="00FD7651"/>
    <w:rsid w:val="00FD7693"/>
    <w:rsid w:val="00FD78DB"/>
    <w:rsid w:val="00FD7973"/>
    <w:rsid w:val="00FD7DF1"/>
    <w:rsid w:val="00FE0114"/>
    <w:rsid w:val="00FE056E"/>
    <w:rsid w:val="00FE066D"/>
    <w:rsid w:val="00FE0769"/>
    <w:rsid w:val="00FE0FDB"/>
    <w:rsid w:val="00FE103B"/>
    <w:rsid w:val="00FE13AD"/>
    <w:rsid w:val="00FE1446"/>
    <w:rsid w:val="00FE1662"/>
    <w:rsid w:val="00FE176E"/>
    <w:rsid w:val="00FE1A38"/>
    <w:rsid w:val="00FE1A86"/>
    <w:rsid w:val="00FE1C37"/>
    <w:rsid w:val="00FE1D52"/>
    <w:rsid w:val="00FE21A9"/>
    <w:rsid w:val="00FE21F1"/>
    <w:rsid w:val="00FE232A"/>
    <w:rsid w:val="00FE2450"/>
    <w:rsid w:val="00FE2478"/>
    <w:rsid w:val="00FE2533"/>
    <w:rsid w:val="00FE277F"/>
    <w:rsid w:val="00FE2A77"/>
    <w:rsid w:val="00FE2A97"/>
    <w:rsid w:val="00FE2AED"/>
    <w:rsid w:val="00FE2D9E"/>
    <w:rsid w:val="00FE36B7"/>
    <w:rsid w:val="00FE39B7"/>
    <w:rsid w:val="00FE39E8"/>
    <w:rsid w:val="00FE3C62"/>
    <w:rsid w:val="00FE3D28"/>
    <w:rsid w:val="00FE41E0"/>
    <w:rsid w:val="00FE4232"/>
    <w:rsid w:val="00FE426C"/>
    <w:rsid w:val="00FE454B"/>
    <w:rsid w:val="00FE4628"/>
    <w:rsid w:val="00FE46DA"/>
    <w:rsid w:val="00FE4866"/>
    <w:rsid w:val="00FE4A34"/>
    <w:rsid w:val="00FE4CE8"/>
    <w:rsid w:val="00FE4CF8"/>
    <w:rsid w:val="00FE4DA5"/>
    <w:rsid w:val="00FE5304"/>
    <w:rsid w:val="00FE55A0"/>
    <w:rsid w:val="00FE58D9"/>
    <w:rsid w:val="00FE59FA"/>
    <w:rsid w:val="00FE5B47"/>
    <w:rsid w:val="00FE5B7A"/>
    <w:rsid w:val="00FE5BFD"/>
    <w:rsid w:val="00FE5F88"/>
    <w:rsid w:val="00FE5FA8"/>
    <w:rsid w:val="00FE6193"/>
    <w:rsid w:val="00FE61F4"/>
    <w:rsid w:val="00FE622C"/>
    <w:rsid w:val="00FE6564"/>
    <w:rsid w:val="00FE67A2"/>
    <w:rsid w:val="00FE6900"/>
    <w:rsid w:val="00FE6B7A"/>
    <w:rsid w:val="00FE6DC6"/>
    <w:rsid w:val="00FE6DE6"/>
    <w:rsid w:val="00FE71C6"/>
    <w:rsid w:val="00FE72E4"/>
    <w:rsid w:val="00FE732A"/>
    <w:rsid w:val="00FE73D1"/>
    <w:rsid w:val="00FE7651"/>
    <w:rsid w:val="00FE783C"/>
    <w:rsid w:val="00FE7870"/>
    <w:rsid w:val="00FE7A2E"/>
    <w:rsid w:val="00FE7B0B"/>
    <w:rsid w:val="00FF0030"/>
    <w:rsid w:val="00FF05A9"/>
    <w:rsid w:val="00FF065F"/>
    <w:rsid w:val="00FF0781"/>
    <w:rsid w:val="00FF0927"/>
    <w:rsid w:val="00FF0A36"/>
    <w:rsid w:val="00FF0A4A"/>
    <w:rsid w:val="00FF0D1A"/>
    <w:rsid w:val="00FF0F95"/>
    <w:rsid w:val="00FF0FD0"/>
    <w:rsid w:val="00FF1225"/>
    <w:rsid w:val="00FF19C6"/>
    <w:rsid w:val="00FF1B0C"/>
    <w:rsid w:val="00FF1BC1"/>
    <w:rsid w:val="00FF1D2B"/>
    <w:rsid w:val="00FF1D31"/>
    <w:rsid w:val="00FF1F1C"/>
    <w:rsid w:val="00FF2269"/>
    <w:rsid w:val="00FF2291"/>
    <w:rsid w:val="00FF2520"/>
    <w:rsid w:val="00FF2554"/>
    <w:rsid w:val="00FF2578"/>
    <w:rsid w:val="00FF260A"/>
    <w:rsid w:val="00FF28C3"/>
    <w:rsid w:val="00FF2B17"/>
    <w:rsid w:val="00FF2CD4"/>
    <w:rsid w:val="00FF2E6C"/>
    <w:rsid w:val="00FF2FBC"/>
    <w:rsid w:val="00FF2FBF"/>
    <w:rsid w:val="00FF31BD"/>
    <w:rsid w:val="00FF3392"/>
    <w:rsid w:val="00FF344F"/>
    <w:rsid w:val="00FF354D"/>
    <w:rsid w:val="00FF35A3"/>
    <w:rsid w:val="00FF3943"/>
    <w:rsid w:val="00FF3A66"/>
    <w:rsid w:val="00FF3C7E"/>
    <w:rsid w:val="00FF3DE1"/>
    <w:rsid w:val="00FF40A4"/>
    <w:rsid w:val="00FF424D"/>
    <w:rsid w:val="00FF4467"/>
    <w:rsid w:val="00FF44E4"/>
    <w:rsid w:val="00FF46FA"/>
    <w:rsid w:val="00FF481A"/>
    <w:rsid w:val="00FF48AC"/>
    <w:rsid w:val="00FF48E9"/>
    <w:rsid w:val="00FF4A0E"/>
    <w:rsid w:val="00FF4AD2"/>
    <w:rsid w:val="00FF4BA8"/>
    <w:rsid w:val="00FF4DE2"/>
    <w:rsid w:val="00FF4F5D"/>
    <w:rsid w:val="00FF5001"/>
    <w:rsid w:val="00FF5208"/>
    <w:rsid w:val="00FF52B9"/>
    <w:rsid w:val="00FF5415"/>
    <w:rsid w:val="00FF56F6"/>
    <w:rsid w:val="00FF5AB7"/>
    <w:rsid w:val="00FF5C0E"/>
    <w:rsid w:val="00FF5C16"/>
    <w:rsid w:val="00FF5CFF"/>
    <w:rsid w:val="00FF5FB9"/>
    <w:rsid w:val="00FF5FDA"/>
    <w:rsid w:val="00FF60F6"/>
    <w:rsid w:val="00FF6539"/>
    <w:rsid w:val="00FF6667"/>
    <w:rsid w:val="00FF66B2"/>
    <w:rsid w:val="00FF67EE"/>
    <w:rsid w:val="00FF6BBB"/>
    <w:rsid w:val="00FF755C"/>
    <w:rsid w:val="00FF7573"/>
    <w:rsid w:val="00FF7587"/>
    <w:rsid w:val="00FF7613"/>
    <w:rsid w:val="00FF7865"/>
    <w:rsid w:val="00FF78C4"/>
    <w:rsid w:val="00FF79A5"/>
    <w:rsid w:val="00FF7D6F"/>
    <w:rsid w:val="00FF7E41"/>
    <w:rsid w:val="00FF7F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D54C40E"/>
  <w15:chartTrackingRefBased/>
  <w15:docId w15:val="{62FFD16F-4483-42FE-82C3-05EC6D2D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Typewriter" w:uiPriority="99"/>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35A3"/>
    <w:pPr>
      <w:widowControl w:val="0"/>
      <w:autoSpaceDE w:val="0"/>
      <w:autoSpaceDN w:val="0"/>
      <w:adjustRightInd w:val="0"/>
    </w:pPr>
    <w:rPr>
      <w:rFonts w:ascii="Bliss-ExtraBold" w:hAnsi="Bliss-ExtraBold" w:cs="Bliss-ExtraBold"/>
      <w:sz w:val="24"/>
      <w:szCs w:val="24"/>
      <w:lang w:val="en-GB" w:eastAsia="en-US"/>
    </w:rPr>
  </w:style>
  <w:style w:type="paragraph" w:styleId="Heading1">
    <w:name w:val="heading 1"/>
    <w:basedOn w:val="Normal"/>
    <w:next w:val="Normal"/>
    <w:link w:val="Heading1Char"/>
    <w:qFormat/>
    <w:rsid w:val="00FF35A3"/>
    <w:pPr>
      <w:outlineLvl w:val="0"/>
    </w:pPr>
  </w:style>
  <w:style w:type="paragraph" w:styleId="Heading2">
    <w:name w:val="heading 2"/>
    <w:basedOn w:val="Normal"/>
    <w:next w:val="Normal"/>
    <w:link w:val="Heading2Char"/>
    <w:qFormat/>
    <w:rsid w:val="00FF35A3"/>
    <w:pPr>
      <w:outlineLvl w:val="1"/>
    </w:pPr>
  </w:style>
  <w:style w:type="paragraph" w:styleId="Heading3">
    <w:name w:val="heading 3"/>
    <w:basedOn w:val="Normal"/>
    <w:next w:val="Normal"/>
    <w:link w:val="Heading3Char"/>
    <w:qFormat/>
    <w:rsid w:val="00FF35A3"/>
    <w:pPr>
      <w:outlineLvl w:val="2"/>
    </w:pPr>
  </w:style>
  <w:style w:type="paragraph" w:styleId="Heading4">
    <w:name w:val="heading 4"/>
    <w:basedOn w:val="Normal"/>
    <w:next w:val="Normal"/>
    <w:link w:val="Heading4Char"/>
    <w:qFormat/>
    <w:rsid w:val="00FF35A3"/>
    <w:pPr>
      <w:outlineLvl w:val="3"/>
    </w:pPr>
  </w:style>
  <w:style w:type="paragraph" w:styleId="Heading5">
    <w:name w:val="heading 5"/>
    <w:basedOn w:val="Normal"/>
    <w:next w:val="Normal"/>
    <w:link w:val="Heading5Char"/>
    <w:qFormat/>
    <w:rsid w:val="00FF35A3"/>
    <w:pPr>
      <w:outlineLvl w:val="4"/>
    </w:pPr>
  </w:style>
  <w:style w:type="paragraph" w:styleId="Heading6">
    <w:name w:val="heading 6"/>
    <w:basedOn w:val="Normal"/>
    <w:next w:val="Normal"/>
    <w:link w:val="Heading6Char"/>
    <w:qFormat/>
    <w:rsid w:val="00FF35A3"/>
    <w:pPr>
      <w:outlineLvl w:val="5"/>
    </w:pPr>
  </w:style>
  <w:style w:type="paragraph" w:styleId="Heading7">
    <w:name w:val="heading 7"/>
    <w:basedOn w:val="Normal"/>
    <w:next w:val="Normal"/>
    <w:link w:val="Heading7Char"/>
    <w:qFormat/>
    <w:rsid w:val="00FF35A3"/>
    <w:pPr>
      <w:outlineLvl w:val="6"/>
    </w:pPr>
  </w:style>
  <w:style w:type="paragraph" w:styleId="Heading8">
    <w:name w:val="heading 8"/>
    <w:basedOn w:val="Normal"/>
    <w:next w:val="Normal"/>
    <w:link w:val="Heading8Char"/>
    <w:qFormat/>
    <w:rsid w:val="00FF35A3"/>
    <w:pPr>
      <w:outlineLvl w:val="7"/>
    </w:pPr>
  </w:style>
  <w:style w:type="paragraph" w:styleId="Heading9">
    <w:name w:val="heading 9"/>
    <w:basedOn w:val="Normal"/>
    <w:next w:val="Normal"/>
    <w:link w:val="Heading9Char"/>
    <w:qFormat/>
    <w:rsid w:val="00FF35A3"/>
    <w:pPr>
      <w:keepNext/>
      <w:outlineLvl w:val="8"/>
    </w:pPr>
    <w:rPr>
      <w:rFonts w:ascii="Bliss-Regular" w:hAnsi="Bliss-Regular" w:cs="Bliss-Regula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C1275"/>
    <w:rPr>
      <w:rFonts w:ascii="Bliss-ExtraBold" w:hAnsi="Bliss-ExtraBold" w:cs="Bliss-ExtraBold"/>
      <w:sz w:val="24"/>
      <w:szCs w:val="24"/>
      <w:lang w:val="en-GB" w:eastAsia="en-US"/>
    </w:rPr>
  </w:style>
  <w:style w:type="character" w:customStyle="1" w:styleId="Heading2Char">
    <w:name w:val="Heading 2 Char"/>
    <w:link w:val="Heading2"/>
    <w:rsid w:val="006C1275"/>
    <w:rPr>
      <w:rFonts w:ascii="Bliss-ExtraBold" w:hAnsi="Bliss-ExtraBold" w:cs="Bliss-ExtraBold"/>
      <w:sz w:val="24"/>
      <w:szCs w:val="24"/>
      <w:lang w:val="en-GB" w:eastAsia="en-US"/>
    </w:rPr>
  </w:style>
  <w:style w:type="character" w:customStyle="1" w:styleId="Heading3Char">
    <w:name w:val="Heading 3 Char"/>
    <w:link w:val="Heading3"/>
    <w:rsid w:val="00C1533D"/>
    <w:rPr>
      <w:rFonts w:ascii="Bliss-ExtraBold" w:hAnsi="Bliss-ExtraBold" w:cs="Bliss-ExtraBold"/>
      <w:sz w:val="24"/>
      <w:szCs w:val="24"/>
      <w:lang w:val="en-GB" w:eastAsia="en-US"/>
    </w:rPr>
  </w:style>
  <w:style w:type="character" w:customStyle="1" w:styleId="Heading4Char">
    <w:name w:val="Heading 4 Char"/>
    <w:link w:val="Heading4"/>
    <w:rsid w:val="006C1275"/>
    <w:rPr>
      <w:rFonts w:ascii="Bliss-ExtraBold" w:hAnsi="Bliss-ExtraBold" w:cs="Bliss-ExtraBold"/>
      <w:sz w:val="24"/>
      <w:szCs w:val="24"/>
      <w:lang w:val="en-GB" w:eastAsia="en-US"/>
    </w:rPr>
  </w:style>
  <w:style w:type="character" w:customStyle="1" w:styleId="Heading5Char">
    <w:name w:val="Heading 5 Char"/>
    <w:link w:val="Heading5"/>
    <w:rsid w:val="006C1275"/>
    <w:rPr>
      <w:rFonts w:ascii="Bliss-ExtraBold" w:hAnsi="Bliss-ExtraBold" w:cs="Bliss-ExtraBold"/>
      <w:sz w:val="24"/>
      <w:szCs w:val="24"/>
      <w:lang w:val="en-GB" w:eastAsia="en-US"/>
    </w:rPr>
  </w:style>
  <w:style w:type="character" w:customStyle="1" w:styleId="Heading6Char">
    <w:name w:val="Heading 6 Char"/>
    <w:link w:val="Heading6"/>
    <w:rsid w:val="006C1275"/>
    <w:rPr>
      <w:rFonts w:ascii="Bliss-ExtraBold" w:hAnsi="Bliss-ExtraBold" w:cs="Bliss-ExtraBold"/>
      <w:sz w:val="24"/>
      <w:szCs w:val="24"/>
      <w:lang w:val="en-GB" w:eastAsia="en-US"/>
    </w:rPr>
  </w:style>
  <w:style w:type="character" w:customStyle="1" w:styleId="Heading7Char">
    <w:name w:val="Heading 7 Char"/>
    <w:link w:val="Heading7"/>
    <w:rsid w:val="006C1275"/>
    <w:rPr>
      <w:rFonts w:ascii="Bliss-ExtraBold" w:hAnsi="Bliss-ExtraBold" w:cs="Bliss-ExtraBold"/>
      <w:sz w:val="24"/>
      <w:szCs w:val="24"/>
      <w:lang w:val="en-GB" w:eastAsia="en-US"/>
    </w:rPr>
  </w:style>
  <w:style w:type="character" w:customStyle="1" w:styleId="Heading8Char">
    <w:name w:val="Heading 8 Char"/>
    <w:link w:val="Heading8"/>
    <w:rsid w:val="006C1275"/>
    <w:rPr>
      <w:rFonts w:ascii="Bliss-ExtraBold" w:hAnsi="Bliss-ExtraBold" w:cs="Bliss-ExtraBold"/>
      <w:sz w:val="24"/>
      <w:szCs w:val="24"/>
      <w:lang w:val="en-GB" w:eastAsia="en-US"/>
    </w:rPr>
  </w:style>
  <w:style w:type="character" w:customStyle="1" w:styleId="Heading9Char">
    <w:name w:val="Heading 9 Char"/>
    <w:link w:val="Heading9"/>
    <w:rsid w:val="006C1275"/>
    <w:rPr>
      <w:rFonts w:ascii="Bliss-Regular" w:hAnsi="Bliss-Regular" w:cs="Bliss-Regular"/>
      <w:b/>
      <w:bCs/>
      <w:sz w:val="18"/>
      <w:szCs w:val="18"/>
      <w:lang w:val="en-GB" w:eastAsia="en-U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sid w:val="00B3515B"/>
    <w:rPr>
      <w:rFonts w:ascii="Tahoma" w:hAnsi="Tahoma" w:cs="Tahoma"/>
      <w:shd w:val="clear" w:color="auto" w:fill="000080"/>
      <w:lang w:val="en-GB" w:eastAsia="en-US"/>
    </w:rPr>
  </w:style>
  <w:style w:type="paragraph" w:styleId="BodyText">
    <w:name w:val="Body Text"/>
    <w:basedOn w:val="Normal"/>
    <w:link w:val="BodyTextChar"/>
    <w:uiPriority w:val="99"/>
    <w:rsid w:val="00FF35A3"/>
    <w:pPr>
      <w:jc w:val="both"/>
    </w:pPr>
    <w:rPr>
      <w:rFonts w:ascii="Bliss-Regular" w:hAnsi="Bliss-Regular" w:cs="Bliss-Regular"/>
      <w:sz w:val="18"/>
      <w:szCs w:val="18"/>
    </w:rPr>
  </w:style>
  <w:style w:type="character" w:customStyle="1" w:styleId="BodyTextChar">
    <w:name w:val="Body Text Char"/>
    <w:link w:val="BodyText"/>
    <w:uiPriority w:val="99"/>
    <w:rsid w:val="009A3523"/>
    <w:rPr>
      <w:rFonts w:ascii="Bliss-Regular" w:hAnsi="Bliss-Regular" w:cs="Bliss-Regular"/>
      <w:sz w:val="18"/>
      <w:szCs w:val="18"/>
      <w:lang w:val="en-GB" w:eastAsia="en-US"/>
    </w:rPr>
  </w:style>
  <w:style w:type="paragraph" w:styleId="BodyText2">
    <w:name w:val="Body Text 2"/>
    <w:basedOn w:val="Normal"/>
    <w:link w:val="BodyText2Char"/>
    <w:rsid w:val="00FF35A3"/>
    <w:rPr>
      <w:rFonts w:ascii="Bliss-Regular" w:hAnsi="Bliss-Regular" w:cs="Bliss-Regular"/>
      <w:sz w:val="18"/>
      <w:szCs w:val="18"/>
    </w:rPr>
  </w:style>
  <w:style w:type="character" w:customStyle="1" w:styleId="BodyText2Char">
    <w:name w:val="Body Text 2 Char"/>
    <w:link w:val="BodyText2"/>
    <w:rsid w:val="00B3515B"/>
    <w:rPr>
      <w:rFonts w:ascii="Bliss-Regular" w:hAnsi="Bliss-Regular" w:cs="Bliss-Regular"/>
      <w:sz w:val="18"/>
      <w:szCs w:val="18"/>
      <w:lang w:val="en-GB" w:eastAsia="en-US"/>
    </w:rPr>
  </w:style>
  <w:style w:type="paragraph" w:styleId="HTMLPreformatted">
    <w:name w:val="HTML Preformatted"/>
    <w:basedOn w:val="Normal"/>
    <w:link w:val="HTMLPreformattedChar"/>
    <w:rsid w:val="00FF35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rsid w:val="00B3515B"/>
    <w:rPr>
      <w:rFonts w:ascii="Courier New" w:hAnsi="Courier New" w:cs="Courier New"/>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qFormat/>
    <w:rsid w:val="00FF35A3"/>
    <w:pPr>
      <w:widowControl/>
      <w:numPr>
        <w:numId w:val="1"/>
      </w:numPr>
      <w:tabs>
        <w:tab w:val="left" w:pos="284"/>
      </w:tabs>
      <w:autoSpaceDE/>
      <w:autoSpaceDN/>
      <w:adjustRightInd/>
      <w:spacing w:after="130"/>
      <w:jc w:val="both"/>
    </w:pPr>
    <w:rPr>
      <w:sz w:val="22"/>
      <w:szCs w:val="22"/>
    </w:rPr>
  </w:style>
  <w:style w:type="character" w:customStyle="1" w:styleId="BulletChar">
    <w:name w:val="Bullet Char"/>
    <w:basedOn w:val="DefaultParagraphFont"/>
    <w:link w:val="Bullet"/>
    <w:locked/>
    <w:rsid w:val="009438BD"/>
    <w:rPr>
      <w:rFonts w:ascii="Bliss-ExtraBold" w:hAnsi="Bliss-ExtraBold" w:cs="Bliss-ExtraBold"/>
      <w:sz w:val="22"/>
      <w:szCs w:val="22"/>
      <w:lang w:val="en-GB" w:eastAsia="en-US"/>
    </w:rPr>
  </w:style>
  <w:style w:type="paragraph" w:customStyle="1" w:styleId="Text">
    <w:name w:val="Text"/>
    <w:aliases w:val="t1,b"/>
    <w:basedOn w:val="Normal"/>
    <w:link w:val="TextChar"/>
    <w:qFormat/>
    <w:rsid w:val="00FF35A3"/>
    <w:pPr>
      <w:widowControl/>
      <w:overflowPunct w:val="0"/>
      <w:spacing w:after="260"/>
      <w:jc w:val="both"/>
      <w:textAlignment w:val="baseline"/>
    </w:pPr>
    <w:rPr>
      <w:sz w:val="22"/>
      <w:szCs w:val="22"/>
    </w:rPr>
  </w:style>
  <w:style w:type="character" w:customStyle="1" w:styleId="TextChar">
    <w:name w:val="Text Char"/>
    <w:link w:val="Text"/>
    <w:locked/>
    <w:rPr>
      <w:rFonts w:ascii="Bliss-ExtraBold" w:hAnsi="Bliss-ExtraBold" w:cs="Bliss-ExtraBold"/>
      <w:sz w:val="22"/>
      <w:szCs w:val="22"/>
      <w:lang w:val="en-GB" w:eastAsia="en-US"/>
    </w:rPr>
  </w:style>
  <w:style w:type="paragraph" w:customStyle="1" w:styleId="body">
    <w:name w:val="body"/>
    <w:basedOn w:val="Normal"/>
    <w:uiPriority w:val="99"/>
    <w:rsid w:val="00FF35A3"/>
    <w:pPr>
      <w:widowControl/>
      <w:autoSpaceDE/>
      <w:autoSpaceDN/>
      <w:adjustRightInd/>
      <w:spacing w:line="260" w:lineRule="exact"/>
    </w:pPr>
    <w:rPr>
      <w:rFonts w:ascii="New York" w:hAnsi="New York" w:cs="New York"/>
      <w:sz w:val="18"/>
      <w:szCs w:val="18"/>
    </w:rPr>
  </w:style>
  <w:style w:type="paragraph" w:styleId="Footer">
    <w:name w:val="footer"/>
    <w:basedOn w:val="Normal"/>
    <w:link w:val="FooterChar"/>
    <w:uiPriority w:val="99"/>
    <w:rsid w:val="00FF35A3"/>
    <w:pPr>
      <w:widowControl/>
      <w:tabs>
        <w:tab w:val="center" w:pos="4320"/>
        <w:tab w:val="right" w:pos="8640"/>
      </w:tabs>
      <w:autoSpaceDE/>
      <w:autoSpaceDN/>
      <w:adjustRightInd/>
      <w:spacing w:line="260" w:lineRule="atLeast"/>
    </w:pPr>
    <w:rPr>
      <w:sz w:val="22"/>
      <w:szCs w:val="22"/>
      <w:lang w:val="en-IE"/>
    </w:rPr>
  </w:style>
  <w:style w:type="character" w:customStyle="1" w:styleId="FooterChar">
    <w:name w:val="Footer Char"/>
    <w:link w:val="Footer"/>
    <w:uiPriority w:val="99"/>
    <w:rsid w:val="006C1275"/>
    <w:rPr>
      <w:rFonts w:ascii="Bliss-ExtraBold" w:hAnsi="Bliss-ExtraBold" w:cs="Bliss-ExtraBold"/>
      <w:sz w:val="22"/>
      <w:szCs w:val="22"/>
      <w:lang w:eastAsia="en-US"/>
    </w:rPr>
  </w:style>
  <w:style w:type="paragraph" w:styleId="FootnoteText">
    <w:name w:val="footnote text"/>
    <w:aliases w:val="ARM footnote Text,Footnote Text Char2,Footnote Text Char11,Footnote Text Char3,Footnote Text Char4,Footnote Text Char5,Footnote Text Char6,Footnote Text Char12,Footnote Text Char21,Footnote Text Char31,Footnote New, Ch"/>
    <w:basedOn w:val="Normal"/>
    <w:link w:val="FootnoteTextChar"/>
    <w:rsid w:val="00FF35A3"/>
    <w:pPr>
      <w:widowControl/>
      <w:autoSpaceDE/>
      <w:autoSpaceDN/>
      <w:adjustRightInd/>
      <w:spacing w:line="260" w:lineRule="atLeast"/>
    </w:pPr>
    <w:rPr>
      <w:sz w:val="20"/>
      <w:szCs w:val="20"/>
      <w:lang w:val="en-IE"/>
    </w:rPr>
  </w:style>
  <w:style w:type="character" w:customStyle="1" w:styleId="FootnoteTextChar">
    <w:name w:val="Footnote Text Char"/>
    <w:aliases w:val="ARM footnote Text Char1,Footnote Text Char2 Char1,Footnote Text Char11 Char1,Footnote Text Char3 Char1,Footnote Text Char4 Char1,Footnote Text Char5 Char1,Footnote Text Char6 Char1,Footnote Text Char12 Char1,Footnote Text Char21 Char"/>
    <w:link w:val="FootnoteText"/>
    <w:rsid w:val="006C1275"/>
    <w:rPr>
      <w:rFonts w:ascii="Bliss-ExtraBold" w:hAnsi="Bliss-ExtraBold" w:cs="Bliss-ExtraBold"/>
      <w:lang w:eastAsia="en-US"/>
    </w:rPr>
  </w:style>
  <w:style w:type="paragraph" w:styleId="Header">
    <w:name w:val="header"/>
    <w:basedOn w:val="Normal"/>
    <w:link w:val="HeaderChar"/>
    <w:uiPriority w:val="99"/>
    <w:rsid w:val="00FF35A3"/>
    <w:pPr>
      <w:tabs>
        <w:tab w:val="center" w:pos="4153"/>
        <w:tab w:val="right" w:pos="8306"/>
      </w:tabs>
    </w:pPr>
  </w:style>
  <w:style w:type="character" w:customStyle="1" w:styleId="HeaderChar">
    <w:name w:val="Header Char"/>
    <w:link w:val="Header"/>
    <w:uiPriority w:val="99"/>
    <w:rsid w:val="006C1275"/>
    <w:rPr>
      <w:rFonts w:ascii="Bliss-ExtraBold" w:hAnsi="Bliss-ExtraBold" w:cs="Bliss-ExtraBold"/>
      <w:sz w:val="24"/>
      <w:szCs w:val="24"/>
      <w:lang w:val="en-GB" w:eastAsia="en-US"/>
    </w:rPr>
  </w:style>
  <w:style w:type="paragraph" w:styleId="NormalWeb">
    <w:name w:val="Normal (Web)"/>
    <w:basedOn w:val="Normal"/>
    <w:link w:val="NormalWebChar"/>
    <w:uiPriority w:val="99"/>
    <w:rsid w:val="00FF35A3"/>
    <w:pPr>
      <w:widowControl/>
      <w:autoSpaceDE/>
      <w:autoSpaceDN/>
      <w:adjustRightInd/>
      <w:spacing w:before="100" w:beforeAutospacing="1" w:after="100" w:afterAutospacing="1"/>
    </w:pPr>
    <w:rPr>
      <w:lang w:eastAsia="en-GB"/>
    </w:rPr>
  </w:style>
  <w:style w:type="character" w:customStyle="1" w:styleId="NormalWebChar">
    <w:name w:val="Normal (Web) Char"/>
    <w:basedOn w:val="DefaultParagraphFont"/>
    <w:link w:val="NormalWeb"/>
    <w:uiPriority w:val="99"/>
    <w:locked/>
    <w:rsid w:val="000965E5"/>
    <w:rPr>
      <w:rFonts w:ascii="Bliss-ExtraBold" w:hAnsi="Bliss-ExtraBold" w:cs="Bliss-ExtraBold"/>
      <w:sz w:val="24"/>
      <w:szCs w:val="24"/>
      <w:lang w:val="en-GB" w:eastAsia="en-GB"/>
    </w:rPr>
  </w:style>
  <w:style w:type="character" w:styleId="Hyperlink">
    <w:name w:val="Hyperlink"/>
    <w:uiPriority w:val="99"/>
    <w:rPr>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B3515B"/>
    <w:rPr>
      <w:rFonts w:ascii="Tahoma" w:hAnsi="Tahoma" w:cs="Tahoma"/>
      <w:sz w:val="16"/>
      <w:szCs w:val="16"/>
      <w:lang w:val="en-GB" w:eastAsia="en-US"/>
    </w:rPr>
  </w:style>
  <w:style w:type="paragraph" w:customStyle="1" w:styleId="accs">
    <w:name w:val="accs"/>
    <w:basedOn w:val="Normal"/>
    <w:next w:val="Normal"/>
    <w:rsid w:val="00FF35A3"/>
    <w:pPr>
      <w:widowControl/>
      <w:tabs>
        <w:tab w:val="right" w:pos="4346"/>
        <w:tab w:val="right" w:pos="6690"/>
      </w:tabs>
      <w:autoSpaceDE/>
      <w:autoSpaceDN/>
      <w:adjustRightInd/>
      <w:spacing w:line="260" w:lineRule="exact"/>
    </w:pPr>
    <w:rPr>
      <w:rFonts w:ascii="New York" w:hAnsi="New York" w:cs="Times New Roman"/>
      <w:sz w:val="18"/>
      <w:szCs w:val="20"/>
      <w:lang w:val="en-US"/>
    </w:rPr>
  </w:style>
  <w:style w:type="character" w:styleId="Strong">
    <w:name w:val="Strong"/>
    <w:qFormat/>
    <w:rPr>
      <w:b/>
      <w:bCs/>
    </w:rPr>
  </w:style>
  <w:style w:type="character" w:customStyle="1" w:styleId="msodel0">
    <w:name w:val="msodel0"/>
    <w:rPr>
      <w:strike/>
      <w:color w:val="FF0000"/>
    </w:rPr>
  </w:style>
  <w:style w:type="paragraph" w:customStyle="1" w:styleId="Body0">
    <w:name w:val="Body"/>
    <w:basedOn w:val="Normal"/>
    <w:uiPriority w:val="99"/>
    <w:rsid w:val="00FF35A3"/>
    <w:pPr>
      <w:widowControl/>
      <w:autoSpaceDE/>
      <w:autoSpaceDN/>
      <w:adjustRightInd/>
      <w:spacing w:after="240"/>
      <w:jc w:val="both"/>
    </w:pPr>
    <w:rPr>
      <w:rFonts w:ascii="Times New Roman" w:hAnsi="Times New Roman" w:cs="Times New Roman"/>
      <w:lang w:val="en-IE"/>
    </w:rPr>
  </w:style>
  <w:style w:type="paragraph" w:customStyle="1" w:styleId="ACSchLv1">
    <w:name w:val="AC Sch Lv 1"/>
    <w:basedOn w:val="Normal"/>
    <w:rsid w:val="00FF35A3"/>
    <w:pPr>
      <w:widowControl/>
      <w:numPr>
        <w:numId w:val="2"/>
      </w:numPr>
      <w:autoSpaceDE/>
      <w:autoSpaceDN/>
      <w:adjustRightInd/>
      <w:spacing w:after="240"/>
      <w:jc w:val="both"/>
      <w:outlineLvl w:val="0"/>
    </w:pPr>
    <w:rPr>
      <w:rFonts w:ascii="Times New Roman" w:hAnsi="Times New Roman" w:cs="Times New Roman"/>
      <w:lang w:val="en-IE"/>
    </w:rPr>
  </w:style>
  <w:style w:type="paragraph" w:customStyle="1" w:styleId="ACSchLv2">
    <w:name w:val="AC Sch Lv 2"/>
    <w:basedOn w:val="Normal"/>
    <w:rsid w:val="00FF35A3"/>
    <w:pPr>
      <w:widowControl/>
      <w:numPr>
        <w:ilvl w:val="1"/>
        <w:numId w:val="2"/>
      </w:numPr>
      <w:tabs>
        <w:tab w:val="left" w:pos="1440"/>
      </w:tabs>
      <w:autoSpaceDE/>
      <w:autoSpaceDN/>
      <w:adjustRightInd/>
      <w:spacing w:after="240"/>
      <w:jc w:val="both"/>
      <w:outlineLvl w:val="1"/>
    </w:pPr>
    <w:rPr>
      <w:rFonts w:ascii="Times New Roman" w:hAnsi="Times New Roman" w:cs="Times New Roman"/>
      <w:lang w:val="en-IE"/>
    </w:rPr>
  </w:style>
  <w:style w:type="paragraph" w:customStyle="1" w:styleId="ACSchLv3">
    <w:name w:val="AC Sch Lv 3"/>
    <w:basedOn w:val="Normal"/>
    <w:rsid w:val="00FF35A3"/>
    <w:pPr>
      <w:widowControl/>
      <w:numPr>
        <w:ilvl w:val="2"/>
        <w:numId w:val="2"/>
      </w:numPr>
      <w:tabs>
        <w:tab w:val="left" w:pos="2160"/>
      </w:tabs>
      <w:autoSpaceDE/>
      <w:autoSpaceDN/>
      <w:adjustRightInd/>
      <w:spacing w:after="240"/>
      <w:jc w:val="both"/>
      <w:outlineLvl w:val="2"/>
    </w:pPr>
    <w:rPr>
      <w:rFonts w:ascii="Times New Roman" w:hAnsi="Times New Roman" w:cs="Times New Roman"/>
      <w:lang w:val="en-IE"/>
    </w:rPr>
  </w:style>
  <w:style w:type="paragraph" w:customStyle="1" w:styleId="ACSchLv4">
    <w:name w:val="AC Sch Lv 4"/>
    <w:basedOn w:val="Normal"/>
    <w:rsid w:val="00FF35A3"/>
    <w:pPr>
      <w:widowControl/>
      <w:numPr>
        <w:ilvl w:val="3"/>
        <w:numId w:val="2"/>
      </w:numPr>
      <w:tabs>
        <w:tab w:val="left" w:pos="2880"/>
      </w:tabs>
      <w:autoSpaceDE/>
      <w:autoSpaceDN/>
      <w:adjustRightInd/>
      <w:spacing w:after="240"/>
      <w:jc w:val="both"/>
      <w:outlineLvl w:val="3"/>
    </w:pPr>
    <w:rPr>
      <w:rFonts w:ascii="Times New Roman" w:hAnsi="Times New Roman" w:cs="Times New Roman"/>
      <w:lang w:val="en-IE"/>
    </w:rPr>
  </w:style>
  <w:style w:type="paragraph" w:customStyle="1" w:styleId="ACSchLv5">
    <w:name w:val="AC Sch Lv 5"/>
    <w:basedOn w:val="Normal"/>
    <w:rsid w:val="00FF35A3"/>
    <w:pPr>
      <w:widowControl/>
      <w:numPr>
        <w:ilvl w:val="4"/>
        <w:numId w:val="2"/>
      </w:numPr>
      <w:tabs>
        <w:tab w:val="left" w:pos="3600"/>
      </w:tabs>
      <w:autoSpaceDE/>
      <w:autoSpaceDN/>
      <w:adjustRightInd/>
      <w:spacing w:after="240"/>
      <w:jc w:val="both"/>
      <w:outlineLvl w:val="4"/>
    </w:pPr>
    <w:rPr>
      <w:rFonts w:ascii="Times New Roman" w:hAnsi="Times New Roman" w:cs="Times New Roman"/>
      <w:lang w:val="en-IE"/>
    </w:rPr>
  </w:style>
  <w:style w:type="character" w:customStyle="1" w:styleId="storybody1">
    <w:name w:val="storybody1"/>
    <w:rPr>
      <w:rFonts w:ascii="Verdana" w:hAnsi="Verdana" w:hint="default"/>
      <w:color w:val="000066"/>
      <w:sz w:val="20"/>
      <w:szCs w:val="20"/>
    </w:rPr>
  </w:style>
  <w:style w:type="character" w:styleId="Emphasis">
    <w:name w:val="Emphasis"/>
    <w:uiPriority w:val="20"/>
    <w:qFormat/>
    <w:rPr>
      <w:b/>
      <w:bCs/>
      <w:i w:val="0"/>
      <w:iCs w:val="0"/>
    </w:rPr>
  </w:style>
  <w:style w:type="character" w:styleId="FootnoteReference">
    <w:name w:val="footnote reference"/>
    <w:rsid w:val="00FF35A3"/>
    <w:rPr>
      <w:vertAlign w:val="superscript"/>
    </w:rPr>
  </w:style>
  <w:style w:type="paragraph" w:customStyle="1" w:styleId="Default">
    <w:name w:val="Default"/>
    <w:rsid w:val="00FF35A3"/>
    <w:pPr>
      <w:autoSpaceDE w:val="0"/>
      <w:autoSpaceDN w:val="0"/>
      <w:adjustRightInd w:val="0"/>
    </w:pPr>
    <w:rPr>
      <w:rFonts w:ascii="Helvetica Neue" w:hAnsi="Helvetica Neue" w:cs="Helvetica Neue"/>
      <w:color w:val="000000"/>
      <w:sz w:val="24"/>
      <w:szCs w:val="24"/>
      <w:lang w:val="en-US" w:eastAsia="en-US"/>
    </w:rPr>
  </w:style>
  <w:style w:type="paragraph" w:customStyle="1" w:styleId="Pa0">
    <w:name w:val="Pa0"/>
    <w:basedOn w:val="Default"/>
    <w:next w:val="Default"/>
    <w:rsid w:val="00FF35A3"/>
    <w:pPr>
      <w:spacing w:line="241" w:lineRule="atLeast"/>
    </w:pPr>
    <w:rPr>
      <w:rFonts w:cs="Times New Roman"/>
      <w:color w:val="auto"/>
    </w:rPr>
  </w:style>
  <w:style w:type="character" w:customStyle="1" w:styleId="A6">
    <w:name w:val="A6"/>
    <w:rPr>
      <w:rFonts w:cs="Helvetica Neue"/>
      <w:color w:val="000000"/>
      <w:sz w:val="17"/>
      <w:szCs w:val="17"/>
    </w:rPr>
  </w:style>
  <w:style w:type="paragraph" w:customStyle="1" w:styleId="c56">
    <w:name w:val="c56"/>
    <w:basedOn w:val="Normal"/>
    <w:rsid w:val="00FF35A3"/>
    <w:pPr>
      <w:widowControl/>
      <w:autoSpaceDE/>
      <w:autoSpaceDN/>
      <w:adjustRightInd/>
      <w:spacing w:before="120"/>
      <w:jc w:val="both"/>
    </w:pPr>
    <w:rPr>
      <w:rFonts w:ascii="Arial" w:hAnsi="Arial" w:cs="Arial"/>
      <w:lang w:val="en-US"/>
    </w:rPr>
  </w:style>
  <w:style w:type="character" w:customStyle="1" w:styleId="c55">
    <w:name w:val="c55"/>
    <w:rPr>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sid w:val="00B3515B"/>
    <w:rPr>
      <w:rFonts w:ascii="Bliss-ExtraBold" w:hAnsi="Bliss-ExtraBold" w:cs="Bliss-ExtraBold"/>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B3515B"/>
    <w:rPr>
      <w:rFonts w:ascii="Bliss-ExtraBold" w:hAnsi="Bliss-ExtraBold" w:cs="Bliss-ExtraBold"/>
      <w:b/>
      <w:bCs/>
      <w:lang w:val="en-GB" w:eastAsia="en-US"/>
    </w:rPr>
  </w:style>
  <w:style w:type="character" w:styleId="FollowedHyperlink">
    <w:name w:val="FollowedHyperlink"/>
    <w:rPr>
      <w:color w:val="800080"/>
      <w:u w:val="single"/>
    </w:rPr>
  </w:style>
  <w:style w:type="paragraph" w:customStyle="1" w:styleId="c3">
    <w:name w:val="c3"/>
    <w:basedOn w:val="Normal"/>
    <w:uiPriority w:val="99"/>
    <w:rsid w:val="00FF35A3"/>
    <w:pPr>
      <w:widowControl/>
      <w:autoSpaceDE/>
      <w:autoSpaceDN/>
      <w:adjustRightInd/>
    </w:pPr>
    <w:rPr>
      <w:rFonts w:ascii="Times New Roman" w:hAnsi="Times New Roman" w:cs="Times New Roman"/>
      <w:lang w:eastAsia="en-GB"/>
    </w:rPr>
  </w:style>
  <w:style w:type="paragraph" w:customStyle="1" w:styleId="c1">
    <w:name w:val="c1"/>
    <w:basedOn w:val="Normal"/>
    <w:uiPriority w:val="99"/>
    <w:pPr>
      <w:widowControl/>
      <w:autoSpaceDE/>
      <w:autoSpaceDN/>
      <w:adjustRightInd/>
    </w:pPr>
    <w:rPr>
      <w:rFonts w:ascii="Times New Roman" w:hAnsi="Times New Roman" w:cs="Times New Roman"/>
      <w:lang w:eastAsia="en-GB"/>
    </w:rPr>
  </w:style>
  <w:style w:type="character" w:customStyle="1" w:styleId="c4">
    <w:name w:val="c4"/>
    <w:rPr>
      <w:color w:val="000000"/>
    </w:rPr>
  </w:style>
  <w:style w:type="paragraph" w:customStyle="1" w:styleId="a">
    <w:name w:val="a"/>
    <w:basedOn w:val="Normal"/>
    <w:rsid w:val="00FF35A3"/>
    <w:pPr>
      <w:widowControl/>
      <w:autoSpaceDE/>
      <w:autoSpaceDN/>
      <w:adjustRightInd/>
    </w:pPr>
    <w:rPr>
      <w:rFonts w:ascii="Times New Roman" w:hAnsi="Times New Roman" w:cs="Times New Roman"/>
      <w:lang w:val="en-US"/>
    </w:rPr>
  </w:style>
  <w:style w:type="character" w:customStyle="1" w:styleId="s">
    <w:name w:val="s"/>
    <w:rPr>
      <w:rFonts w:ascii="Calibri" w:hAnsi="Calibri" w:hint="default"/>
    </w:rPr>
  </w:style>
  <w:style w:type="character" w:customStyle="1" w:styleId="A0">
    <w:name w:val="A0"/>
    <w:rPr>
      <w:color w:val="000000"/>
      <w:sz w:val="20"/>
      <w:szCs w:val="20"/>
    </w:rPr>
  </w:style>
  <w:style w:type="character" w:customStyle="1" w:styleId="A2">
    <w:name w:val="A2"/>
    <w:rPr>
      <w:color w:val="000000"/>
      <w:sz w:val="20"/>
      <w:szCs w:val="20"/>
      <w:u w:val="single"/>
    </w:rPr>
  </w:style>
  <w:style w:type="paragraph" w:customStyle="1" w:styleId="u">
    <w:name w:val="u"/>
    <w:basedOn w:val="Normal"/>
    <w:uiPriority w:val="99"/>
    <w:rsid w:val="00FF35A3"/>
    <w:pPr>
      <w:widowControl/>
      <w:autoSpaceDE/>
      <w:autoSpaceDN/>
      <w:adjustRightInd/>
      <w:jc w:val="both"/>
    </w:pPr>
    <w:rPr>
      <w:rFonts w:ascii="Times New Roman" w:hAnsi="Times New Roman" w:cs="Times New Roman"/>
      <w:lang w:eastAsia="en-GB"/>
    </w:rPr>
  </w:style>
  <w:style w:type="character" w:customStyle="1" w:styleId="q">
    <w:name w:val="q"/>
    <w:rPr>
      <w:color w:val="000000"/>
    </w:rPr>
  </w:style>
  <w:style w:type="character" w:customStyle="1" w:styleId="ac">
    <w:name w:val="ac"/>
    <w:basedOn w:val="DefaultParagraphFont"/>
  </w:style>
  <w:style w:type="character" w:customStyle="1" w:styleId="searchword">
    <w:name w:val="searchword"/>
    <w:basedOn w:val="DefaultParagraphFont"/>
  </w:style>
  <w:style w:type="character" w:customStyle="1" w:styleId="st">
    <w:name w:val="st"/>
    <w:rPr>
      <w:rFonts w:cs="Times New Roman"/>
    </w:rPr>
  </w:style>
  <w:style w:type="paragraph" w:styleId="ListParagraph">
    <w:name w:val="List Paragraph"/>
    <w:basedOn w:val="Normal"/>
    <w:link w:val="ListParagraphChar"/>
    <w:uiPriority w:val="34"/>
    <w:qFormat/>
    <w:rsid w:val="00FF35A3"/>
    <w:pPr>
      <w:widowControl/>
      <w:autoSpaceDE/>
      <w:autoSpaceDN/>
      <w:adjustRightInd/>
      <w:spacing w:after="200" w:line="276" w:lineRule="auto"/>
      <w:ind w:left="720"/>
      <w:contextualSpacing/>
    </w:pPr>
    <w:rPr>
      <w:rFonts w:ascii="Calibri" w:hAnsi="Calibri" w:cs="Cordia New"/>
      <w:sz w:val="22"/>
      <w:szCs w:val="22"/>
      <w:lang w:val="en-AU"/>
    </w:rPr>
  </w:style>
  <w:style w:type="character" w:customStyle="1" w:styleId="ListParagraphChar">
    <w:name w:val="List Paragraph Char"/>
    <w:link w:val="ListParagraph"/>
    <w:uiPriority w:val="34"/>
    <w:locked/>
    <w:rsid w:val="00FE6564"/>
    <w:rPr>
      <w:rFonts w:ascii="Calibri" w:hAnsi="Calibri" w:cs="Cordia New"/>
      <w:sz w:val="22"/>
      <w:szCs w:val="22"/>
      <w:lang w:val="en-AU" w:eastAsia="en-US"/>
    </w:rPr>
  </w:style>
  <w:style w:type="paragraph" w:customStyle="1" w:styleId="t">
    <w:name w:val="t"/>
    <w:basedOn w:val="Normal"/>
    <w:uiPriority w:val="99"/>
    <w:rsid w:val="00FF35A3"/>
    <w:pPr>
      <w:widowControl/>
      <w:autoSpaceDE/>
      <w:autoSpaceDN/>
      <w:adjustRightInd/>
      <w:jc w:val="both"/>
    </w:pPr>
    <w:rPr>
      <w:rFonts w:ascii="Arial" w:hAnsi="Arial" w:cs="Arial"/>
      <w:sz w:val="22"/>
      <w:szCs w:val="22"/>
      <w:lang w:eastAsia="en-GB"/>
    </w:rPr>
  </w:style>
  <w:style w:type="character" w:customStyle="1" w:styleId="p">
    <w:name w:val="p"/>
    <w:rPr>
      <w:rFonts w:ascii="Tahoma" w:hAnsi="Tahoma" w:cs="Tahoma" w:hint="default"/>
    </w:rPr>
  </w:style>
  <w:style w:type="character" w:customStyle="1" w:styleId="d">
    <w:name w:val="d"/>
    <w:basedOn w:val="DefaultParagraphFont"/>
  </w:style>
  <w:style w:type="character" w:customStyle="1" w:styleId="o">
    <w:name w:val="o"/>
    <w:basedOn w:val="DefaultParagraphFont"/>
  </w:style>
  <w:style w:type="paragraph" w:styleId="Revision">
    <w:name w:val="Revision"/>
    <w:hidden/>
    <w:uiPriority w:val="99"/>
    <w:semiHidden/>
    <w:rsid w:val="00FF35A3"/>
    <w:rPr>
      <w:rFonts w:ascii="Bliss-ExtraBold" w:hAnsi="Bliss-ExtraBold" w:cs="Bliss-ExtraBold"/>
      <w:sz w:val="24"/>
      <w:szCs w:val="24"/>
      <w:lang w:val="en-GB" w:eastAsia="en-US"/>
    </w:rPr>
  </w:style>
  <w:style w:type="paragraph" w:styleId="ListBullet">
    <w:name w:val="List Bullet"/>
    <w:basedOn w:val="Normal"/>
    <w:rsid w:val="00FF35A3"/>
    <w:pPr>
      <w:widowControl/>
      <w:numPr>
        <w:numId w:val="3"/>
      </w:numPr>
      <w:autoSpaceDE/>
      <w:autoSpaceDN/>
      <w:adjustRightInd/>
      <w:spacing w:before="130" w:after="130" w:line="260" w:lineRule="atLeast"/>
    </w:pPr>
    <w:rPr>
      <w:rFonts w:ascii="Times New Roman" w:hAnsi="Times New Roman" w:cs="Times New Roman"/>
      <w:sz w:val="22"/>
      <w:szCs w:val="20"/>
      <w:lang w:val="en-IE"/>
    </w:rPr>
  </w:style>
  <w:style w:type="character" w:customStyle="1" w:styleId="jmassey">
    <w:name w:val="jmassey"/>
    <w:semiHidden/>
    <w:rsid w:val="00B3515B"/>
  </w:style>
  <w:style w:type="character" w:customStyle="1" w:styleId="emailstyle17">
    <w:name w:val="emailstyle17"/>
    <w:semiHidden/>
    <w:rsid w:val="00B3515B"/>
    <w:rPr>
      <w:rFonts w:ascii="Arial" w:hAnsi="Arial" w:cs="Arial" w:hint="default"/>
      <w:color w:val="auto"/>
      <w:sz w:val="20"/>
      <w:szCs w:val="20"/>
    </w:rPr>
  </w:style>
  <w:style w:type="character" w:customStyle="1" w:styleId="n">
    <w:name w:val="n"/>
    <w:rsid w:val="00FF35A3"/>
    <w:rPr>
      <w:rFonts w:ascii="Trebuchet MS" w:hAnsi="Trebuchet MS" w:hint="default"/>
      <w:color w:val="000000"/>
      <w:sz w:val="22"/>
      <w:szCs w:val="22"/>
    </w:rPr>
  </w:style>
  <w:style w:type="character" w:customStyle="1" w:styleId="EmailStyle51">
    <w:name w:val="EmailStyle51"/>
    <w:semiHidden/>
    <w:rsid w:val="00B3515B"/>
    <w:rPr>
      <w:rFonts w:ascii="Arial" w:hAnsi="Arial" w:cs="Arial"/>
      <w:color w:val="auto"/>
      <w:sz w:val="20"/>
      <w:szCs w:val="20"/>
    </w:rPr>
  </w:style>
  <w:style w:type="character" w:customStyle="1" w:styleId="m">
    <w:name w:val="m"/>
    <w:rsid w:val="00FF35A3"/>
    <w:rPr>
      <w:rFonts w:ascii="Times New Roman" w:hAnsi="Times New Roman" w:cs="Times New Roman" w:hint="default"/>
    </w:rPr>
  </w:style>
  <w:style w:type="paragraph" w:customStyle="1" w:styleId="Accountstext">
    <w:name w:val="Accounts text"/>
    <w:basedOn w:val="Normal"/>
    <w:uiPriority w:val="99"/>
    <w:rsid w:val="00FF35A3"/>
    <w:pPr>
      <w:widowControl/>
      <w:overflowPunct w:val="0"/>
      <w:textAlignment w:val="baseline"/>
    </w:pPr>
    <w:rPr>
      <w:rFonts w:ascii="Times" w:hAnsi="Times" w:cs="Times New Roman"/>
      <w:sz w:val="22"/>
      <w:szCs w:val="20"/>
    </w:rPr>
  </w:style>
  <w:style w:type="paragraph" w:styleId="PlainText">
    <w:name w:val="Plain Text"/>
    <w:basedOn w:val="Normal"/>
    <w:link w:val="PlainTextChar"/>
    <w:uiPriority w:val="99"/>
    <w:unhideWhenUsed/>
    <w:rsid w:val="00FF35A3"/>
    <w:pPr>
      <w:widowControl/>
      <w:autoSpaceDE/>
      <w:autoSpaceDN/>
      <w:adjustRightInd/>
    </w:pPr>
    <w:rPr>
      <w:rFonts w:ascii="Calibri" w:eastAsia="Calibri" w:hAnsi="Calibri" w:cs="Times New Roman"/>
      <w:sz w:val="22"/>
      <w:szCs w:val="22"/>
      <w:lang w:val="en-IE"/>
    </w:rPr>
  </w:style>
  <w:style w:type="character" w:customStyle="1" w:styleId="PlainTextChar">
    <w:name w:val="Plain Text Char"/>
    <w:link w:val="PlainText"/>
    <w:uiPriority w:val="99"/>
    <w:rsid w:val="00F14A26"/>
    <w:rPr>
      <w:rFonts w:ascii="Calibri" w:eastAsia="Calibri" w:hAnsi="Calibri"/>
      <w:sz w:val="22"/>
      <w:szCs w:val="22"/>
      <w:lang w:eastAsia="en-US"/>
    </w:rPr>
  </w:style>
  <w:style w:type="character" w:styleId="HTMLTypewriter">
    <w:name w:val="HTML Typewriter"/>
    <w:uiPriority w:val="99"/>
    <w:unhideWhenUsed/>
    <w:rsid w:val="00E055A8"/>
    <w:rPr>
      <w:rFonts w:ascii="Courier New" w:eastAsia="Calibri" w:hAnsi="Courier New" w:cs="Courier New" w:hint="default"/>
      <w:sz w:val="20"/>
      <w:szCs w:val="20"/>
    </w:rPr>
  </w:style>
  <w:style w:type="character" w:customStyle="1" w:styleId="apple-converted-space">
    <w:name w:val="apple-converted-space"/>
    <w:rsid w:val="000B2392"/>
  </w:style>
  <w:style w:type="paragraph" w:customStyle="1" w:styleId="f">
    <w:name w:val="f"/>
    <w:basedOn w:val="Normal"/>
    <w:uiPriority w:val="99"/>
    <w:rsid w:val="00FF35A3"/>
    <w:pPr>
      <w:widowControl/>
      <w:autoSpaceDE/>
      <w:autoSpaceDN/>
      <w:adjustRightInd/>
      <w:spacing w:before="100" w:beforeAutospacing="1" w:after="100" w:afterAutospacing="1"/>
    </w:pPr>
    <w:rPr>
      <w:rFonts w:ascii="Times New Roman" w:hAnsi="Times New Roman" w:cs="Times New Roman"/>
      <w:lang w:val="en-IE" w:eastAsia="en-IE"/>
    </w:rPr>
  </w:style>
  <w:style w:type="character" w:customStyle="1" w:styleId="ao">
    <w:name w:val="ao"/>
    <w:rsid w:val="000B2392"/>
  </w:style>
  <w:style w:type="paragraph" w:customStyle="1" w:styleId="at">
    <w:name w:val="at"/>
    <w:basedOn w:val="Normal"/>
    <w:uiPriority w:val="99"/>
    <w:rsid w:val="00FF35A3"/>
    <w:pPr>
      <w:widowControl/>
      <w:autoSpaceDE/>
      <w:autoSpaceDN/>
      <w:adjustRightInd/>
      <w:spacing w:before="100" w:beforeAutospacing="1" w:after="100" w:afterAutospacing="1"/>
    </w:pPr>
    <w:rPr>
      <w:rFonts w:ascii="Times New Roman" w:hAnsi="Times New Roman" w:cs="Times New Roman"/>
      <w:lang w:val="en-IE" w:eastAsia="en-IE"/>
    </w:rPr>
  </w:style>
  <w:style w:type="paragraph" w:styleId="EndnoteText">
    <w:name w:val="endnote text"/>
    <w:basedOn w:val="Normal"/>
    <w:link w:val="EndnoteTextChar"/>
    <w:rsid w:val="000B2392"/>
    <w:rPr>
      <w:sz w:val="20"/>
      <w:szCs w:val="20"/>
    </w:rPr>
  </w:style>
  <w:style w:type="character" w:customStyle="1" w:styleId="EndnoteTextChar">
    <w:name w:val="Endnote Text Char"/>
    <w:link w:val="EndnoteText"/>
    <w:rsid w:val="000B2392"/>
    <w:rPr>
      <w:rFonts w:ascii="Bliss-ExtraBold" w:hAnsi="Bliss-ExtraBold" w:cs="Bliss-ExtraBold"/>
      <w:lang w:val="en-GB" w:eastAsia="en-US"/>
    </w:rPr>
  </w:style>
  <w:style w:type="character" w:styleId="EndnoteReference">
    <w:name w:val="endnote reference"/>
    <w:rsid w:val="00FF35A3"/>
    <w:rPr>
      <w:vertAlign w:val="superscript"/>
    </w:rPr>
  </w:style>
  <w:style w:type="paragraph" w:customStyle="1" w:styleId="ACText">
    <w:name w:val="AC Text"/>
    <w:basedOn w:val="Normal"/>
    <w:link w:val="ACTextChar"/>
    <w:rsid w:val="00FF35A3"/>
    <w:pPr>
      <w:widowControl/>
      <w:tabs>
        <w:tab w:val="left" w:pos="0"/>
      </w:tabs>
      <w:suppressAutoHyphens/>
      <w:overflowPunct w:val="0"/>
      <w:spacing w:before="130"/>
      <w:jc w:val="both"/>
      <w:textAlignment w:val="baseline"/>
    </w:pPr>
    <w:rPr>
      <w:rFonts w:ascii="Times New Roman" w:hAnsi="Times New Roman" w:cs="Times New Roman"/>
      <w:sz w:val="20"/>
      <w:szCs w:val="20"/>
    </w:rPr>
  </w:style>
  <w:style w:type="character" w:customStyle="1" w:styleId="ACTextChar">
    <w:name w:val="AC Text Char"/>
    <w:link w:val="ACText"/>
    <w:rsid w:val="00422585"/>
    <w:rPr>
      <w:lang w:val="en-GB" w:eastAsia="en-US"/>
    </w:rPr>
  </w:style>
  <w:style w:type="paragraph" w:customStyle="1" w:styleId="Double">
    <w:name w:val="Double"/>
    <w:basedOn w:val="Normal"/>
    <w:uiPriority w:val="99"/>
    <w:rsid w:val="00FF35A3"/>
    <w:pPr>
      <w:widowControl/>
      <w:overflowPunct w:val="0"/>
      <w:spacing w:after="130"/>
      <w:jc w:val="both"/>
      <w:textAlignment w:val="baseline"/>
    </w:pPr>
    <w:rPr>
      <w:rFonts w:ascii="Times New Roman" w:hAnsi="Times New Roman" w:cs="Times New Roman"/>
      <w:sz w:val="18"/>
      <w:szCs w:val="20"/>
      <w:u w:val="double"/>
    </w:rPr>
  </w:style>
  <w:style w:type="paragraph" w:customStyle="1" w:styleId="NoDecAlign">
    <w:name w:val="NoDecAlign"/>
    <w:basedOn w:val="Normal"/>
    <w:uiPriority w:val="99"/>
    <w:rsid w:val="00FF35A3"/>
    <w:pPr>
      <w:widowControl/>
      <w:tabs>
        <w:tab w:val="decimal" w:pos="1021"/>
      </w:tabs>
      <w:overflowPunct w:val="0"/>
      <w:jc w:val="both"/>
      <w:textAlignment w:val="baseline"/>
    </w:pPr>
    <w:rPr>
      <w:rFonts w:ascii="Times New Roman" w:hAnsi="Times New Roman" w:cs="Times New Roman"/>
      <w:sz w:val="18"/>
      <w:szCs w:val="20"/>
    </w:rPr>
  </w:style>
  <w:style w:type="paragraph" w:customStyle="1" w:styleId="Single">
    <w:name w:val="Single"/>
    <w:basedOn w:val="Normal"/>
    <w:uiPriority w:val="99"/>
    <w:rsid w:val="00FF35A3"/>
    <w:pPr>
      <w:widowControl/>
      <w:overflowPunct w:val="0"/>
      <w:spacing w:after="130"/>
      <w:jc w:val="both"/>
      <w:textAlignment w:val="baseline"/>
    </w:pPr>
    <w:rPr>
      <w:rFonts w:ascii="Times New Roman" w:hAnsi="Times New Roman" w:cs="Times New Roman"/>
      <w:sz w:val="18"/>
      <w:szCs w:val="20"/>
      <w:u w:val="single"/>
    </w:rPr>
  </w:style>
  <w:style w:type="paragraph" w:customStyle="1" w:styleId="ColumnHeading">
    <w:name w:val="Column Heading"/>
    <w:basedOn w:val="Normal"/>
    <w:link w:val="ColumnHeadingChar"/>
    <w:rsid w:val="00FF35A3"/>
    <w:pPr>
      <w:widowControl/>
      <w:tabs>
        <w:tab w:val="decimal" w:pos="737"/>
      </w:tabs>
      <w:spacing w:line="240" w:lineRule="exact"/>
    </w:pPr>
    <w:rPr>
      <w:rFonts w:ascii="Univers 45 Light" w:hAnsi="Univers 45 Light" w:cs="Univers 45 Light"/>
      <w:b/>
      <w:bCs/>
      <w:color w:val="000000"/>
      <w:spacing w:val="-6"/>
      <w:sz w:val="16"/>
      <w:szCs w:val="16"/>
      <w:lang w:val="en-NZ" w:eastAsia="en-NZ"/>
    </w:rPr>
  </w:style>
  <w:style w:type="character" w:customStyle="1" w:styleId="ColumnHeadingChar">
    <w:name w:val="Column Heading Char"/>
    <w:link w:val="ColumnHeading"/>
    <w:rsid w:val="00394B52"/>
    <w:rPr>
      <w:rFonts w:ascii="Univers 45 Light" w:hAnsi="Univers 45 Light" w:cs="Univers 45 Light"/>
      <w:b/>
      <w:bCs/>
      <w:color w:val="000000"/>
      <w:spacing w:val="-6"/>
      <w:sz w:val="16"/>
      <w:szCs w:val="16"/>
      <w:lang w:val="en-NZ" w:eastAsia="en-NZ"/>
    </w:rPr>
  </w:style>
  <w:style w:type="character" w:customStyle="1" w:styleId="aw">
    <w:name w:val="aw"/>
    <w:rsid w:val="007931FF"/>
    <w:rPr>
      <w:rFonts w:ascii="Times New Roman" w:hAnsi="Times New Roman" w:cs="Times New Roman" w:hint="default"/>
    </w:rPr>
  </w:style>
  <w:style w:type="paragraph" w:customStyle="1" w:styleId="cu">
    <w:name w:val="cu"/>
    <w:basedOn w:val="Normal"/>
    <w:rsid w:val="00FF35A3"/>
    <w:pPr>
      <w:widowControl/>
      <w:autoSpaceDE/>
      <w:autoSpaceDN/>
      <w:adjustRightInd/>
      <w:spacing w:before="100" w:beforeAutospacing="1" w:after="100" w:afterAutospacing="1"/>
    </w:pPr>
    <w:rPr>
      <w:rFonts w:ascii="Times New Roman" w:hAnsi="Times New Roman" w:cs="Times New Roman"/>
      <w:lang w:eastAsia="en-GB"/>
    </w:rPr>
  </w:style>
  <w:style w:type="character" w:customStyle="1" w:styleId="cs">
    <w:name w:val="cs"/>
    <w:rsid w:val="005B6A9D"/>
  </w:style>
  <w:style w:type="table" w:customStyle="1" w:styleId="TableGrid1">
    <w:name w:val="Table Grid1"/>
    <w:basedOn w:val="TableNormal"/>
    <w:uiPriority w:val="99"/>
    <w:rsid w:val="005B6A9D"/>
    <w:pPr>
      <w:overflowPunct w:val="0"/>
      <w:autoSpaceDE w:val="0"/>
      <w:autoSpaceDN w:val="0"/>
      <w:adjustRightInd w:val="0"/>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1">
    <w:name w:val="Subhead1"/>
    <w:basedOn w:val="Normal"/>
    <w:uiPriority w:val="99"/>
    <w:rsid w:val="00FF35A3"/>
    <w:pPr>
      <w:widowControl/>
      <w:pBdr>
        <w:bottom w:val="single" w:sz="4" w:space="5" w:color="auto"/>
      </w:pBdr>
      <w:suppressAutoHyphens/>
      <w:spacing w:before="100" w:after="120" w:line="200" w:lineRule="atLeast"/>
      <w:textAlignment w:val="center"/>
    </w:pPr>
    <w:rPr>
      <w:rFonts w:ascii="Arial" w:eastAsia="Calibri" w:hAnsi="Arial" w:cs="Humanst521 BT"/>
      <w:b/>
      <w:bCs/>
      <w:caps/>
      <w:color w:val="001163"/>
      <w:sz w:val="16"/>
      <w:szCs w:val="16"/>
    </w:rPr>
  </w:style>
  <w:style w:type="paragraph" w:customStyle="1" w:styleId="BodybulletsGrey">
    <w:name w:val="Body bullets Grey"/>
    <w:basedOn w:val="Normal"/>
    <w:uiPriority w:val="99"/>
    <w:rsid w:val="00FF35A3"/>
    <w:pPr>
      <w:widowControl/>
      <w:tabs>
        <w:tab w:val="left" w:pos="170"/>
        <w:tab w:val="left" w:pos="227"/>
        <w:tab w:val="left" w:pos="340"/>
      </w:tabs>
      <w:suppressAutoHyphens/>
      <w:spacing w:after="100" w:line="200" w:lineRule="atLeast"/>
      <w:textAlignment w:val="center"/>
    </w:pPr>
    <w:rPr>
      <w:rFonts w:ascii="Humanst521 Lt BT" w:eastAsia="Calibri" w:hAnsi="Humanst521 Lt BT" w:cs="Humanst521 Lt BT"/>
      <w:color w:val="000000"/>
      <w:sz w:val="16"/>
      <w:szCs w:val="16"/>
    </w:rPr>
  </w:style>
  <w:style w:type="paragraph" w:customStyle="1" w:styleId="Signoff">
    <w:name w:val="Sign off"/>
    <w:basedOn w:val="BodyText"/>
    <w:uiPriority w:val="99"/>
    <w:rsid w:val="00FF35A3"/>
    <w:pPr>
      <w:widowControl/>
      <w:tabs>
        <w:tab w:val="left" w:pos="170"/>
        <w:tab w:val="left" w:pos="2268"/>
      </w:tabs>
      <w:suppressAutoHyphens/>
      <w:spacing w:before="700" w:line="200" w:lineRule="atLeast"/>
      <w:jc w:val="left"/>
      <w:textAlignment w:val="center"/>
    </w:pPr>
    <w:rPr>
      <w:rFonts w:ascii="Arial" w:eastAsia="Calibri" w:hAnsi="Arial" w:cs="Humanst521 BT"/>
      <w:b/>
      <w:bCs/>
      <w:caps/>
      <w:color w:val="001163"/>
      <w:sz w:val="15"/>
      <w:szCs w:val="16"/>
    </w:rPr>
  </w:style>
  <w:style w:type="paragraph" w:customStyle="1" w:styleId="Signoff2">
    <w:name w:val="Sign off 2"/>
    <w:basedOn w:val="BodyText"/>
    <w:uiPriority w:val="99"/>
    <w:rsid w:val="00FF35A3"/>
    <w:pPr>
      <w:widowControl/>
      <w:tabs>
        <w:tab w:val="left" w:pos="170"/>
        <w:tab w:val="left" w:pos="2268"/>
      </w:tabs>
      <w:suppressAutoHyphens/>
      <w:spacing w:after="100" w:line="200" w:lineRule="atLeast"/>
      <w:jc w:val="left"/>
      <w:textAlignment w:val="center"/>
    </w:pPr>
    <w:rPr>
      <w:rFonts w:ascii="Arial" w:eastAsia="Calibri" w:hAnsi="Arial" w:cs="Humanst521 Lt BT"/>
      <w:color w:val="000000"/>
      <w:sz w:val="15"/>
      <w:szCs w:val="16"/>
    </w:rPr>
  </w:style>
  <w:style w:type="paragraph" w:customStyle="1" w:styleId="Subhead2">
    <w:name w:val="Subhead 2"/>
    <w:basedOn w:val="Normal"/>
    <w:uiPriority w:val="99"/>
    <w:rsid w:val="00FF35A3"/>
    <w:pPr>
      <w:widowControl/>
      <w:pBdr>
        <w:bottom w:val="single" w:sz="4" w:space="5" w:color="000000"/>
      </w:pBdr>
      <w:suppressAutoHyphens/>
      <w:spacing w:after="120" w:line="200" w:lineRule="atLeast"/>
      <w:textAlignment w:val="center"/>
    </w:pPr>
    <w:rPr>
      <w:rFonts w:ascii="Arial" w:eastAsia="Calibri" w:hAnsi="Arial" w:cs="Humanst521 BT"/>
      <w:b/>
      <w:bCs/>
      <w:caps/>
      <w:color w:val="000000"/>
      <w:sz w:val="16"/>
      <w:szCs w:val="16"/>
    </w:rPr>
  </w:style>
  <w:style w:type="paragraph" w:styleId="NoSpacing">
    <w:name w:val="No Spacing"/>
    <w:uiPriority w:val="1"/>
    <w:qFormat/>
    <w:rsid w:val="00FF35A3"/>
    <w:rPr>
      <w:rFonts w:ascii="Calibri" w:eastAsia="Calibri" w:hAnsi="Calibri"/>
      <w:sz w:val="22"/>
      <w:szCs w:val="22"/>
      <w:lang w:val="en-GB" w:eastAsia="en-US"/>
    </w:rPr>
  </w:style>
  <w:style w:type="paragraph" w:customStyle="1" w:styleId="tabletext">
    <w:name w:val="table text"/>
    <w:basedOn w:val="BodyText"/>
    <w:uiPriority w:val="99"/>
    <w:rsid w:val="00FF35A3"/>
    <w:pPr>
      <w:widowControl/>
      <w:tabs>
        <w:tab w:val="left" w:pos="170"/>
        <w:tab w:val="left" w:pos="1134"/>
      </w:tabs>
      <w:suppressAutoHyphens/>
      <w:spacing w:line="200" w:lineRule="atLeast"/>
      <w:jc w:val="left"/>
      <w:textAlignment w:val="center"/>
    </w:pPr>
    <w:rPr>
      <w:rFonts w:ascii="Arial" w:eastAsia="Calibri" w:hAnsi="Arial" w:cs="Humanst521 Lt BT"/>
      <w:color w:val="000000"/>
      <w:sz w:val="15"/>
      <w:szCs w:val="16"/>
    </w:rPr>
  </w:style>
  <w:style w:type="paragraph" w:customStyle="1" w:styleId="tableheader">
    <w:name w:val="table header"/>
    <w:basedOn w:val="Normal"/>
    <w:uiPriority w:val="99"/>
    <w:rsid w:val="00FF35A3"/>
    <w:pPr>
      <w:widowControl/>
      <w:tabs>
        <w:tab w:val="left" w:pos="170"/>
        <w:tab w:val="left" w:pos="1134"/>
      </w:tabs>
      <w:suppressAutoHyphens/>
      <w:spacing w:line="200" w:lineRule="atLeast"/>
      <w:textAlignment w:val="center"/>
    </w:pPr>
    <w:rPr>
      <w:rFonts w:ascii="Arial" w:eastAsia="Calibri" w:hAnsi="Arial" w:cs="Humanst521 BT"/>
      <w:b/>
      <w:bCs/>
      <w:color w:val="FFFFFF"/>
      <w:sz w:val="16"/>
      <w:szCs w:val="16"/>
    </w:rPr>
  </w:style>
  <w:style w:type="paragraph" w:customStyle="1" w:styleId="bullettext">
    <w:name w:val="bullet text"/>
    <w:basedOn w:val="BodyText"/>
    <w:uiPriority w:val="99"/>
    <w:rsid w:val="00FF35A3"/>
    <w:pPr>
      <w:widowControl/>
      <w:numPr>
        <w:numId w:val="6"/>
      </w:numPr>
      <w:tabs>
        <w:tab w:val="left" w:pos="170"/>
        <w:tab w:val="left" w:pos="1134"/>
      </w:tabs>
      <w:suppressAutoHyphens/>
      <w:spacing w:after="100" w:line="200" w:lineRule="atLeast"/>
      <w:jc w:val="left"/>
      <w:textAlignment w:val="center"/>
    </w:pPr>
    <w:rPr>
      <w:rFonts w:ascii="Arial" w:eastAsia="Calibri" w:hAnsi="Arial" w:cs="Humanst521 Lt BT"/>
      <w:color w:val="000000"/>
      <w:sz w:val="15"/>
      <w:szCs w:val="16"/>
    </w:rPr>
  </w:style>
  <w:style w:type="paragraph" w:customStyle="1" w:styleId="PageTitle">
    <w:name w:val="Page Title"/>
    <w:basedOn w:val="Normal"/>
    <w:next w:val="Normal"/>
    <w:uiPriority w:val="99"/>
    <w:rsid w:val="00FF35A3"/>
    <w:pPr>
      <w:widowControl/>
      <w:tabs>
        <w:tab w:val="left" w:pos="170"/>
        <w:tab w:val="left" w:pos="340"/>
      </w:tabs>
      <w:suppressAutoHyphens/>
      <w:spacing w:line="320" w:lineRule="atLeast"/>
      <w:textAlignment w:val="center"/>
    </w:pPr>
    <w:rPr>
      <w:rFonts w:ascii="Humanst521 BT" w:eastAsia="Calibri" w:hAnsi="Humanst521 BT" w:cs="Humanst521 BT"/>
      <w:caps/>
      <w:color w:val="001163"/>
      <w:sz w:val="30"/>
      <w:szCs w:val="30"/>
    </w:rPr>
  </w:style>
  <w:style w:type="paragraph" w:customStyle="1" w:styleId="REMsub">
    <w:name w:val="REM sub"/>
    <w:basedOn w:val="Normal"/>
    <w:uiPriority w:val="99"/>
    <w:rsid w:val="00FF35A3"/>
    <w:pPr>
      <w:widowControl/>
      <w:tabs>
        <w:tab w:val="left" w:pos="170"/>
        <w:tab w:val="left" w:pos="340"/>
      </w:tabs>
      <w:suppressAutoHyphens/>
      <w:spacing w:line="320" w:lineRule="atLeast"/>
      <w:textAlignment w:val="center"/>
    </w:pPr>
    <w:rPr>
      <w:rFonts w:ascii="Humanst521 BT" w:eastAsia="Calibri" w:hAnsi="Humanst521 BT" w:cs="Humanst521 BT"/>
      <w:caps/>
      <w:color w:val="000000"/>
      <w:sz w:val="22"/>
      <w:szCs w:val="22"/>
    </w:rPr>
  </w:style>
  <w:style w:type="paragraph" w:customStyle="1" w:styleId="Headingsubtitle">
    <w:name w:val="Heading subtitle"/>
    <w:basedOn w:val="Normal"/>
    <w:uiPriority w:val="99"/>
    <w:rsid w:val="00FF35A3"/>
    <w:pPr>
      <w:widowControl/>
      <w:tabs>
        <w:tab w:val="left" w:pos="170"/>
        <w:tab w:val="left" w:pos="340"/>
      </w:tabs>
      <w:suppressAutoHyphens/>
      <w:spacing w:line="320" w:lineRule="atLeast"/>
      <w:textAlignment w:val="center"/>
    </w:pPr>
    <w:rPr>
      <w:rFonts w:ascii="Humanst521 BT" w:eastAsia="Calibri" w:hAnsi="Humanst521 BT" w:cs="Humanst521 BT"/>
      <w:color w:val="000000"/>
      <w:sz w:val="26"/>
      <w:szCs w:val="26"/>
    </w:rPr>
  </w:style>
  <w:style w:type="character" w:customStyle="1" w:styleId="Continued">
    <w:name w:val="Continued"/>
    <w:uiPriority w:val="99"/>
    <w:rsid w:val="000134CB"/>
    <w:rPr>
      <w:rFonts w:ascii="Humanst521 Lt BT" w:hAnsi="Humanst521 Lt BT"/>
    </w:rPr>
  </w:style>
  <w:style w:type="character" w:customStyle="1" w:styleId="ap">
    <w:name w:val="ap"/>
    <w:uiPriority w:val="99"/>
    <w:rsid w:val="000134CB"/>
    <w:rPr>
      <w:rFonts w:cs="Times New Roman"/>
    </w:rPr>
  </w:style>
  <w:style w:type="character" w:customStyle="1" w:styleId="ai">
    <w:name w:val="ai"/>
    <w:uiPriority w:val="99"/>
    <w:rsid w:val="000134CB"/>
    <w:rPr>
      <w:rFonts w:cs="Times New Roman"/>
    </w:rPr>
  </w:style>
  <w:style w:type="paragraph" w:customStyle="1" w:styleId="00Bodynospace">
    <w:name w:val="**00_Body (no space)"/>
    <w:basedOn w:val="Normal"/>
    <w:uiPriority w:val="99"/>
    <w:rsid w:val="00FF35A3"/>
    <w:pPr>
      <w:widowControl/>
      <w:tabs>
        <w:tab w:val="left" w:pos="360"/>
      </w:tabs>
      <w:autoSpaceDE/>
      <w:autoSpaceDN/>
      <w:adjustRightInd/>
    </w:pPr>
    <w:rPr>
      <w:rFonts w:ascii="Arial" w:hAnsi="Arial" w:cs="Times New Roman"/>
      <w:sz w:val="18"/>
    </w:rPr>
  </w:style>
  <w:style w:type="paragraph" w:customStyle="1" w:styleId="ACBody1">
    <w:name w:val="AC Body 1"/>
    <w:basedOn w:val="Body0"/>
    <w:uiPriority w:val="99"/>
    <w:rsid w:val="001A2CCB"/>
    <w:pPr>
      <w:ind w:left="720"/>
    </w:pPr>
  </w:style>
  <w:style w:type="paragraph" w:customStyle="1" w:styleId="ACLevel1">
    <w:name w:val="AC Level 1"/>
    <w:basedOn w:val="ACBody1"/>
    <w:rsid w:val="001A2CCB"/>
    <w:pPr>
      <w:numPr>
        <w:numId w:val="7"/>
      </w:numPr>
      <w:outlineLvl w:val="0"/>
    </w:pPr>
  </w:style>
  <w:style w:type="character" w:customStyle="1" w:styleId="ACLevel1asheadingtext">
    <w:name w:val="AC Level 1 as heading (text)"/>
    <w:rsid w:val="001A2CCB"/>
    <w:rPr>
      <w:b/>
    </w:rPr>
  </w:style>
  <w:style w:type="paragraph" w:customStyle="1" w:styleId="ACBody2">
    <w:name w:val="AC Body 2"/>
    <w:basedOn w:val="Body0"/>
    <w:rsid w:val="001A2CCB"/>
    <w:pPr>
      <w:ind w:left="1440"/>
    </w:pPr>
  </w:style>
  <w:style w:type="paragraph" w:customStyle="1" w:styleId="ACLevel2">
    <w:name w:val="AC Level 2"/>
    <w:basedOn w:val="ACBody2"/>
    <w:rsid w:val="00FF35A3"/>
    <w:pPr>
      <w:numPr>
        <w:ilvl w:val="1"/>
        <w:numId w:val="7"/>
      </w:numPr>
      <w:outlineLvl w:val="1"/>
    </w:pPr>
  </w:style>
  <w:style w:type="paragraph" w:customStyle="1" w:styleId="ACLevel3">
    <w:name w:val="AC Level 3"/>
    <w:basedOn w:val="Normal"/>
    <w:rsid w:val="00FF35A3"/>
    <w:pPr>
      <w:widowControl/>
      <w:numPr>
        <w:ilvl w:val="2"/>
        <w:numId w:val="7"/>
      </w:numPr>
      <w:autoSpaceDE/>
      <w:autoSpaceDN/>
      <w:adjustRightInd/>
      <w:spacing w:after="240"/>
      <w:jc w:val="both"/>
      <w:outlineLvl w:val="2"/>
    </w:pPr>
    <w:rPr>
      <w:rFonts w:ascii="Times New Roman" w:hAnsi="Times New Roman" w:cs="Times New Roman"/>
      <w:lang w:val="en-IE"/>
    </w:rPr>
  </w:style>
  <w:style w:type="paragraph" w:customStyle="1" w:styleId="ACLevel4">
    <w:name w:val="AC Level 4"/>
    <w:basedOn w:val="Normal"/>
    <w:rsid w:val="00FF35A3"/>
    <w:pPr>
      <w:widowControl/>
      <w:tabs>
        <w:tab w:val="num" w:pos="2880"/>
      </w:tabs>
      <w:autoSpaceDE/>
      <w:autoSpaceDN/>
      <w:adjustRightInd/>
      <w:spacing w:after="240"/>
      <w:ind w:left="2880" w:hanging="720"/>
      <w:jc w:val="both"/>
      <w:outlineLvl w:val="3"/>
    </w:pPr>
    <w:rPr>
      <w:rFonts w:ascii="Times New Roman" w:hAnsi="Times New Roman" w:cs="Times New Roman"/>
      <w:lang w:val="en-IE"/>
    </w:rPr>
  </w:style>
  <w:style w:type="paragraph" w:customStyle="1" w:styleId="ACLevel5">
    <w:name w:val="AC Level 5"/>
    <w:basedOn w:val="Normal"/>
    <w:rsid w:val="00FF35A3"/>
    <w:pPr>
      <w:widowControl/>
      <w:tabs>
        <w:tab w:val="num" w:pos="3600"/>
      </w:tabs>
      <w:autoSpaceDE/>
      <w:autoSpaceDN/>
      <w:adjustRightInd/>
      <w:spacing w:after="240"/>
      <w:ind w:left="3600" w:hanging="720"/>
      <w:jc w:val="both"/>
      <w:outlineLvl w:val="4"/>
    </w:pPr>
    <w:rPr>
      <w:rFonts w:ascii="Times New Roman" w:hAnsi="Times New Roman" w:cs="Times New Roman"/>
      <w:lang w:val="en-IE"/>
    </w:rPr>
  </w:style>
  <w:style w:type="paragraph" w:customStyle="1" w:styleId="2">
    <w:name w:val="2"/>
    <w:rsid w:val="00FF35A3"/>
    <w:rPr>
      <w:rFonts w:ascii="New York" w:hAnsi="New York"/>
      <w:sz w:val="24"/>
      <w:lang w:val="en-US" w:eastAsia="en-US"/>
    </w:rPr>
  </w:style>
  <w:style w:type="paragraph" w:customStyle="1" w:styleId="accsline">
    <w:name w:val="accs line"/>
    <w:basedOn w:val="Normal"/>
    <w:next w:val="2"/>
    <w:rsid w:val="00FF35A3"/>
    <w:pPr>
      <w:widowControl/>
      <w:pBdr>
        <w:bottom w:val="single" w:sz="6" w:space="0" w:color="auto"/>
      </w:pBdr>
      <w:tabs>
        <w:tab w:val="right" w:pos="4524"/>
        <w:tab w:val="right" w:pos="6721"/>
        <w:tab w:val="decimal" w:pos="7880"/>
      </w:tabs>
      <w:autoSpaceDE/>
      <w:autoSpaceDN/>
      <w:adjustRightInd/>
      <w:spacing w:after="170" w:line="260" w:lineRule="exact"/>
    </w:pPr>
    <w:rPr>
      <w:rFonts w:ascii="New York" w:hAnsi="New York" w:cs="Times New Roman"/>
      <w:sz w:val="18"/>
      <w:szCs w:val="20"/>
      <w:lang w:val="en-US"/>
    </w:rPr>
  </w:style>
  <w:style w:type="paragraph" w:customStyle="1" w:styleId="subhead">
    <w:name w:val="sub head"/>
    <w:basedOn w:val="Normal"/>
    <w:rsid w:val="00FF35A3"/>
    <w:pPr>
      <w:widowControl/>
      <w:autoSpaceDE/>
      <w:autoSpaceDN/>
      <w:adjustRightInd/>
      <w:spacing w:before="170" w:after="113"/>
    </w:pPr>
    <w:rPr>
      <w:rFonts w:ascii="SunSans-Demi" w:hAnsi="SunSans-Demi" w:cs="Times New Roman"/>
      <w:sz w:val="20"/>
      <w:szCs w:val="20"/>
      <w:lang w:val="en-US"/>
    </w:rPr>
  </w:style>
  <w:style w:type="paragraph" w:customStyle="1" w:styleId="sd">
    <w:name w:val="sd"/>
    <w:aliases w:val=".fj ng.sldkfgjnsl"/>
    <w:basedOn w:val="Normal"/>
    <w:rsid w:val="00FF35A3"/>
    <w:pPr>
      <w:widowControl/>
      <w:autoSpaceDE/>
      <w:autoSpaceDN/>
      <w:adjustRightInd/>
      <w:spacing w:line="285" w:lineRule="exact"/>
    </w:pPr>
    <w:rPr>
      <w:rFonts w:ascii="Formata Medium" w:hAnsi="Formata Medium" w:cs="Times New Roman"/>
      <w:color w:val="0000FF"/>
      <w:spacing w:val="15"/>
      <w:sz w:val="22"/>
      <w:szCs w:val="20"/>
      <w:lang w:val="en-US"/>
    </w:rPr>
  </w:style>
  <w:style w:type="paragraph" w:customStyle="1" w:styleId="newaccs">
    <w:name w:val="new accs"/>
    <w:basedOn w:val="Normal"/>
    <w:rsid w:val="00FF35A3"/>
    <w:pPr>
      <w:widowControl/>
      <w:tabs>
        <w:tab w:val="right" w:pos="3074"/>
        <w:tab w:val="decimal" w:pos="4320"/>
        <w:tab w:val="decimal" w:pos="5517"/>
        <w:tab w:val="decimal" w:pos="6746"/>
      </w:tabs>
      <w:autoSpaceDE/>
      <w:autoSpaceDN/>
      <w:adjustRightInd/>
      <w:spacing w:after="170" w:line="230" w:lineRule="exact"/>
    </w:pPr>
    <w:rPr>
      <w:rFonts w:ascii="New York" w:hAnsi="New York" w:cs="Times New Roman"/>
      <w:sz w:val="18"/>
      <w:szCs w:val="20"/>
      <w:lang w:val="en-US"/>
    </w:rPr>
  </w:style>
  <w:style w:type="paragraph" w:customStyle="1" w:styleId="newaccsline">
    <w:name w:val="new accs line"/>
    <w:basedOn w:val="Normal"/>
    <w:rsid w:val="00FF35A3"/>
    <w:pPr>
      <w:widowControl/>
      <w:pBdr>
        <w:bottom w:val="single" w:sz="6" w:space="0" w:color="auto"/>
      </w:pBdr>
      <w:tabs>
        <w:tab w:val="right" w:pos="3074"/>
        <w:tab w:val="decimal" w:pos="4320"/>
        <w:tab w:val="decimal" w:pos="5517"/>
        <w:tab w:val="decimal" w:pos="6746"/>
      </w:tabs>
      <w:autoSpaceDE/>
      <w:autoSpaceDN/>
      <w:adjustRightInd/>
      <w:spacing w:after="170" w:line="230" w:lineRule="exact"/>
    </w:pPr>
    <w:rPr>
      <w:rFonts w:ascii="New York" w:hAnsi="New York" w:cs="Times New Roman"/>
      <w:sz w:val="18"/>
      <w:szCs w:val="20"/>
      <w:lang w:val="en-US"/>
    </w:rPr>
  </w:style>
  <w:style w:type="paragraph" w:styleId="BodyTextIndent">
    <w:name w:val="Body Text Indent"/>
    <w:basedOn w:val="Normal"/>
    <w:link w:val="BodyTextIndentChar"/>
    <w:rsid w:val="00FF35A3"/>
    <w:pPr>
      <w:widowControl/>
      <w:autoSpaceDE/>
      <w:autoSpaceDN/>
      <w:adjustRightInd/>
      <w:ind w:left="426"/>
    </w:pPr>
    <w:rPr>
      <w:rFonts w:ascii="New York" w:hAnsi="New York" w:cs="Times New Roman"/>
      <w:sz w:val="20"/>
      <w:szCs w:val="20"/>
      <w:lang w:val="en-US" w:eastAsia="en-IE"/>
    </w:rPr>
  </w:style>
  <w:style w:type="character" w:customStyle="1" w:styleId="BodyTextIndentChar">
    <w:name w:val="Body Text Indent Char"/>
    <w:link w:val="BodyTextIndent"/>
    <w:rsid w:val="004754C0"/>
    <w:rPr>
      <w:rFonts w:ascii="New York" w:hAnsi="New York"/>
      <w:lang w:val="en-US"/>
    </w:rPr>
  </w:style>
  <w:style w:type="paragraph" w:customStyle="1" w:styleId="Subject">
    <w:name w:val="Subject"/>
    <w:basedOn w:val="Normal"/>
    <w:next w:val="Normal"/>
    <w:rsid w:val="00FF35A3"/>
    <w:pPr>
      <w:keepLines/>
      <w:widowControl/>
      <w:overflowPunct w:val="0"/>
      <w:spacing w:after="130" w:line="260" w:lineRule="exact"/>
      <w:jc w:val="both"/>
      <w:textAlignment w:val="baseline"/>
    </w:pPr>
    <w:rPr>
      <w:rFonts w:ascii="Times New Roman" w:hAnsi="Times New Roman" w:cs="Times New Roman"/>
      <w:b/>
      <w:sz w:val="22"/>
      <w:szCs w:val="20"/>
    </w:rPr>
  </w:style>
  <w:style w:type="character" w:styleId="PageNumber">
    <w:name w:val="page number"/>
    <w:rsid w:val="004754C0"/>
  </w:style>
  <w:style w:type="character" w:customStyle="1" w:styleId="CharChar">
    <w:name w:val="Char Char"/>
    <w:rsid w:val="004754C0"/>
    <w:rPr>
      <w:rFonts w:ascii="Consolas" w:hAnsi="Consolas"/>
      <w:lang w:bidi="ar-SA"/>
    </w:rPr>
  </w:style>
  <w:style w:type="character" w:customStyle="1" w:styleId="PlainTextChar1">
    <w:name w:val="Plain Text Char1"/>
    <w:uiPriority w:val="99"/>
    <w:semiHidden/>
    <w:rsid w:val="004754C0"/>
    <w:rPr>
      <w:rFonts w:ascii="Consolas" w:hAnsi="Consolas" w:cs="Consolas"/>
      <w:sz w:val="21"/>
      <w:szCs w:val="21"/>
      <w:lang w:val="en-US" w:eastAsia="en-US"/>
    </w:rPr>
  </w:style>
  <w:style w:type="character" w:customStyle="1" w:styleId="ftr">
    <w:name w:val="ftr"/>
    <w:rsid w:val="004754C0"/>
  </w:style>
  <w:style w:type="character" w:customStyle="1" w:styleId="EmailStyle74">
    <w:name w:val="EmailStyle74"/>
    <w:semiHidden/>
    <w:rsid w:val="004754C0"/>
    <w:rPr>
      <w:rFonts w:ascii="Arial" w:hAnsi="Arial" w:cs="Arial"/>
      <w:color w:val="auto"/>
      <w:sz w:val="20"/>
      <w:szCs w:val="20"/>
    </w:rPr>
  </w:style>
  <w:style w:type="character" w:customStyle="1" w:styleId="EmailStyle75">
    <w:name w:val="EmailStyle75"/>
    <w:semiHidden/>
    <w:rsid w:val="004754C0"/>
    <w:rPr>
      <w:rFonts w:ascii="Arial" w:hAnsi="Arial" w:cs="Arial"/>
      <w:color w:val="auto"/>
      <w:sz w:val="20"/>
      <w:szCs w:val="20"/>
    </w:rPr>
  </w:style>
  <w:style w:type="paragraph" w:styleId="Bibliography">
    <w:name w:val="Bibliography"/>
    <w:basedOn w:val="Normal"/>
    <w:next w:val="Normal"/>
    <w:uiPriority w:val="37"/>
    <w:semiHidden/>
    <w:unhideWhenUsed/>
    <w:rsid w:val="00FF35A3"/>
    <w:pPr>
      <w:widowControl/>
      <w:autoSpaceDE/>
      <w:autoSpaceDN/>
      <w:adjustRightInd/>
    </w:pPr>
    <w:rPr>
      <w:rFonts w:ascii="New York" w:hAnsi="New York" w:cs="Times New Roman"/>
      <w:szCs w:val="20"/>
      <w:lang w:val="en-US"/>
    </w:rPr>
  </w:style>
  <w:style w:type="paragraph" w:styleId="BlockText">
    <w:name w:val="Block Text"/>
    <w:basedOn w:val="Normal"/>
    <w:rsid w:val="00FF35A3"/>
    <w:pPr>
      <w:widowControl/>
      <w:pBdr>
        <w:top w:val="single" w:sz="2" w:space="10" w:color="4F81BD" w:shadow="1" w:frame="1"/>
        <w:left w:val="single" w:sz="2" w:space="10" w:color="4F81BD" w:shadow="1" w:frame="1"/>
        <w:bottom w:val="single" w:sz="2" w:space="10" w:color="4F81BD" w:shadow="1" w:frame="1"/>
        <w:right w:val="single" w:sz="2" w:space="10" w:color="4F81BD" w:shadow="1" w:frame="1"/>
      </w:pBdr>
      <w:autoSpaceDE/>
      <w:autoSpaceDN/>
      <w:adjustRightInd/>
      <w:ind w:left="1152" w:right="1152"/>
    </w:pPr>
    <w:rPr>
      <w:rFonts w:ascii="Calibri" w:hAnsi="Calibri" w:cs="Times New Roman"/>
      <w:i/>
      <w:iCs/>
      <w:color w:val="4F81BD"/>
      <w:szCs w:val="20"/>
      <w:lang w:val="en-US"/>
    </w:rPr>
  </w:style>
  <w:style w:type="paragraph" w:styleId="BodyText3">
    <w:name w:val="Body Text 3"/>
    <w:basedOn w:val="Normal"/>
    <w:link w:val="BodyText3Char"/>
    <w:rsid w:val="00FF35A3"/>
    <w:pPr>
      <w:widowControl/>
      <w:autoSpaceDE/>
      <w:autoSpaceDN/>
      <w:adjustRightInd/>
      <w:spacing w:after="120"/>
    </w:pPr>
    <w:rPr>
      <w:rFonts w:ascii="New York" w:hAnsi="New York" w:cs="Times New Roman"/>
      <w:sz w:val="16"/>
      <w:szCs w:val="16"/>
      <w:lang w:val="en-US"/>
    </w:rPr>
  </w:style>
  <w:style w:type="character" w:customStyle="1" w:styleId="BodyText3Char">
    <w:name w:val="Body Text 3 Char"/>
    <w:link w:val="BodyText3"/>
    <w:rsid w:val="004754C0"/>
    <w:rPr>
      <w:rFonts w:ascii="New York" w:hAnsi="New York"/>
      <w:sz w:val="16"/>
      <w:szCs w:val="16"/>
      <w:lang w:val="en-US" w:eastAsia="en-US"/>
    </w:rPr>
  </w:style>
  <w:style w:type="paragraph" w:styleId="BodyTextFirstIndent">
    <w:name w:val="Body Text First Indent"/>
    <w:basedOn w:val="BodyText"/>
    <w:link w:val="BodyTextFirstIndentChar"/>
    <w:rsid w:val="00FF35A3"/>
    <w:pPr>
      <w:widowControl/>
      <w:autoSpaceDE/>
      <w:autoSpaceDN/>
      <w:adjustRightInd/>
      <w:ind w:firstLine="360"/>
      <w:jc w:val="left"/>
    </w:pPr>
    <w:rPr>
      <w:rFonts w:ascii="New York" w:hAnsi="New York" w:cs="Times New Roman"/>
      <w:sz w:val="24"/>
      <w:szCs w:val="20"/>
      <w:lang w:val="en-US"/>
    </w:rPr>
  </w:style>
  <w:style w:type="character" w:customStyle="1" w:styleId="BodyTextFirstIndentChar">
    <w:name w:val="Body Text First Indent Char"/>
    <w:link w:val="BodyTextFirstIndent"/>
    <w:rsid w:val="004754C0"/>
    <w:rPr>
      <w:rFonts w:ascii="New York" w:hAnsi="New York"/>
      <w:sz w:val="24"/>
      <w:lang w:val="en-US" w:eastAsia="en-US"/>
    </w:rPr>
  </w:style>
  <w:style w:type="paragraph" w:styleId="BodyTextFirstIndent2">
    <w:name w:val="Body Text First Indent 2"/>
    <w:basedOn w:val="BodyTextIndent"/>
    <w:link w:val="BodyTextFirstIndent2Char"/>
    <w:rsid w:val="004754C0"/>
    <w:pPr>
      <w:ind w:left="360" w:firstLine="360"/>
    </w:pPr>
    <w:rPr>
      <w:sz w:val="24"/>
      <w:lang w:eastAsia="en-US"/>
    </w:rPr>
  </w:style>
  <w:style w:type="character" w:customStyle="1" w:styleId="BodyTextFirstIndent2Char">
    <w:name w:val="Body Text First Indent 2 Char"/>
    <w:link w:val="BodyTextFirstIndent2"/>
    <w:rsid w:val="004754C0"/>
    <w:rPr>
      <w:rFonts w:ascii="New York" w:hAnsi="New York"/>
      <w:sz w:val="24"/>
      <w:lang w:val="en-US" w:eastAsia="en-US"/>
    </w:rPr>
  </w:style>
  <w:style w:type="paragraph" w:styleId="BodyTextIndent2">
    <w:name w:val="Body Text Indent 2"/>
    <w:basedOn w:val="Normal"/>
    <w:link w:val="BodyTextIndent2Char"/>
    <w:rsid w:val="00FF35A3"/>
    <w:pPr>
      <w:widowControl/>
      <w:autoSpaceDE/>
      <w:autoSpaceDN/>
      <w:adjustRightInd/>
      <w:spacing w:after="120" w:line="480" w:lineRule="auto"/>
      <w:ind w:left="283"/>
    </w:pPr>
    <w:rPr>
      <w:rFonts w:ascii="New York" w:hAnsi="New York" w:cs="Times New Roman"/>
      <w:szCs w:val="20"/>
      <w:lang w:val="en-US"/>
    </w:rPr>
  </w:style>
  <w:style w:type="character" w:customStyle="1" w:styleId="BodyTextIndent2Char">
    <w:name w:val="Body Text Indent 2 Char"/>
    <w:link w:val="BodyTextIndent2"/>
    <w:rsid w:val="004754C0"/>
    <w:rPr>
      <w:rFonts w:ascii="New York" w:hAnsi="New York"/>
      <w:sz w:val="24"/>
      <w:lang w:val="en-US" w:eastAsia="en-US"/>
    </w:rPr>
  </w:style>
  <w:style w:type="paragraph" w:styleId="BodyTextIndent3">
    <w:name w:val="Body Text Indent 3"/>
    <w:basedOn w:val="Normal"/>
    <w:link w:val="BodyTextIndent3Char"/>
    <w:rsid w:val="00FF35A3"/>
    <w:pPr>
      <w:widowControl/>
      <w:autoSpaceDE/>
      <w:autoSpaceDN/>
      <w:adjustRightInd/>
      <w:spacing w:after="120"/>
      <w:ind w:left="283"/>
    </w:pPr>
    <w:rPr>
      <w:rFonts w:ascii="New York" w:hAnsi="New York" w:cs="Times New Roman"/>
      <w:sz w:val="16"/>
      <w:szCs w:val="16"/>
      <w:lang w:val="en-US"/>
    </w:rPr>
  </w:style>
  <w:style w:type="character" w:customStyle="1" w:styleId="BodyTextIndent3Char">
    <w:name w:val="Body Text Indent 3 Char"/>
    <w:link w:val="BodyTextIndent3"/>
    <w:rsid w:val="004754C0"/>
    <w:rPr>
      <w:rFonts w:ascii="New York" w:hAnsi="New York"/>
      <w:sz w:val="16"/>
      <w:szCs w:val="16"/>
      <w:lang w:val="en-US" w:eastAsia="en-US"/>
    </w:rPr>
  </w:style>
  <w:style w:type="paragraph" w:styleId="Caption">
    <w:name w:val="caption"/>
    <w:basedOn w:val="Normal"/>
    <w:next w:val="Normal"/>
    <w:semiHidden/>
    <w:unhideWhenUsed/>
    <w:qFormat/>
    <w:rsid w:val="00FF35A3"/>
    <w:pPr>
      <w:widowControl/>
      <w:autoSpaceDE/>
      <w:autoSpaceDN/>
      <w:adjustRightInd/>
      <w:spacing w:after="200"/>
    </w:pPr>
    <w:rPr>
      <w:rFonts w:ascii="New York" w:hAnsi="New York" w:cs="Times New Roman"/>
      <w:b/>
      <w:bCs/>
      <w:color w:val="4F81BD"/>
      <w:sz w:val="18"/>
      <w:szCs w:val="18"/>
      <w:lang w:val="en-US"/>
    </w:rPr>
  </w:style>
  <w:style w:type="paragraph" w:styleId="Closing">
    <w:name w:val="Closing"/>
    <w:basedOn w:val="Normal"/>
    <w:link w:val="ClosingChar"/>
    <w:rsid w:val="00FF35A3"/>
    <w:pPr>
      <w:widowControl/>
      <w:autoSpaceDE/>
      <w:autoSpaceDN/>
      <w:adjustRightInd/>
      <w:ind w:left="4252"/>
    </w:pPr>
    <w:rPr>
      <w:rFonts w:ascii="New York" w:hAnsi="New York" w:cs="Times New Roman"/>
      <w:szCs w:val="20"/>
      <w:lang w:val="en-US"/>
    </w:rPr>
  </w:style>
  <w:style w:type="character" w:customStyle="1" w:styleId="ClosingChar">
    <w:name w:val="Closing Char"/>
    <w:link w:val="Closing"/>
    <w:rsid w:val="004754C0"/>
    <w:rPr>
      <w:rFonts w:ascii="New York" w:hAnsi="New York"/>
      <w:sz w:val="24"/>
      <w:lang w:val="en-US" w:eastAsia="en-US"/>
    </w:rPr>
  </w:style>
  <w:style w:type="paragraph" w:styleId="Date">
    <w:name w:val="Date"/>
    <w:basedOn w:val="Normal"/>
    <w:next w:val="Normal"/>
    <w:link w:val="DateChar"/>
    <w:rsid w:val="00FF35A3"/>
    <w:pPr>
      <w:widowControl/>
      <w:autoSpaceDE/>
      <w:autoSpaceDN/>
      <w:adjustRightInd/>
    </w:pPr>
    <w:rPr>
      <w:rFonts w:ascii="New York" w:hAnsi="New York" w:cs="Times New Roman"/>
      <w:szCs w:val="20"/>
      <w:lang w:val="en-US"/>
    </w:rPr>
  </w:style>
  <w:style w:type="character" w:customStyle="1" w:styleId="DateChar">
    <w:name w:val="Date Char"/>
    <w:link w:val="Date"/>
    <w:rsid w:val="004754C0"/>
    <w:rPr>
      <w:rFonts w:ascii="New York" w:hAnsi="New York"/>
      <w:sz w:val="24"/>
      <w:lang w:val="en-US" w:eastAsia="en-US"/>
    </w:rPr>
  </w:style>
  <w:style w:type="paragraph" w:styleId="E-mailSignature">
    <w:name w:val="E-mail Signature"/>
    <w:basedOn w:val="Normal"/>
    <w:link w:val="E-mailSignatureChar"/>
    <w:rsid w:val="00FF35A3"/>
    <w:pPr>
      <w:widowControl/>
      <w:autoSpaceDE/>
      <w:autoSpaceDN/>
      <w:adjustRightInd/>
    </w:pPr>
    <w:rPr>
      <w:rFonts w:ascii="New York" w:hAnsi="New York" w:cs="Times New Roman"/>
      <w:szCs w:val="20"/>
      <w:lang w:val="en-US"/>
    </w:rPr>
  </w:style>
  <w:style w:type="character" w:customStyle="1" w:styleId="E-mailSignatureChar">
    <w:name w:val="E-mail Signature Char"/>
    <w:link w:val="E-mailSignature"/>
    <w:rsid w:val="004754C0"/>
    <w:rPr>
      <w:rFonts w:ascii="New York" w:hAnsi="New York"/>
      <w:sz w:val="24"/>
      <w:lang w:val="en-US" w:eastAsia="en-US"/>
    </w:rPr>
  </w:style>
  <w:style w:type="paragraph" w:styleId="EnvelopeAddress">
    <w:name w:val="envelope address"/>
    <w:basedOn w:val="Normal"/>
    <w:rsid w:val="00FF35A3"/>
    <w:pPr>
      <w:framePr w:w="7920" w:h="1980" w:hRule="exact" w:hSpace="180" w:wrap="auto" w:hAnchor="page" w:xAlign="center" w:yAlign="bottom"/>
      <w:widowControl/>
      <w:autoSpaceDE/>
      <w:autoSpaceDN/>
      <w:adjustRightInd/>
      <w:ind w:left="2880"/>
    </w:pPr>
    <w:rPr>
      <w:rFonts w:ascii="Cambria" w:hAnsi="Cambria" w:cs="Times New Roman"/>
      <w:lang w:val="en-US"/>
    </w:rPr>
  </w:style>
  <w:style w:type="paragraph" w:styleId="EnvelopeReturn">
    <w:name w:val="envelope return"/>
    <w:basedOn w:val="Normal"/>
    <w:rsid w:val="00FF35A3"/>
    <w:pPr>
      <w:widowControl/>
      <w:autoSpaceDE/>
      <w:autoSpaceDN/>
      <w:adjustRightInd/>
    </w:pPr>
    <w:rPr>
      <w:rFonts w:ascii="Cambria" w:hAnsi="Cambria" w:cs="Times New Roman"/>
      <w:sz w:val="20"/>
      <w:szCs w:val="20"/>
      <w:lang w:val="en-US"/>
    </w:rPr>
  </w:style>
  <w:style w:type="paragraph" w:styleId="HTMLAddress">
    <w:name w:val="HTML Address"/>
    <w:basedOn w:val="Normal"/>
    <w:link w:val="HTMLAddressChar"/>
    <w:rsid w:val="00FF35A3"/>
    <w:pPr>
      <w:widowControl/>
      <w:autoSpaceDE/>
      <w:autoSpaceDN/>
      <w:adjustRightInd/>
    </w:pPr>
    <w:rPr>
      <w:rFonts w:ascii="New York" w:hAnsi="New York" w:cs="Times New Roman"/>
      <w:i/>
      <w:iCs/>
      <w:szCs w:val="20"/>
      <w:lang w:val="en-US"/>
    </w:rPr>
  </w:style>
  <w:style w:type="character" w:customStyle="1" w:styleId="HTMLAddressChar">
    <w:name w:val="HTML Address Char"/>
    <w:link w:val="HTMLAddress"/>
    <w:rsid w:val="004754C0"/>
    <w:rPr>
      <w:rFonts w:ascii="New York" w:hAnsi="New York"/>
      <w:i/>
      <w:iCs/>
      <w:sz w:val="24"/>
      <w:lang w:val="en-US" w:eastAsia="en-US"/>
    </w:rPr>
  </w:style>
  <w:style w:type="paragraph" w:styleId="Index1">
    <w:name w:val="index 1"/>
    <w:basedOn w:val="Normal"/>
    <w:next w:val="Normal"/>
    <w:autoRedefine/>
    <w:rsid w:val="00FF35A3"/>
    <w:pPr>
      <w:widowControl/>
      <w:autoSpaceDE/>
      <w:autoSpaceDN/>
      <w:adjustRightInd/>
      <w:ind w:left="240" w:hanging="240"/>
    </w:pPr>
    <w:rPr>
      <w:rFonts w:ascii="New York" w:hAnsi="New York" w:cs="Times New Roman"/>
      <w:szCs w:val="20"/>
      <w:lang w:val="en-US"/>
    </w:rPr>
  </w:style>
  <w:style w:type="paragraph" w:styleId="Index2">
    <w:name w:val="index 2"/>
    <w:basedOn w:val="Normal"/>
    <w:next w:val="Normal"/>
    <w:autoRedefine/>
    <w:rsid w:val="00FF35A3"/>
    <w:pPr>
      <w:widowControl/>
      <w:autoSpaceDE/>
      <w:autoSpaceDN/>
      <w:adjustRightInd/>
      <w:ind w:left="480" w:hanging="240"/>
    </w:pPr>
    <w:rPr>
      <w:rFonts w:ascii="New York" w:hAnsi="New York" w:cs="Times New Roman"/>
      <w:szCs w:val="20"/>
      <w:lang w:val="en-US"/>
    </w:rPr>
  </w:style>
  <w:style w:type="paragraph" w:styleId="Index3">
    <w:name w:val="index 3"/>
    <w:basedOn w:val="Normal"/>
    <w:next w:val="Normal"/>
    <w:autoRedefine/>
    <w:rsid w:val="00FF35A3"/>
    <w:pPr>
      <w:widowControl/>
      <w:autoSpaceDE/>
      <w:autoSpaceDN/>
      <w:adjustRightInd/>
      <w:ind w:left="720" w:hanging="240"/>
    </w:pPr>
    <w:rPr>
      <w:rFonts w:ascii="New York" w:hAnsi="New York" w:cs="Times New Roman"/>
      <w:szCs w:val="20"/>
      <w:lang w:val="en-US"/>
    </w:rPr>
  </w:style>
  <w:style w:type="paragraph" w:styleId="Index4">
    <w:name w:val="index 4"/>
    <w:basedOn w:val="Normal"/>
    <w:next w:val="Normal"/>
    <w:autoRedefine/>
    <w:rsid w:val="00FF35A3"/>
    <w:pPr>
      <w:widowControl/>
      <w:autoSpaceDE/>
      <w:autoSpaceDN/>
      <w:adjustRightInd/>
      <w:ind w:left="960" w:hanging="240"/>
    </w:pPr>
    <w:rPr>
      <w:rFonts w:ascii="New York" w:hAnsi="New York" w:cs="Times New Roman"/>
      <w:szCs w:val="20"/>
      <w:lang w:val="en-US"/>
    </w:rPr>
  </w:style>
  <w:style w:type="paragraph" w:styleId="Index5">
    <w:name w:val="index 5"/>
    <w:basedOn w:val="Normal"/>
    <w:next w:val="Normal"/>
    <w:autoRedefine/>
    <w:rsid w:val="00FF35A3"/>
    <w:pPr>
      <w:widowControl/>
      <w:autoSpaceDE/>
      <w:autoSpaceDN/>
      <w:adjustRightInd/>
      <w:ind w:left="1200" w:hanging="240"/>
    </w:pPr>
    <w:rPr>
      <w:rFonts w:ascii="New York" w:hAnsi="New York" w:cs="Times New Roman"/>
      <w:szCs w:val="20"/>
      <w:lang w:val="en-US"/>
    </w:rPr>
  </w:style>
  <w:style w:type="paragraph" w:styleId="Index6">
    <w:name w:val="index 6"/>
    <w:basedOn w:val="Normal"/>
    <w:next w:val="Normal"/>
    <w:autoRedefine/>
    <w:rsid w:val="00FF35A3"/>
    <w:pPr>
      <w:widowControl/>
      <w:autoSpaceDE/>
      <w:autoSpaceDN/>
      <w:adjustRightInd/>
      <w:ind w:left="1440" w:hanging="240"/>
    </w:pPr>
    <w:rPr>
      <w:rFonts w:ascii="New York" w:hAnsi="New York" w:cs="Times New Roman"/>
      <w:szCs w:val="20"/>
      <w:lang w:val="en-US"/>
    </w:rPr>
  </w:style>
  <w:style w:type="paragraph" w:styleId="Index7">
    <w:name w:val="index 7"/>
    <w:basedOn w:val="Normal"/>
    <w:next w:val="Normal"/>
    <w:autoRedefine/>
    <w:rsid w:val="00FF35A3"/>
    <w:pPr>
      <w:widowControl/>
      <w:autoSpaceDE/>
      <w:autoSpaceDN/>
      <w:adjustRightInd/>
      <w:ind w:left="1680" w:hanging="240"/>
    </w:pPr>
    <w:rPr>
      <w:rFonts w:ascii="New York" w:hAnsi="New York" w:cs="Times New Roman"/>
      <w:szCs w:val="20"/>
      <w:lang w:val="en-US"/>
    </w:rPr>
  </w:style>
  <w:style w:type="paragraph" w:styleId="Index8">
    <w:name w:val="index 8"/>
    <w:basedOn w:val="Normal"/>
    <w:next w:val="Normal"/>
    <w:autoRedefine/>
    <w:rsid w:val="00FF35A3"/>
    <w:pPr>
      <w:widowControl/>
      <w:autoSpaceDE/>
      <w:autoSpaceDN/>
      <w:adjustRightInd/>
      <w:ind w:left="1920" w:hanging="240"/>
    </w:pPr>
    <w:rPr>
      <w:rFonts w:ascii="New York" w:hAnsi="New York" w:cs="Times New Roman"/>
      <w:szCs w:val="20"/>
      <w:lang w:val="en-US"/>
    </w:rPr>
  </w:style>
  <w:style w:type="paragraph" w:styleId="Index9">
    <w:name w:val="index 9"/>
    <w:basedOn w:val="Normal"/>
    <w:next w:val="Normal"/>
    <w:autoRedefine/>
    <w:rsid w:val="00FF35A3"/>
    <w:pPr>
      <w:widowControl/>
      <w:autoSpaceDE/>
      <w:autoSpaceDN/>
      <w:adjustRightInd/>
      <w:ind w:left="2160" w:hanging="240"/>
    </w:pPr>
    <w:rPr>
      <w:rFonts w:ascii="New York" w:hAnsi="New York" w:cs="Times New Roman"/>
      <w:szCs w:val="20"/>
      <w:lang w:val="en-US"/>
    </w:rPr>
  </w:style>
  <w:style w:type="paragraph" w:styleId="IndexHeading">
    <w:name w:val="index heading"/>
    <w:basedOn w:val="Normal"/>
    <w:next w:val="Index1"/>
    <w:rsid w:val="00FF35A3"/>
    <w:pPr>
      <w:widowControl/>
      <w:autoSpaceDE/>
      <w:autoSpaceDN/>
      <w:adjustRightInd/>
    </w:pPr>
    <w:rPr>
      <w:rFonts w:ascii="Cambria" w:hAnsi="Cambria" w:cs="Times New Roman"/>
      <w:b/>
      <w:bCs/>
      <w:szCs w:val="20"/>
      <w:lang w:val="en-US"/>
    </w:rPr>
  </w:style>
  <w:style w:type="paragraph" w:styleId="IntenseQuote">
    <w:name w:val="Intense Quote"/>
    <w:basedOn w:val="Normal"/>
    <w:next w:val="Normal"/>
    <w:link w:val="IntenseQuoteChar"/>
    <w:uiPriority w:val="30"/>
    <w:qFormat/>
    <w:rsid w:val="00FF35A3"/>
    <w:pPr>
      <w:widowControl/>
      <w:pBdr>
        <w:bottom w:val="single" w:sz="4" w:space="4" w:color="4F81BD"/>
      </w:pBdr>
      <w:autoSpaceDE/>
      <w:autoSpaceDN/>
      <w:adjustRightInd/>
      <w:spacing w:before="200" w:after="280"/>
      <w:ind w:left="936" w:right="936"/>
    </w:pPr>
    <w:rPr>
      <w:rFonts w:ascii="New York" w:hAnsi="New York" w:cs="Times New Roman"/>
      <w:b/>
      <w:bCs/>
      <w:i/>
      <w:iCs/>
      <w:color w:val="4F81BD"/>
      <w:szCs w:val="20"/>
      <w:lang w:val="en-US"/>
    </w:rPr>
  </w:style>
  <w:style w:type="character" w:customStyle="1" w:styleId="IntenseQuoteChar">
    <w:name w:val="Intense Quote Char"/>
    <w:link w:val="IntenseQuote"/>
    <w:uiPriority w:val="30"/>
    <w:rsid w:val="004754C0"/>
    <w:rPr>
      <w:rFonts w:ascii="New York" w:hAnsi="New York"/>
      <w:b/>
      <w:bCs/>
      <w:i/>
      <w:iCs/>
      <w:color w:val="4F81BD"/>
      <w:sz w:val="24"/>
      <w:lang w:val="en-US" w:eastAsia="en-US"/>
    </w:rPr>
  </w:style>
  <w:style w:type="paragraph" w:styleId="List">
    <w:name w:val="List"/>
    <w:basedOn w:val="Normal"/>
    <w:rsid w:val="00FF35A3"/>
    <w:pPr>
      <w:widowControl/>
      <w:autoSpaceDE/>
      <w:autoSpaceDN/>
      <w:adjustRightInd/>
      <w:ind w:left="283" w:hanging="283"/>
      <w:contextualSpacing/>
    </w:pPr>
    <w:rPr>
      <w:rFonts w:ascii="New York" w:hAnsi="New York" w:cs="Times New Roman"/>
      <w:szCs w:val="20"/>
      <w:lang w:val="en-US"/>
    </w:rPr>
  </w:style>
  <w:style w:type="paragraph" w:styleId="List2">
    <w:name w:val="List 2"/>
    <w:basedOn w:val="Normal"/>
    <w:rsid w:val="00FF35A3"/>
    <w:pPr>
      <w:widowControl/>
      <w:autoSpaceDE/>
      <w:autoSpaceDN/>
      <w:adjustRightInd/>
      <w:ind w:left="566" w:hanging="283"/>
      <w:contextualSpacing/>
    </w:pPr>
    <w:rPr>
      <w:rFonts w:ascii="New York" w:hAnsi="New York" w:cs="Times New Roman"/>
      <w:szCs w:val="20"/>
      <w:lang w:val="en-US"/>
    </w:rPr>
  </w:style>
  <w:style w:type="paragraph" w:styleId="List3">
    <w:name w:val="List 3"/>
    <w:basedOn w:val="Normal"/>
    <w:rsid w:val="00FF35A3"/>
    <w:pPr>
      <w:widowControl/>
      <w:autoSpaceDE/>
      <w:autoSpaceDN/>
      <w:adjustRightInd/>
      <w:ind w:left="849" w:hanging="283"/>
      <w:contextualSpacing/>
    </w:pPr>
    <w:rPr>
      <w:rFonts w:ascii="New York" w:hAnsi="New York" w:cs="Times New Roman"/>
      <w:szCs w:val="20"/>
      <w:lang w:val="en-US"/>
    </w:rPr>
  </w:style>
  <w:style w:type="paragraph" w:styleId="List4">
    <w:name w:val="List 4"/>
    <w:basedOn w:val="Normal"/>
    <w:rsid w:val="00FF35A3"/>
    <w:pPr>
      <w:widowControl/>
      <w:autoSpaceDE/>
      <w:autoSpaceDN/>
      <w:adjustRightInd/>
      <w:ind w:left="1132" w:hanging="283"/>
      <w:contextualSpacing/>
    </w:pPr>
    <w:rPr>
      <w:rFonts w:ascii="New York" w:hAnsi="New York" w:cs="Times New Roman"/>
      <w:szCs w:val="20"/>
      <w:lang w:val="en-US"/>
    </w:rPr>
  </w:style>
  <w:style w:type="paragraph" w:styleId="List5">
    <w:name w:val="List 5"/>
    <w:basedOn w:val="Normal"/>
    <w:rsid w:val="00FF35A3"/>
    <w:pPr>
      <w:widowControl/>
      <w:autoSpaceDE/>
      <w:autoSpaceDN/>
      <w:adjustRightInd/>
      <w:ind w:left="1415" w:hanging="283"/>
      <w:contextualSpacing/>
    </w:pPr>
    <w:rPr>
      <w:rFonts w:ascii="New York" w:hAnsi="New York" w:cs="Times New Roman"/>
      <w:szCs w:val="20"/>
      <w:lang w:val="en-US"/>
    </w:rPr>
  </w:style>
  <w:style w:type="paragraph" w:styleId="ListBullet2">
    <w:name w:val="List Bullet 2"/>
    <w:basedOn w:val="Normal"/>
    <w:rsid w:val="00FF35A3"/>
    <w:pPr>
      <w:widowControl/>
      <w:numPr>
        <w:numId w:val="8"/>
      </w:numPr>
      <w:autoSpaceDE/>
      <w:autoSpaceDN/>
      <w:adjustRightInd/>
      <w:contextualSpacing/>
    </w:pPr>
    <w:rPr>
      <w:rFonts w:ascii="New York" w:hAnsi="New York" w:cs="Times New Roman"/>
      <w:szCs w:val="20"/>
      <w:lang w:val="en-US"/>
    </w:rPr>
  </w:style>
  <w:style w:type="paragraph" w:styleId="ListBullet3">
    <w:name w:val="List Bullet 3"/>
    <w:basedOn w:val="Normal"/>
    <w:rsid w:val="00FF35A3"/>
    <w:pPr>
      <w:widowControl/>
      <w:numPr>
        <w:numId w:val="9"/>
      </w:numPr>
      <w:autoSpaceDE/>
      <w:autoSpaceDN/>
      <w:adjustRightInd/>
      <w:contextualSpacing/>
    </w:pPr>
    <w:rPr>
      <w:rFonts w:ascii="New York" w:hAnsi="New York" w:cs="Times New Roman"/>
      <w:szCs w:val="20"/>
      <w:lang w:val="en-US"/>
    </w:rPr>
  </w:style>
  <w:style w:type="paragraph" w:styleId="ListBullet4">
    <w:name w:val="List Bullet 4"/>
    <w:basedOn w:val="Normal"/>
    <w:rsid w:val="00FF35A3"/>
    <w:pPr>
      <w:widowControl/>
      <w:numPr>
        <w:numId w:val="10"/>
      </w:numPr>
      <w:autoSpaceDE/>
      <w:autoSpaceDN/>
      <w:adjustRightInd/>
      <w:contextualSpacing/>
    </w:pPr>
    <w:rPr>
      <w:rFonts w:ascii="New York" w:hAnsi="New York" w:cs="Times New Roman"/>
      <w:szCs w:val="20"/>
      <w:lang w:val="en-US"/>
    </w:rPr>
  </w:style>
  <w:style w:type="paragraph" w:styleId="ListBullet5">
    <w:name w:val="List Bullet 5"/>
    <w:basedOn w:val="Normal"/>
    <w:rsid w:val="00FF35A3"/>
    <w:pPr>
      <w:widowControl/>
      <w:numPr>
        <w:numId w:val="11"/>
      </w:numPr>
      <w:autoSpaceDE/>
      <w:autoSpaceDN/>
      <w:adjustRightInd/>
      <w:contextualSpacing/>
    </w:pPr>
    <w:rPr>
      <w:rFonts w:ascii="New York" w:hAnsi="New York" w:cs="Times New Roman"/>
      <w:szCs w:val="20"/>
      <w:lang w:val="en-US"/>
    </w:rPr>
  </w:style>
  <w:style w:type="paragraph" w:styleId="ListContinue">
    <w:name w:val="List Continue"/>
    <w:basedOn w:val="Normal"/>
    <w:rsid w:val="00FF35A3"/>
    <w:pPr>
      <w:widowControl/>
      <w:autoSpaceDE/>
      <w:autoSpaceDN/>
      <w:adjustRightInd/>
      <w:spacing w:after="120"/>
      <w:ind w:left="283"/>
      <w:contextualSpacing/>
    </w:pPr>
    <w:rPr>
      <w:rFonts w:ascii="New York" w:hAnsi="New York" w:cs="Times New Roman"/>
      <w:szCs w:val="20"/>
      <w:lang w:val="en-US"/>
    </w:rPr>
  </w:style>
  <w:style w:type="paragraph" w:styleId="ListContinue2">
    <w:name w:val="List Continue 2"/>
    <w:basedOn w:val="Normal"/>
    <w:rsid w:val="00FF35A3"/>
    <w:pPr>
      <w:widowControl/>
      <w:autoSpaceDE/>
      <w:autoSpaceDN/>
      <w:adjustRightInd/>
      <w:spacing w:after="120"/>
      <w:ind w:left="566"/>
      <w:contextualSpacing/>
    </w:pPr>
    <w:rPr>
      <w:rFonts w:ascii="New York" w:hAnsi="New York" w:cs="Times New Roman"/>
      <w:szCs w:val="20"/>
      <w:lang w:val="en-US"/>
    </w:rPr>
  </w:style>
  <w:style w:type="paragraph" w:styleId="ListContinue3">
    <w:name w:val="List Continue 3"/>
    <w:basedOn w:val="Normal"/>
    <w:rsid w:val="00FF35A3"/>
    <w:pPr>
      <w:widowControl/>
      <w:autoSpaceDE/>
      <w:autoSpaceDN/>
      <w:adjustRightInd/>
      <w:spacing w:after="120"/>
      <w:ind w:left="849"/>
      <w:contextualSpacing/>
    </w:pPr>
    <w:rPr>
      <w:rFonts w:ascii="New York" w:hAnsi="New York" w:cs="Times New Roman"/>
      <w:szCs w:val="20"/>
      <w:lang w:val="en-US"/>
    </w:rPr>
  </w:style>
  <w:style w:type="paragraph" w:styleId="ListContinue4">
    <w:name w:val="List Continue 4"/>
    <w:basedOn w:val="Normal"/>
    <w:rsid w:val="00FF35A3"/>
    <w:pPr>
      <w:widowControl/>
      <w:autoSpaceDE/>
      <w:autoSpaceDN/>
      <w:adjustRightInd/>
      <w:spacing w:after="120"/>
      <w:ind w:left="1132"/>
      <w:contextualSpacing/>
    </w:pPr>
    <w:rPr>
      <w:rFonts w:ascii="New York" w:hAnsi="New York" w:cs="Times New Roman"/>
      <w:szCs w:val="20"/>
      <w:lang w:val="en-US"/>
    </w:rPr>
  </w:style>
  <w:style w:type="paragraph" w:styleId="ListContinue5">
    <w:name w:val="List Continue 5"/>
    <w:basedOn w:val="Normal"/>
    <w:rsid w:val="00FF35A3"/>
    <w:pPr>
      <w:widowControl/>
      <w:autoSpaceDE/>
      <w:autoSpaceDN/>
      <w:adjustRightInd/>
      <w:spacing w:after="120"/>
      <w:ind w:left="1415"/>
      <w:contextualSpacing/>
    </w:pPr>
    <w:rPr>
      <w:rFonts w:ascii="New York" w:hAnsi="New York" w:cs="Times New Roman"/>
      <w:szCs w:val="20"/>
      <w:lang w:val="en-US"/>
    </w:rPr>
  </w:style>
  <w:style w:type="paragraph" w:styleId="ListNumber">
    <w:name w:val="List Number"/>
    <w:basedOn w:val="Normal"/>
    <w:rsid w:val="00FF35A3"/>
    <w:pPr>
      <w:widowControl/>
      <w:numPr>
        <w:numId w:val="12"/>
      </w:numPr>
      <w:autoSpaceDE/>
      <w:autoSpaceDN/>
      <w:adjustRightInd/>
      <w:contextualSpacing/>
    </w:pPr>
    <w:rPr>
      <w:rFonts w:ascii="New York" w:hAnsi="New York" w:cs="Times New Roman"/>
      <w:szCs w:val="20"/>
      <w:lang w:val="en-US"/>
    </w:rPr>
  </w:style>
  <w:style w:type="paragraph" w:styleId="ListNumber2">
    <w:name w:val="List Number 2"/>
    <w:basedOn w:val="Normal"/>
    <w:rsid w:val="00FF35A3"/>
    <w:pPr>
      <w:widowControl/>
      <w:numPr>
        <w:numId w:val="13"/>
      </w:numPr>
      <w:autoSpaceDE/>
      <w:autoSpaceDN/>
      <w:adjustRightInd/>
      <w:contextualSpacing/>
    </w:pPr>
    <w:rPr>
      <w:rFonts w:ascii="New York" w:hAnsi="New York" w:cs="Times New Roman"/>
      <w:szCs w:val="20"/>
      <w:lang w:val="en-US"/>
    </w:rPr>
  </w:style>
  <w:style w:type="paragraph" w:styleId="ListNumber3">
    <w:name w:val="List Number 3"/>
    <w:basedOn w:val="Normal"/>
    <w:rsid w:val="00FF35A3"/>
    <w:pPr>
      <w:widowControl/>
      <w:numPr>
        <w:numId w:val="14"/>
      </w:numPr>
      <w:autoSpaceDE/>
      <w:autoSpaceDN/>
      <w:adjustRightInd/>
      <w:contextualSpacing/>
    </w:pPr>
    <w:rPr>
      <w:rFonts w:ascii="New York" w:hAnsi="New York" w:cs="Times New Roman"/>
      <w:szCs w:val="20"/>
      <w:lang w:val="en-US"/>
    </w:rPr>
  </w:style>
  <w:style w:type="paragraph" w:styleId="ListNumber4">
    <w:name w:val="List Number 4"/>
    <w:basedOn w:val="Normal"/>
    <w:rsid w:val="00FF35A3"/>
    <w:pPr>
      <w:widowControl/>
      <w:numPr>
        <w:numId w:val="15"/>
      </w:numPr>
      <w:autoSpaceDE/>
      <w:autoSpaceDN/>
      <w:adjustRightInd/>
      <w:contextualSpacing/>
    </w:pPr>
    <w:rPr>
      <w:rFonts w:ascii="New York" w:hAnsi="New York" w:cs="Times New Roman"/>
      <w:szCs w:val="20"/>
      <w:lang w:val="en-US"/>
    </w:rPr>
  </w:style>
  <w:style w:type="paragraph" w:styleId="ListNumber5">
    <w:name w:val="List Number 5"/>
    <w:basedOn w:val="Normal"/>
    <w:rsid w:val="00FF35A3"/>
    <w:pPr>
      <w:widowControl/>
      <w:numPr>
        <w:numId w:val="16"/>
      </w:numPr>
      <w:autoSpaceDE/>
      <w:autoSpaceDN/>
      <w:adjustRightInd/>
      <w:contextualSpacing/>
    </w:pPr>
    <w:rPr>
      <w:rFonts w:ascii="New York" w:hAnsi="New York" w:cs="Times New Roman"/>
      <w:szCs w:val="20"/>
      <w:lang w:val="en-US"/>
    </w:rPr>
  </w:style>
  <w:style w:type="paragraph" w:styleId="MacroText">
    <w:name w:val="macro"/>
    <w:link w:val="MacroTextChar"/>
    <w:rsid w:val="004754C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eastAsia="en-US"/>
    </w:rPr>
  </w:style>
  <w:style w:type="character" w:customStyle="1" w:styleId="MacroTextChar">
    <w:name w:val="Macro Text Char"/>
    <w:link w:val="MacroText"/>
    <w:rsid w:val="004754C0"/>
    <w:rPr>
      <w:rFonts w:ascii="Consolas" w:hAnsi="Consolas" w:cs="Consolas"/>
      <w:lang w:val="en-US" w:eastAsia="en-US"/>
    </w:rPr>
  </w:style>
  <w:style w:type="paragraph" w:styleId="MessageHeader">
    <w:name w:val="Message Header"/>
    <w:basedOn w:val="Normal"/>
    <w:link w:val="MessageHeaderChar"/>
    <w:rsid w:val="00FF35A3"/>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pPr>
    <w:rPr>
      <w:rFonts w:ascii="Cambria" w:hAnsi="Cambria" w:cs="Times New Roman"/>
      <w:lang w:val="en-US"/>
    </w:rPr>
  </w:style>
  <w:style w:type="character" w:customStyle="1" w:styleId="MessageHeaderChar">
    <w:name w:val="Message Header Char"/>
    <w:link w:val="MessageHeader"/>
    <w:rsid w:val="004754C0"/>
    <w:rPr>
      <w:rFonts w:ascii="Cambria" w:hAnsi="Cambria"/>
      <w:sz w:val="24"/>
      <w:szCs w:val="24"/>
      <w:shd w:val="pct20" w:color="auto" w:fill="auto"/>
      <w:lang w:val="en-US" w:eastAsia="en-US"/>
    </w:rPr>
  </w:style>
  <w:style w:type="paragraph" w:styleId="NormalIndent">
    <w:name w:val="Normal Indent"/>
    <w:basedOn w:val="Normal"/>
    <w:rsid w:val="00FF35A3"/>
    <w:pPr>
      <w:widowControl/>
      <w:autoSpaceDE/>
      <w:autoSpaceDN/>
      <w:adjustRightInd/>
      <w:ind w:left="720"/>
    </w:pPr>
    <w:rPr>
      <w:rFonts w:ascii="New York" w:hAnsi="New York" w:cs="Times New Roman"/>
      <w:szCs w:val="20"/>
      <w:lang w:val="en-US"/>
    </w:rPr>
  </w:style>
  <w:style w:type="paragraph" w:styleId="NoteHeading">
    <w:name w:val="Note Heading"/>
    <w:basedOn w:val="Normal"/>
    <w:next w:val="Normal"/>
    <w:link w:val="NoteHeadingChar"/>
    <w:rsid w:val="00FF35A3"/>
    <w:pPr>
      <w:widowControl/>
      <w:autoSpaceDE/>
      <w:autoSpaceDN/>
      <w:adjustRightInd/>
    </w:pPr>
    <w:rPr>
      <w:rFonts w:ascii="New York" w:hAnsi="New York" w:cs="Times New Roman"/>
      <w:szCs w:val="20"/>
      <w:lang w:val="en-US"/>
    </w:rPr>
  </w:style>
  <w:style w:type="character" w:customStyle="1" w:styleId="NoteHeadingChar">
    <w:name w:val="Note Heading Char"/>
    <w:link w:val="NoteHeading"/>
    <w:rsid w:val="004754C0"/>
    <w:rPr>
      <w:rFonts w:ascii="New York" w:hAnsi="New York"/>
      <w:sz w:val="24"/>
      <w:lang w:val="en-US" w:eastAsia="en-US"/>
    </w:rPr>
  </w:style>
  <w:style w:type="paragraph" w:styleId="Quote">
    <w:name w:val="Quote"/>
    <w:basedOn w:val="Normal"/>
    <w:next w:val="Normal"/>
    <w:link w:val="QuoteChar"/>
    <w:uiPriority w:val="29"/>
    <w:qFormat/>
    <w:rsid w:val="00FF35A3"/>
    <w:pPr>
      <w:widowControl/>
      <w:autoSpaceDE/>
      <w:autoSpaceDN/>
      <w:adjustRightInd/>
    </w:pPr>
    <w:rPr>
      <w:rFonts w:ascii="New York" w:hAnsi="New York" w:cs="Times New Roman"/>
      <w:i/>
      <w:iCs/>
      <w:color w:val="000000"/>
      <w:szCs w:val="20"/>
      <w:lang w:val="en-US"/>
    </w:rPr>
  </w:style>
  <w:style w:type="character" w:customStyle="1" w:styleId="QuoteChar">
    <w:name w:val="Quote Char"/>
    <w:link w:val="Quote"/>
    <w:uiPriority w:val="29"/>
    <w:rsid w:val="004754C0"/>
    <w:rPr>
      <w:rFonts w:ascii="New York" w:hAnsi="New York"/>
      <w:i/>
      <w:iCs/>
      <w:color w:val="000000"/>
      <w:sz w:val="24"/>
      <w:lang w:val="en-US" w:eastAsia="en-US"/>
    </w:rPr>
  </w:style>
  <w:style w:type="paragraph" w:styleId="Salutation">
    <w:name w:val="Salutation"/>
    <w:basedOn w:val="Normal"/>
    <w:next w:val="Normal"/>
    <w:link w:val="SalutationChar"/>
    <w:rsid w:val="00FF35A3"/>
    <w:pPr>
      <w:widowControl/>
      <w:autoSpaceDE/>
      <w:autoSpaceDN/>
      <w:adjustRightInd/>
    </w:pPr>
    <w:rPr>
      <w:rFonts w:ascii="New York" w:hAnsi="New York" w:cs="Times New Roman"/>
      <w:szCs w:val="20"/>
      <w:lang w:val="en-US"/>
    </w:rPr>
  </w:style>
  <w:style w:type="character" w:customStyle="1" w:styleId="SalutationChar">
    <w:name w:val="Salutation Char"/>
    <w:link w:val="Salutation"/>
    <w:rsid w:val="004754C0"/>
    <w:rPr>
      <w:rFonts w:ascii="New York" w:hAnsi="New York"/>
      <w:sz w:val="24"/>
      <w:lang w:val="en-US" w:eastAsia="en-US"/>
    </w:rPr>
  </w:style>
  <w:style w:type="paragraph" w:styleId="Signature">
    <w:name w:val="Signature"/>
    <w:basedOn w:val="Normal"/>
    <w:link w:val="SignatureChar"/>
    <w:rsid w:val="00FF35A3"/>
    <w:pPr>
      <w:widowControl/>
      <w:autoSpaceDE/>
      <w:autoSpaceDN/>
      <w:adjustRightInd/>
      <w:ind w:left="4252"/>
    </w:pPr>
    <w:rPr>
      <w:rFonts w:ascii="New York" w:hAnsi="New York" w:cs="Times New Roman"/>
      <w:szCs w:val="20"/>
      <w:lang w:val="en-US"/>
    </w:rPr>
  </w:style>
  <w:style w:type="character" w:customStyle="1" w:styleId="SignatureChar">
    <w:name w:val="Signature Char"/>
    <w:link w:val="Signature"/>
    <w:rsid w:val="004754C0"/>
    <w:rPr>
      <w:rFonts w:ascii="New York" w:hAnsi="New York"/>
      <w:sz w:val="24"/>
      <w:lang w:val="en-US" w:eastAsia="en-US"/>
    </w:rPr>
  </w:style>
  <w:style w:type="paragraph" w:styleId="Subtitle">
    <w:name w:val="Subtitle"/>
    <w:basedOn w:val="Normal"/>
    <w:next w:val="Normal"/>
    <w:link w:val="SubtitleChar"/>
    <w:qFormat/>
    <w:rsid w:val="00FF35A3"/>
    <w:pPr>
      <w:widowControl/>
      <w:numPr>
        <w:ilvl w:val="1"/>
      </w:numPr>
      <w:autoSpaceDE/>
      <w:autoSpaceDN/>
      <w:adjustRightInd/>
    </w:pPr>
    <w:rPr>
      <w:rFonts w:ascii="Cambria" w:hAnsi="Cambria" w:cs="Times New Roman"/>
      <w:i/>
      <w:iCs/>
      <w:color w:val="4F81BD"/>
      <w:spacing w:val="15"/>
      <w:lang w:val="en-US"/>
    </w:rPr>
  </w:style>
  <w:style w:type="character" w:customStyle="1" w:styleId="SubtitleChar">
    <w:name w:val="Subtitle Char"/>
    <w:link w:val="Subtitle"/>
    <w:rsid w:val="004754C0"/>
    <w:rPr>
      <w:rFonts w:ascii="Cambria" w:hAnsi="Cambria"/>
      <w:i/>
      <w:iCs/>
      <w:color w:val="4F81BD"/>
      <w:spacing w:val="15"/>
      <w:sz w:val="24"/>
      <w:szCs w:val="24"/>
      <w:lang w:val="en-US" w:eastAsia="en-US"/>
    </w:rPr>
  </w:style>
  <w:style w:type="paragraph" w:styleId="TableofAuthorities">
    <w:name w:val="table of authorities"/>
    <w:basedOn w:val="Normal"/>
    <w:next w:val="Normal"/>
    <w:rsid w:val="00FF35A3"/>
    <w:pPr>
      <w:widowControl/>
      <w:autoSpaceDE/>
      <w:autoSpaceDN/>
      <w:adjustRightInd/>
      <w:ind w:left="240" w:hanging="240"/>
    </w:pPr>
    <w:rPr>
      <w:rFonts w:ascii="New York" w:hAnsi="New York" w:cs="Times New Roman"/>
      <w:szCs w:val="20"/>
      <w:lang w:val="en-US"/>
    </w:rPr>
  </w:style>
  <w:style w:type="paragraph" w:styleId="TableofFigures">
    <w:name w:val="table of figures"/>
    <w:basedOn w:val="Normal"/>
    <w:next w:val="Normal"/>
    <w:rsid w:val="00FF35A3"/>
    <w:pPr>
      <w:widowControl/>
      <w:autoSpaceDE/>
      <w:autoSpaceDN/>
      <w:adjustRightInd/>
    </w:pPr>
    <w:rPr>
      <w:rFonts w:ascii="New York" w:hAnsi="New York" w:cs="Times New Roman"/>
      <w:szCs w:val="20"/>
      <w:lang w:val="en-US"/>
    </w:rPr>
  </w:style>
  <w:style w:type="paragraph" w:styleId="Title">
    <w:name w:val="Title"/>
    <w:basedOn w:val="Normal"/>
    <w:next w:val="Normal"/>
    <w:link w:val="TitleChar"/>
    <w:qFormat/>
    <w:rsid w:val="00FF35A3"/>
    <w:pPr>
      <w:widowControl/>
      <w:pBdr>
        <w:bottom w:val="single" w:sz="8" w:space="4" w:color="4F81BD"/>
      </w:pBdr>
      <w:autoSpaceDE/>
      <w:autoSpaceDN/>
      <w:adjustRightInd/>
      <w:spacing w:after="300"/>
      <w:contextualSpacing/>
    </w:pPr>
    <w:rPr>
      <w:rFonts w:ascii="Cambria" w:hAnsi="Cambria" w:cs="Times New Roman"/>
      <w:color w:val="17365D"/>
      <w:spacing w:val="5"/>
      <w:kern w:val="28"/>
      <w:sz w:val="52"/>
      <w:szCs w:val="52"/>
      <w:lang w:val="en-US"/>
    </w:rPr>
  </w:style>
  <w:style w:type="character" w:customStyle="1" w:styleId="TitleChar">
    <w:name w:val="Title Char"/>
    <w:link w:val="Title"/>
    <w:rsid w:val="004754C0"/>
    <w:rPr>
      <w:rFonts w:ascii="Cambria" w:hAnsi="Cambria"/>
      <w:color w:val="17365D"/>
      <w:spacing w:val="5"/>
      <w:kern w:val="28"/>
      <w:sz w:val="52"/>
      <w:szCs w:val="52"/>
      <w:lang w:val="en-US" w:eastAsia="en-US"/>
    </w:rPr>
  </w:style>
  <w:style w:type="paragraph" w:styleId="TOAHeading">
    <w:name w:val="toa heading"/>
    <w:basedOn w:val="Normal"/>
    <w:next w:val="Normal"/>
    <w:rsid w:val="00FF35A3"/>
    <w:pPr>
      <w:widowControl/>
      <w:autoSpaceDE/>
      <w:autoSpaceDN/>
      <w:adjustRightInd/>
      <w:spacing w:before="120"/>
    </w:pPr>
    <w:rPr>
      <w:rFonts w:ascii="Cambria" w:hAnsi="Cambria" w:cs="Times New Roman"/>
      <w:b/>
      <w:bCs/>
      <w:lang w:val="en-US"/>
    </w:rPr>
  </w:style>
  <w:style w:type="paragraph" w:styleId="TOC1">
    <w:name w:val="toc 1"/>
    <w:basedOn w:val="Normal"/>
    <w:next w:val="Normal"/>
    <w:autoRedefine/>
    <w:rsid w:val="00FF35A3"/>
    <w:pPr>
      <w:widowControl/>
      <w:autoSpaceDE/>
      <w:autoSpaceDN/>
      <w:adjustRightInd/>
      <w:spacing w:after="100"/>
    </w:pPr>
    <w:rPr>
      <w:rFonts w:ascii="New York" w:hAnsi="New York" w:cs="Times New Roman"/>
      <w:szCs w:val="20"/>
      <w:lang w:val="en-US"/>
    </w:rPr>
  </w:style>
  <w:style w:type="paragraph" w:styleId="TOC2">
    <w:name w:val="toc 2"/>
    <w:basedOn w:val="Normal"/>
    <w:next w:val="Normal"/>
    <w:autoRedefine/>
    <w:rsid w:val="00FF35A3"/>
    <w:pPr>
      <w:widowControl/>
      <w:autoSpaceDE/>
      <w:autoSpaceDN/>
      <w:adjustRightInd/>
      <w:spacing w:after="100"/>
      <w:ind w:left="240"/>
    </w:pPr>
    <w:rPr>
      <w:rFonts w:ascii="New York" w:hAnsi="New York" w:cs="Times New Roman"/>
      <w:szCs w:val="20"/>
      <w:lang w:val="en-US"/>
    </w:rPr>
  </w:style>
  <w:style w:type="paragraph" w:styleId="TOC3">
    <w:name w:val="toc 3"/>
    <w:basedOn w:val="Normal"/>
    <w:next w:val="Normal"/>
    <w:autoRedefine/>
    <w:rsid w:val="00FF35A3"/>
    <w:pPr>
      <w:widowControl/>
      <w:autoSpaceDE/>
      <w:autoSpaceDN/>
      <w:adjustRightInd/>
      <w:spacing w:after="100"/>
      <w:ind w:left="480"/>
    </w:pPr>
    <w:rPr>
      <w:rFonts w:ascii="New York" w:hAnsi="New York" w:cs="Times New Roman"/>
      <w:szCs w:val="20"/>
      <w:lang w:val="en-US"/>
    </w:rPr>
  </w:style>
  <w:style w:type="paragraph" w:styleId="TOC4">
    <w:name w:val="toc 4"/>
    <w:basedOn w:val="Normal"/>
    <w:next w:val="Normal"/>
    <w:autoRedefine/>
    <w:rsid w:val="00FF35A3"/>
    <w:pPr>
      <w:widowControl/>
      <w:autoSpaceDE/>
      <w:autoSpaceDN/>
      <w:adjustRightInd/>
      <w:spacing w:after="100"/>
      <w:ind w:left="720"/>
    </w:pPr>
    <w:rPr>
      <w:rFonts w:ascii="New York" w:hAnsi="New York" w:cs="Times New Roman"/>
      <w:szCs w:val="20"/>
      <w:lang w:val="en-US"/>
    </w:rPr>
  </w:style>
  <w:style w:type="paragraph" w:styleId="TOC5">
    <w:name w:val="toc 5"/>
    <w:basedOn w:val="Normal"/>
    <w:next w:val="Normal"/>
    <w:autoRedefine/>
    <w:rsid w:val="00FF35A3"/>
    <w:pPr>
      <w:widowControl/>
      <w:autoSpaceDE/>
      <w:autoSpaceDN/>
      <w:adjustRightInd/>
      <w:spacing w:after="100"/>
      <w:ind w:left="960"/>
    </w:pPr>
    <w:rPr>
      <w:rFonts w:ascii="New York" w:hAnsi="New York" w:cs="Times New Roman"/>
      <w:szCs w:val="20"/>
      <w:lang w:val="en-US"/>
    </w:rPr>
  </w:style>
  <w:style w:type="paragraph" w:styleId="TOC6">
    <w:name w:val="toc 6"/>
    <w:basedOn w:val="Normal"/>
    <w:next w:val="Normal"/>
    <w:autoRedefine/>
    <w:rsid w:val="00FF35A3"/>
    <w:pPr>
      <w:widowControl/>
      <w:autoSpaceDE/>
      <w:autoSpaceDN/>
      <w:adjustRightInd/>
      <w:spacing w:after="100"/>
      <w:ind w:left="1200"/>
    </w:pPr>
    <w:rPr>
      <w:rFonts w:ascii="New York" w:hAnsi="New York" w:cs="Times New Roman"/>
      <w:szCs w:val="20"/>
      <w:lang w:val="en-US"/>
    </w:rPr>
  </w:style>
  <w:style w:type="paragraph" w:styleId="TOC7">
    <w:name w:val="toc 7"/>
    <w:basedOn w:val="Normal"/>
    <w:next w:val="Normal"/>
    <w:autoRedefine/>
    <w:rsid w:val="00FF35A3"/>
    <w:pPr>
      <w:widowControl/>
      <w:autoSpaceDE/>
      <w:autoSpaceDN/>
      <w:adjustRightInd/>
      <w:spacing w:after="100"/>
      <w:ind w:left="1440"/>
    </w:pPr>
    <w:rPr>
      <w:rFonts w:ascii="New York" w:hAnsi="New York" w:cs="Times New Roman"/>
      <w:szCs w:val="20"/>
      <w:lang w:val="en-US"/>
    </w:rPr>
  </w:style>
  <w:style w:type="paragraph" w:styleId="TOC8">
    <w:name w:val="toc 8"/>
    <w:basedOn w:val="Normal"/>
    <w:next w:val="Normal"/>
    <w:autoRedefine/>
    <w:rsid w:val="00FF35A3"/>
    <w:pPr>
      <w:widowControl/>
      <w:autoSpaceDE/>
      <w:autoSpaceDN/>
      <w:adjustRightInd/>
      <w:spacing w:after="100"/>
      <w:ind w:left="1680"/>
    </w:pPr>
    <w:rPr>
      <w:rFonts w:ascii="New York" w:hAnsi="New York" w:cs="Times New Roman"/>
      <w:szCs w:val="20"/>
      <w:lang w:val="en-US"/>
    </w:rPr>
  </w:style>
  <w:style w:type="paragraph" w:styleId="TOC9">
    <w:name w:val="toc 9"/>
    <w:basedOn w:val="Normal"/>
    <w:next w:val="Normal"/>
    <w:autoRedefine/>
    <w:rsid w:val="00FF35A3"/>
    <w:pPr>
      <w:widowControl/>
      <w:autoSpaceDE/>
      <w:autoSpaceDN/>
      <w:adjustRightInd/>
      <w:spacing w:after="100"/>
      <w:ind w:left="1920"/>
    </w:pPr>
    <w:rPr>
      <w:rFonts w:ascii="New York" w:hAnsi="New York" w:cs="Times New Roman"/>
      <w:szCs w:val="20"/>
      <w:lang w:val="en-US"/>
    </w:rPr>
  </w:style>
  <w:style w:type="paragraph" w:styleId="TOCHeading">
    <w:name w:val="TOC Heading"/>
    <w:basedOn w:val="Heading1"/>
    <w:next w:val="Normal"/>
    <w:uiPriority w:val="39"/>
    <w:semiHidden/>
    <w:unhideWhenUsed/>
    <w:qFormat/>
    <w:rsid w:val="00FF35A3"/>
    <w:pPr>
      <w:keepNext/>
      <w:keepLines/>
      <w:widowControl/>
      <w:autoSpaceDE/>
      <w:autoSpaceDN/>
      <w:adjustRightInd/>
      <w:spacing w:before="480"/>
      <w:outlineLvl w:val="9"/>
    </w:pPr>
    <w:rPr>
      <w:rFonts w:ascii="Cambria" w:hAnsi="Cambria" w:cs="Times New Roman"/>
      <w:b/>
      <w:bCs/>
      <w:color w:val="365F91"/>
      <w:sz w:val="28"/>
      <w:szCs w:val="28"/>
      <w:lang w:val="en-US"/>
    </w:rPr>
  </w:style>
  <w:style w:type="paragraph" w:customStyle="1" w:styleId="1">
    <w:name w:val="1"/>
    <w:rsid w:val="00FF35A3"/>
    <w:rPr>
      <w:rFonts w:ascii="New York" w:hAnsi="New York"/>
      <w:sz w:val="24"/>
      <w:lang w:val="en-US" w:eastAsia="en-US"/>
    </w:rPr>
  </w:style>
  <w:style w:type="character" w:customStyle="1" w:styleId="EmailStyle59">
    <w:name w:val="EmailStyle59"/>
    <w:semiHidden/>
    <w:rsid w:val="004754C0"/>
    <w:rPr>
      <w:rFonts w:ascii="Arial" w:hAnsi="Arial" w:cs="Arial"/>
      <w:color w:val="auto"/>
      <w:sz w:val="20"/>
      <w:szCs w:val="20"/>
    </w:rPr>
  </w:style>
  <w:style w:type="character" w:customStyle="1" w:styleId="st1">
    <w:name w:val="st1"/>
    <w:rsid w:val="004754C0"/>
  </w:style>
  <w:style w:type="character" w:styleId="SubtleEmphasis">
    <w:name w:val="Subtle Emphasis"/>
    <w:uiPriority w:val="19"/>
    <w:qFormat/>
    <w:rsid w:val="00FF35A3"/>
    <w:rPr>
      <w:i/>
      <w:iCs/>
      <w:color w:val="808080"/>
    </w:rPr>
  </w:style>
  <w:style w:type="paragraph" w:customStyle="1" w:styleId="msolistparagraph0">
    <w:name w:val="msolistparagraph"/>
    <w:basedOn w:val="Normal"/>
    <w:rsid w:val="00FF35A3"/>
    <w:pPr>
      <w:widowControl/>
      <w:autoSpaceDE/>
      <w:autoSpaceDN/>
      <w:adjustRightInd/>
      <w:ind w:left="720"/>
    </w:pPr>
    <w:rPr>
      <w:rFonts w:ascii="Times New Roman" w:hAnsi="Times New Roman" w:cs="Times New Roman"/>
      <w:lang w:eastAsia="en-GB"/>
    </w:rPr>
  </w:style>
  <w:style w:type="paragraph" w:customStyle="1" w:styleId="jh">
    <w:name w:val="jh"/>
    <w:basedOn w:val="Normal"/>
    <w:rsid w:val="00FF35A3"/>
    <w:pPr>
      <w:widowControl/>
      <w:autoSpaceDE/>
      <w:autoSpaceDN/>
      <w:adjustRightInd/>
      <w:spacing w:before="100" w:beforeAutospacing="1" w:after="100" w:afterAutospacing="1"/>
    </w:pPr>
    <w:rPr>
      <w:rFonts w:ascii="Times New Roman" w:hAnsi="Times New Roman" w:cs="Times New Roman"/>
      <w:lang w:val="en-IE" w:eastAsia="en-IE"/>
    </w:rPr>
  </w:style>
  <w:style w:type="paragraph" w:customStyle="1" w:styleId="TableTop-2012-Right">
    <w:name w:val="Table Top-2012-Right"/>
    <w:basedOn w:val="Normal"/>
    <w:qFormat/>
    <w:rsid w:val="00FF35A3"/>
    <w:pPr>
      <w:widowControl/>
      <w:autoSpaceDE/>
      <w:autoSpaceDN/>
      <w:adjustRightInd/>
      <w:spacing w:after="20" w:line="220" w:lineRule="exact"/>
      <w:ind w:right="91"/>
      <w:jc w:val="right"/>
    </w:pPr>
    <w:rPr>
      <w:rFonts w:ascii="Informa Pro Light" w:hAnsi="Informa Pro Light" w:cs="Times New Roman"/>
      <w:color w:val="000000" w:themeColor="text1"/>
      <w:spacing w:val="-2"/>
      <w:sz w:val="18"/>
    </w:rPr>
  </w:style>
  <w:style w:type="paragraph" w:customStyle="1" w:styleId="Table-Text">
    <w:name w:val="Table-Text"/>
    <w:basedOn w:val="Normal"/>
    <w:qFormat/>
    <w:rsid w:val="00FF35A3"/>
    <w:pPr>
      <w:widowControl/>
      <w:autoSpaceDE/>
      <w:autoSpaceDN/>
      <w:adjustRightInd/>
      <w:spacing w:after="20" w:line="220" w:lineRule="exact"/>
      <w:ind w:left="113" w:hanging="113"/>
    </w:pPr>
    <w:rPr>
      <w:rFonts w:ascii="Informa Pro Light" w:hAnsi="Informa Pro Light" w:cs="Times New Roman"/>
      <w:color w:val="000000" w:themeColor="text1"/>
      <w:spacing w:val="-4"/>
      <w:sz w:val="18"/>
    </w:rPr>
  </w:style>
  <w:style w:type="paragraph" w:customStyle="1" w:styleId="TableTop-2013-Left">
    <w:name w:val="Table Top-2013-Left"/>
    <w:basedOn w:val="Normal"/>
    <w:qFormat/>
    <w:rsid w:val="00FF35A3"/>
    <w:pPr>
      <w:widowControl/>
      <w:autoSpaceDE/>
      <w:autoSpaceDN/>
      <w:adjustRightInd/>
      <w:spacing w:after="20" w:line="220" w:lineRule="exact"/>
      <w:ind w:right="91"/>
    </w:pPr>
    <w:rPr>
      <w:rFonts w:ascii="Informa Pro Bold" w:hAnsi="Informa Pro Bold" w:cs="Times New Roman"/>
      <w:color w:val="808080" w:themeColor="background1" w:themeShade="80"/>
      <w:spacing w:val="-2"/>
      <w:sz w:val="18"/>
    </w:rPr>
  </w:style>
  <w:style w:type="paragraph" w:customStyle="1" w:styleId="Table-Figures">
    <w:name w:val="Table-Figures"/>
    <w:basedOn w:val="Normal"/>
    <w:qFormat/>
    <w:rsid w:val="00FF35A3"/>
    <w:pPr>
      <w:widowControl/>
      <w:autoSpaceDE/>
      <w:autoSpaceDN/>
      <w:adjustRightInd/>
      <w:spacing w:after="20" w:line="220" w:lineRule="exact"/>
      <w:ind w:right="91"/>
      <w:jc w:val="right"/>
    </w:pPr>
    <w:rPr>
      <w:rFonts w:ascii="Informa Pro Light" w:hAnsi="Informa Pro Light" w:cs="Times New Roman"/>
      <w:color w:val="000000" w:themeColor="text1"/>
      <w:spacing w:val="-2"/>
      <w:sz w:val="18"/>
    </w:rPr>
  </w:style>
  <w:style w:type="character" w:customStyle="1" w:styleId="block1">
    <w:name w:val="block1"/>
    <w:basedOn w:val="DefaultParagraphFont"/>
    <w:rsid w:val="00245514"/>
    <w:rPr>
      <w:rFonts w:ascii="Arial" w:hAnsi="Arial" w:cs="Arial" w:hint="default"/>
      <w:vanish w:val="0"/>
      <w:webHidden w:val="0"/>
      <w:sz w:val="20"/>
      <w:szCs w:val="20"/>
      <w:specVanish w:val="0"/>
    </w:rPr>
  </w:style>
  <w:style w:type="character" w:customStyle="1" w:styleId="FootnoteTextChar1">
    <w:name w:val="Footnote Text Char1"/>
    <w:aliases w:val="Footnote Text Char Char,ARM footnote Text Char,Footnote Text Char2 Char,Footnote Text Char11 Char,Footnote Text Char3 Char,Footnote Text Char4 Char,Footnote Text Char5 Char,Footnote Text Char6 Char,Footnote Text Char12 Char, Ch Char"/>
    <w:basedOn w:val="DefaultParagraphFont"/>
    <w:locked/>
    <w:rsid w:val="00C8397E"/>
    <w:rPr>
      <w:lang w:eastAsia="en-US"/>
    </w:rPr>
  </w:style>
  <w:style w:type="paragraph" w:customStyle="1" w:styleId="TableParagraph">
    <w:name w:val="Table Paragraph"/>
    <w:basedOn w:val="Normal"/>
    <w:uiPriority w:val="1"/>
    <w:qFormat/>
    <w:rsid w:val="00FF35A3"/>
    <w:pPr>
      <w:autoSpaceDE/>
      <w:autoSpaceDN/>
      <w:adjustRightInd/>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FF35A3"/>
    <w:rPr>
      <w:color w:val="808080"/>
    </w:rPr>
  </w:style>
  <w:style w:type="character" w:customStyle="1" w:styleId="normaltextrun">
    <w:name w:val="normaltextrun"/>
    <w:basedOn w:val="DefaultParagraphFont"/>
    <w:rsid w:val="00C564D4"/>
  </w:style>
  <w:style w:type="character" w:styleId="UnresolvedMention">
    <w:name w:val="Unresolved Mention"/>
    <w:basedOn w:val="DefaultParagraphFont"/>
    <w:uiPriority w:val="99"/>
    <w:semiHidden/>
    <w:unhideWhenUsed/>
    <w:rsid w:val="00CD1403"/>
    <w:rPr>
      <w:color w:val="605E5C"/>
      <w:shd w:val="clear" w:color="auto" w:fill="E1DFDD"/>
    </w:rPr>
  </w:style>
  <w:style w:type="paragraph" w:customStyle="1" w:styleId="io">
    <w:name w:val="io"/>
    <w:basedOn w:val="Normal"/>
    <w:rsid w:val="00CD1403"/>
    <w:pPr>
      <w:widowControl/>
      <w:adjustRightInd/>
      <w:jc w:val="both"/>
    </w:pPr>
    <w:rPr>
      <w:rFonts w:ascii="Arial" w:eastAsiaTheme="minorHAnsi" w:hAnsi="Arial" w:cs="Arial"/>
      <w:sz w:val="22"/>
      <w:szCs w:val="22"/>
      <w:lang w:val="en-IE" w:eastAsia="en-IE"/>
    </w:rPr>
  </w:style>
  <w:style w:type="character" w:customStyle="1" w:styleId="ix">
    <w:name w:val="ix"/>
    <w:basedOn w:val="DefaultParagraphFont"/>
    <w:rsid w:val="00CD1403"/>
    <w:rPr>
      <w:rFonts w:ascii="Arial" w:hAnsi="Arial" w:cs="Arial" w:hint="default"/>
      <w:color w:val="000000"/>
      <w:sz w:val="23"/>
      <w:szCs w:val="23"/>
    </w:rPr>
  </w:style>
  <w:style w:type="character" w:customStyle="1" w:styleId="TabletextChar">
    <w:name w:val="Tabletext Char"/>
    <w:link w:val="Tabletext0"/>
    <w:rsid w:val="00CD1403"/>
    <w:rPr>
      <w:rFonts w:ascii="Arial" w:hAnsi="Arial"/>
      <w:color w:val="000000"/>
      <w:sz w:val="16"/>
    </w:rPr>
  </w:style>
  <w:style w:type="paragraph" w:customStyle="1" w:styleId="Tabletext0">
    <w:name w:val="Tabletext"/>
    <w:basedOn w:val="Normal"/>
    <w:link w:val="TabletextChar"/>
    <w:rsid w:val="00CD1403"/>
    <w:pPr>
      <w:widowControl/>
      <w:autoSpaceDE/>
      <w:autoSpaceDN/>
      <w:adjustRightInd/>
      <w:spacing w:before="20" w:after="20" w:line="200" w:lineRule="exact"/>
      <w:ind w:right="57"/>
    </w:pPr>
    <w:rPr>
      <w:rFonts w:ascii="Arial" w:hAnsi="Arial" w:cs="Times New Roman"/>
      <w:color w:val="000000"/>
      <w:sz w:val="16"/>
      <w:szCs w:val="20"/>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369128">
      <w:bodyDiv w:val="1"/>
      <w:marLeft w:val="0"/>
      <w:marRight w:val="0"/>
      <w:marTop w:val="0"/>
      <w:marBottom w:val="0"/>
      <w:divBdr>
        <w:top w:val="none" w:sz="0" w:space="0" w:color="auto"/>
        <w:left w:val="none" w:sz="0" w:space="0" w:color="auto"/>
        <w:bottom w:val="none" w:sz="0" w:space="0" w:color="auto"/>
        <w:right w:val="none" w:sz="0" w:space="0" w:color="auto"/>
      </w:divBdr>
    </w:div>
    <w:div w:id="9308011">
      <w:bodyDiv w:val="1"/>
      <w:marLeft w:val="0"/>
      <w:marRight w:val="0"/>
      <w:marTop w:val="0"/>
      <w:marBottom w:val="0"/>
      <w:divBdr>
        <w:top w:val="none" w:sz="0" w:space="0" w:color="auto"/>
        <w:left w:val="none" w:sz="0" w:space="0" w:color="auto"/>
        <w:bottom w:val="none" w:sz="0" w:space="0" w:color="auto"/>
        <w:right w:val="none" w:sz="0" w:space="0" w:color="auto"/>
      </w:divBdr>
    </w:div>
    <w:div w:id="22099730">
      <w:bodyDiv w:val="1"/>
      <w:marLeft w:val="0"/>
      <w:marRight w:val="0"/>
      <w:marTop w:val="0"/>
      <w:marBottom w:val="0"/>
      <w:divBdr>
        <w:top w:val="none" w:sz="0" w:space="0" w:color="auto"/>
        <w:left w:val="none" w:sz="0" w:space="0" w:color="auto"/>
        <w:bottom w:val="none" w:sz="0" w:space="0" w:color="auto"/>
        <w:right w:val="none" w:sz="0" w:space="0" w:color="auto"/>
      </w:divBdr>
    </w:div>
    <w:div w:id="28651144">
      <w:bodyDiv w:val="1"/>
      <w:marLeft w:val="0"/>
      <w:marRight w:val="0"/>
      <w:marTop w:val="0"/>
      <w:marBottom w:val="0"/>
      <w:divBdr>
        <w:top w:val="none" w:sz="0" w:space="0" w:color="auto"/>
        <w:left w:val="none" w:sz="0" w:space="0" w:color="auto"/>
        <w:bottom w:val="none" w:sz="0" w:space="0" w:color="auto"/>
        <w:right w:val="none" w:sz="0" w:space="0" w:color="auto"/>
      </w:divBdr>
    </w:div>
    <w:div w:id="29039505">
      <w:bodyDiv w:val="1"/>
      <w:marLeft w:val="0"/>
      <w:marRight w:val="0"/>
      <w:marTop w:val="0"/>
      <w:marBottom w:val="0"/>
      <w:divBdr>
        <w:top w:val="none" w:sz="0" w:space="0" w:color="auto"/>
        <w:left w:val="none" w:sz="0" w:space="0" w:color="auto"/>
        <w:bottom w:val="none" w:sz="0" w:space="0" w:color="auto"/>
        <w:right w:val="none" w:sz="0" w:space="0" w:color="auto"/>
      </w:divBdr>
    </w:div>
    <w:div w:id="54013824">
      <w:bodyDiv w:val="1"/>
      <w:marLeft w:val="0"/>
      <w:marRight w:val="0"/>
      <w:marTop w:val="0"/>
      <w:marBottom w:val="0"/>
      <w:divBdr>
        <w:top w:val="none" w:sz="0" w:space="0" w:color="auto"/>
        <w:left w:val="none" w:sz="0" w:space="0" w:color="auto"/>
        <w:bottom w:val="none" w:sz="0" w:space="0" w:color="auto"/>
        <w:right w:val="none" w:sz="0" w:space="0" w:color="auto"/>
      </w:divBdr>
    </w:div>
    <w:div w:id="63987840">
      <w:bodyDiv w:val="1"/>
      <w:marLeft w:val="0"/>
      <w:marRight w:val="0"/>
      <w:marTop w:val="0"/>
      <w:marBottom w:val="0"/>
      <w:divBdr>
        <w:top w:val="none" w:sz="0" w:space="0" w:color="auto"/>
        <w:left w:val="none" w:sz="0" w:space="0" w:color="auto"/>
        <w:bottom w:val="none" w:sz="0" w:space="0" w:color="auto"/>
        <w:right w:val="none" w:sz="0" w:space="0" w:color="auto"/>
      </w:divBdr>
    </w:div>
    <w:div w:id="66615504">
      <w:bodyDiv w:val="1"/>
      <w:marLeft w:val="0"/>
      <w:marRight w:val="0"/>
      <w:marTop w:val="0"/>
      <w:marBottom w:val="0"/>
      <w:divBdr>
        <w:top w:val="none" w:sz="0" w:space="0" w:color="auto"/>
        <w:left w:val="none" w:sz="0" w:space="0" w:color="auto"/>
        <w:bottom w:val="none" w:sz="0" w:space="0" w:color="auto"/>
        <w:right w:val="none" w:sz="0" w:space="0" w:color="auto"/>
      </w:divBdr>
    </w:div>
    <w:div w:id="86123651">
      <w:bodyDiv w:val="1"/>
      <w:marLeft w:val="0"/>
      <w:marRight w:val="0"/>
      <w:marTop w:val="0"/>
      <w:marBottom w:val="0"/>
      <w:divBdr>
        <w:top w:val="none" w:sz="0" w:space="0" w:color="auto"/>
        <w:left w:val="none" w:sz="0" w:space="0" w:color="auto"/>
        <w:bottom w:val="none" w:sz="0" w:space="0" w:color="auto"/>
        <w:right w:val="none" w:sz="0" w:space="0" w:color="auto"/>
      </w:divBdr>
    </w:div>
    <w:div w:id="88888871">
      <w:bodyDiv w:val="1"/>
      <w:marLeft w:val="0"/>
      <w:marRight w:val="0"/>
      <w:marTop w:val="0"/>
      <w:marBottom w:val="0"/>
      <w:divBdr>
        <w:top w:val="none" w:sz="0" w:space="0" w:color="auto"/>
        <w:left w:val="none" w:sz="0" w:space="0" w:color="auto"/>
        <w:bottom w:val="none" w:sz="0" w:space="0" w:color="auto"/>
        <w:right w:val="none" w:sz="0" w:space="0" w:color="auto"/>
      </w:divBdr>
    </w:div>
    <w:div w:id="98187487">
      <w:bodyDiv w:val="1"/>
      <w:marLeft w:val="0"/>
      <w:marRight w:val="0"/>
      <w:marTop w:val="0"/>
      <w:marBottom w:val="0"/>
      <w:divBdr>
        <w:top w:val="none" w:sz="0" w:space="0" w:color="auto"/>
        <w:left w:val="none" w:sz="0" w:space="0" w:color="auto"/>
        <w:bottom w:val="none" w:sz="0" w:space="0" w:color="auto"/>
        <w:right w:val="none" w:sz="0" w:space="0" w:color="auto"/>
      </w:divBdr>
    </w:div>
    <w:div w:id="100224647">
      <w:bodyDiv w:val="1"/>
      <w:marLeft w:val="0"/>
      <w:marRight w:val="0"/>
      <w:marTop w:val="0"/>
      <w:marBottom w:val="0"/>
      <w:divBdr>
        <w:top w:val="none" w:sz="0" w:space="0" w:color="auto"/>
        <w:left w:val="none" w:sz="0" w:space="0" w:color="auto"/>
        <w:bottom w:val="none" w:sz="0" w:space="0" w:color="auto"/>
        <w:right w:val="none" w:sz="0" w:space="0" w:color="auto"/>
      </w:divBdr>
    </w:div>
    <w:div w:id="112989845">
      <w:bodyDiv w:val="1"/>
      <w:marLeft w:val="0"/>
      <w:marRight w:val="0"/>
      <w:marTop w:val="0"/>
      <w:marBottom w:val="0"/>
      <w:divBdr>
        <w:top w:val="none" w:sz="0" w:space="0" w:color="auto"/>
        <w:left w:val="none" w:sz="0" w:space="0" w:color="auto"/>
        <w:bottom w:val="none" w:sz="0" w:space="0" w:color="auto"/>
        <w:right w:val="none" w:sz="0" w:space="0" w:color="auto"/>
      </w:divBdr>
    </w:div>
    <w:div w:id="134180231">
      <w:bodyDiv w:val="1"/>
      <w:marLeft w:val="0"/>
      <w:marRight w:val="0"/>
      <w:marTop w:val="0"/>
      <w:marBottom w:val="0"/>
      <w:divBdr>
        <w:top w:val="none" w:sz="0" w:space="0" w:color="auto"/>
        <w:left w:val="none" w:sz="0" w:space="0" w:color="auto"/>
        <w:bottom w:val="none" w:sz="0" w:space="0" w:color="auto"/>
        <w:right w:val="none" w:sz="0" w:space="0" w:color="auto"/>
      </w:divBdr>
    </w:div>
    <w:div w:id="180555296">
      <w:bodyDiv w:val="1"/>
      <w:marLeft w:val="0"/>
      <w:marRight w:val="0"/>
      <w:marTop w:val="0"/>
      <w:marBottom w:val="0"/>
      <w:divBdr>
        <w:top w:val="none" w:sz="0" w:space="0" w:color="auto"/>
        <w:left w:val="none" w:sz="0" w:space="0" w:color="auto"/>
        <w:bottom w:val="none" w:sz="0" w:space="0" w:color="auto"/>
        <w:right w:val="none" w:sz="0" w:space="0" w:color="auto"/>
      </w:divBdr>
    </w:div>
    <w:div w:id="185365161">
      <w:bodyDiv w:val="1"/>
      <w:marLeft w:val="0"/>
      <w:marRight w:val="0"/>
      <w:marTop w:val="0"/>
      <w:marBottom w:val="0"/>
      <w:divBdr>
        <w:top w:val="none" w:sz="0" w:space="0" w:color="auto"/>
        <w:left w:val="none" w:sz="0" w:space="0" w:color="auto"/>
        <w:bottom w:val="none" w:sz="0" w:space="0" w:color="auto"/>
        <w:right w:val="none" w:sz="0" w:space="0" w:color="auto"/>
      </w:divBdr>
    </w:div>
    <w:div w:id="193809040">
      <w:bodyDiv w:val="1"/>
      <w:marLeft w:val="0"/>
      <w:marRight w:val="0"/>
      <w:marTop w:val="0"/>
      <w:marBottom w:val="0"/>
      <w:divBdr>
        <w:top w:val="none" w:sz="0" w:space="0" w:color="auto"/>
        <w:left w:val="none" w:sz="0" w:space="0" w:color="auto"/>
        <w:bottom w:val="none" w:sz="0" w:space="0" w:color="auto"/>
        <w:right w:val="none" w:sz="0" w:space="0" w:color="auto"/>
      </w:divBdr>
    </w:div>
    <w:div w:id="198591478">
      <w:bodyDiv w:val="1"/>
      <w:marLeft w:val="0"/>
      <w:marRight w:val="0"/>
      <w:marTop w:val="0"/>
      <w:marBottom w:val="0"/>
      <w:divBdr>
        <w:top w:val="none" w:sz="0" w:space="0" w:color="auto"/>
        <w:left w:val="none" w:sz="0" w:space="0" w:color="auto"/>
        <w:bottom w:val="none" w:sz="0" w:space="0" w:color="auto"/>
        <w:right w:val="none" w:sz="0" w:space="0" w:color="auto"/>
      </w:divBdr>
    </w:div>
    <w:div w:id="212621330">
      <w:bodyDiv w:val="1"/>
      <w:marLeft w:val="0"/>
      <w:marRight w:val="0"/>
      <w:marTop w:val="0"/>
      <w:marBottom w:val="0"/>
      <w:divBdr>
        <w:top w:val="none" w:sz="0" w:space="0" w:color="auto"/>
        <w:left w:val="none" w:sz="0" w:space="0" w:color="auto"/>
        <w:bottom w:val="none" w:sz="0" w:space="0" w:color="auto"/>
        <w:right w:val="none" w:sz="0" w:space="0" w:color="auto"/>
      </w:divBdr>
      <w:divsChild>
        <w:div w:id="969017872">
          <w:marLeft w:val="274"/>
          <w:marRight w:val="0"/>
          <w:marTop w:val="0"/>
          <w:marBottom w:val="240"/>
          <w:divBdr>
            <w:top w:val="none" w:sz="0" w:space="0" w:color="auto"/>
            <w:left w:val="none" w:sz="0" w:space="0" w:color="auto"/>
            <w:bottom w:val="none" w:sz="0" w:space="0" w:color="auto"/>
            <w:right w:val="none" w:sz="0" w:space="0" w:color="auto"/>
          </w:divBdr>
        </w:div>
        <w:div w:id="1791775370">
          <w:marLeft w:val="274"/>
          <w:marRight w:val="0"/>
          <w:marTop w:val="0"/>
          <w:marBottom w:val="240"/>
          <w:divBdr>
            <w:top w:val="none" w:sz="0" w:space="0" w:color="auto"/>
            <w:left w:val="none" w:sz="0" w:space="0" w:color="auto"/>
            <w:bottom w:val="none" w:sz="0" w:space="0" w:color="auto"/>
            <w:right w:val="none" w:sz="0" w:space="0" w:color="auto"/>
          </w:divBdr>
        </w:div>
      </w:divsChild>
    </w:div>
    <w:div w:id="213780027">
      <w:bodyDiv w:val="1"/>
      <w:marLeft w:val="0"/>
      <w:marRight w:val="0"/>
      <w:marTop w:val="0"/>
      <w:marBottom w:val="0"/>
      <w:divBdr>
        <w:top w:val="none" w:sz="0" w:space="0" w:color="auto"/>
        <w:left w:val="none" w:sz="0" w:space="0" w:color="auto"/>
        <w:bottom w:val="none" w:sz="0" w:space="0" w:color="auto"/>
        <w:right w:val="none" w:sz="0" w:space="0" w:color="auto"/>
      </w:divBdr>
    </w:div>
    <w:div w:id="224724410">
      <w:bodyDiv w:val="1"/>
      <w:marLeft w:val="0"/>
      <w:marRight w:val="0"/>
      <w:marTop w:val="0"/>
      <w:marBottom w:val="0"/>
      <w:divBdr>
        <w:top w:val="none" w:sz="0" w:space="0" w:color="auto"/>
        <w:left w:val="none" w:sz="0" w:space="0" w:color="auto"/>
        <w:bottom w:val="none" w:sz="0" w:space="0" w:color="auto"/>
        <w:right w:val="none" w:sz="0" w:space="0" w:color="auto"/>
      </w:divBdr>
    </w:div>
    <w:div w:id="225335616">
      <w:bodyDiv w:val="1"/>
      <w:marLeft w:val="0"/>
      <w:marRight w:val="0"/>
      <w:marTop w:val="0"/>
      <w:marBottom w:val="0"/>
      <w:divBdr>
        <w:top w:val="none" w:sz="0" w:space="0" w:color="auto"/>
        <w:left w:val="none" w:sz="0" w:space="0" w:color="auto"/>
        <w:bottom w:val="none" w:sz="0" w:space="0" w:color="auto"/>
        <w:right w:val="none" w:sz="0" w:space="0" w:color="auto"/>
      </w:divBdr>
    </w:div>
    <w:div w:id="226500078">
      <w:bodyDiv w:val="1"/>
      <w:marLeft w:val="0"/>
      <w:marRight w:val="0"/>
      <w:marTop w:val="0"/>
      <w:marBottom w:val="0"/>
      <w:divBdr>
        <w:top w:val="none" w:sz="0" w:space="0" w:color="auto"/>
        <w:left w:val="none" w:sz="0" w:space="0" w:color="auto"/>
        <w:bottom w:val="none" w:sz="0" w:space="0" w:color="auto"/>
        <w:right w:val="none" w:sz="0" w:space="0" w:color="auto"/>
      </w:divBdr>
    </w:div>
    <w:div w:id="248656314">
      <w:bodyDiv w:val="1"/>
      <w:marLeft w:val="0"/>
      <w:marRight w:val="0"/>
      <w:marTop w:val="0"/>
      <w:marBottom w:val="0"/>
      <w:divBdr>
        <w:top w:val="none" w:sz="0" w:space="0" w:color="auto"/>
        <w:left w:val="none" w:sz="0" w:space="0" w:color="auto"/>
        <w:bottom w:val="none" w:sz="0" w:space="0" w:color="auto"/>
        <w:right w:val="none" w:sz="0" w:space="0" w:color="auto"/>
      </w:divBdr>
    </w:div>
    <w:div w:id="258414570">
      <w:bodyDiv w:val="1"/>
      <w:marLeft w:val="0"/>
      <w:marRight w:val="0"/>
      <w:marTop w:val="0"/>
      <w:marBottom w:val="0"/>
      <w:divBdr>
        <w:top w:val="none" w:sz="0" w:space="0" w:color="auto"/>
        <w:left w:val="none" w:sz="0" w:space="0" w:color="auto"/>
        <w:bottom w:val="none" w:sz="0" w:space="0" w:color="auto"/>
        <w:right w:val="none" w:sz="0" w:space="0" w:color="auto"/>
      </w:divBdr>
    </w:div>
    <w:div w:id="283661360">
      <w:bodyDiv w:val="1"/>
      <w:marLeft w:val="0"/>
      <w:marRight w:val="0"/>
      <w:marTop w:val="0"/>
      <w:marBottom w:val="0"/>
      <w:divBdr>
        <w:top w:val="none" w:sz="0" w:space="0" w:color="auto"/>
        <w:left w:val="none" w:sz="0" w:space="0" w:color="auto"/>
        <w:bottom w:val="none" w:sz="0" w:space="0" w:color="auto"/>
        <w:right w:val="none" w:sz="0" w:space="0" w:color="auto"/>
      </w:divBdr>
    </w:div>
    <w:div w:id="284121118">
      <w:bodyDiv w:val="1"/>
      <w:marLeft w:val="0"/>
      <w:marRight w:val="0"/>
      <w:marTop w:val="0"/>
      <w:marBottom w:val="0"/>
      <w:divBdr>
        <w:top w:val="none" w:sz="0" w:space="0" w:color="auto"/>
        <w:left w:val="none" w:sz="0" w:space="0" w:color="auto"/>
        <w:bottom w:val="none" w:sz="0" w:space="0" w:color="auto"/>
        <w:right w:val="none" w:sz="0" w:space="0" w:color="auto"/>
      </w:divBdr>
    </w:div>
    <w:div w:id="287853830">
      <w:bodyDiv w:val="1"/>
      <w:marLeft w:val="0"/>
      <w:marRight w:val="0"/>
      <w:marTop w:val="0"/>
      <w:marBottom w:val="0"/>
      <w:divBdr>
        <w:top w:val="none" w:sz="0" w:space="0" w:color="auto"/>
        <w:left w:val="none" w:sz="0" w:space="0" w:color="auto"/>
        <w:bottom w:val="none" w:sz="0" w:space="0" w:color="auto"/>
        <w:right w:val="none" w:sz="0" w:space="0" w:color="auto"/>
      </w:divBdr>
    </w:div>
    <w:div w:id="292910986">
      <w:bodyDiv w:val="1"/>
      <w:marLeft w:val="0"/>
      <w:marRight w:val="0"/>
      <w:marTop w:val="0"/>
      <w:marBottom w:val="0"/>
      <w:divBdr>
        <w:top w:val="none" w:sz="0" w:space="0" w:color="auto"/>
        <w:left w:val="none" w:sz="0" w:space="0" w:color="auto"/>
        <w:bottom w:val="none" w:sz="0" w:space="0" w:color="auto"/>
        <w:right w:val="none" w:sz="0" w:space="0" w:color="auto"/>
      </w:divBdr>
    </w:div>
    <w:div w:id="320694417">
      <w:bodyDiv w:val="1"/>
      <w:marLeft w:val="0"/>
      <w:marRight w:val="0"/>
      <w:marTop w:val="0"/>
      <w:marBottom w:val="0"/>
      <w:divBdr>
        <w:top w:val="none" w:sz="0" w:space="0" w:color="auto"/>
        <w:left w:val="none" w:sz="0" w:space="0" w:color="auto"/>
        <w:bottom w:val="none" w:sz="0" w:space="0" w:color="auto"/>
        <w:right w:val="none" w:sz="0" w:space="0" w:color="auto"/>
      </w:divBdr>
    </w:div>
    <w:div w:id="335806566">
      <w:bodyDiv w:val="1"/>
      <w:marLeft w:val="0"/>
      <w:marRight w:val="0"/>
      <w:marTop w:val="0"/>
      <w:marBottom w:val="0"/>
      <w:divBdr>
        <w:top w:val="none" w:sz="0" w:space="0" w:color="auto"/>
        <w:left w:val="none" w:sz="0" w:space="0" w:color="auto"/>
        <w:bottom w:val="none" w:sz="0" w:space="0" w:color="auto"/>
        <w:right w:val="none" w:sz="0" w:space="0" w:color="auto"/>
      </w:divBdr>
    </w:div>
    <w:div w:id="366299004">
      <w:bodyDiv w:val="1"/>
      <w:marLeft w:val="0"/>
      <w:marRight w:val="0"/>
      <w:marTop w:val="0"/>
      <w:marBottom w:val="0"/>
      <w:divBdr>
        <w:top w:val="none" w:sz="0" w:space="0" w:color="auto"/>
        <w:left w:val="none" w:sz="0" w:space="0" w:color="auto"/>
        <w:bottom w:val="none" w:sz="0" w:space="0" w:color="auto"/>
        <w:right w:val="none" w:sz="0" w:space="0" w:color="auto"/>
      </w:divBdr>
    </w:div>
    <w:div w:id="368337099">
      <w:bodyDiv w:val="1"/>
      <w:marLeft w:val="0"/>
      <w:marRight w:val="0"/>
      <w:marTop w:val="0"/>
      <w:marBottom w:val="0"/>
      <w:divBdr>
        <w:top w:val="none" w:sz="0" w:space="0" w:color="auto"/>
        <w:left w:val="none" w:sz="0" w:space="0" w:color="auto"/>
        <w:bottom w:val="none" w:sz="0" w:space="0" w:color="auto"/>
        <w:right w:val="none" w:sz="0" w:space="0" w:color="auto"/>
      </w:divBdr>
    </w:div>
    <w:div w:id="386954976">
      <w:bodyDiv w:val="1"/>
      <w:marLeft w:val="0"/>
      <w:marRight w:val="0"/>
      <w:marTop w:val="0"/>
      <w:marBottom w:val="0"/>
      <w:divBdr>
        <w:top w:val="none" w:sz="0" w:space="0" w:color="auto"/>
        <w:left w:val="none" w:sz="0" w:space="0" w:color="auto"/>
        <w:bottom w:val="none" w:sz="0" w:space="0" w:color="auto"/>
        <w:right w:val="none" w:sz="0" w:space="0" w:color="auto"/>
      </w:divBdr>
      <w:divsChild>
        <w:div w:id="193345946">
          <w:marLeft w:val="274"/>
          <w:marRight w:val="0"/>
          <w:marTop w:val="0"/>
          <w:marBottom w:val="120"/>
          <w:divBdr>
            <w:top w:val="none" w:sz="0" w:space="0" w:color="auto"/>
            <w:left w:val="none" w:sz="0" w:space="0" w:color="auto"/>
            <w:bottom w:val="none" w:sz="0" w:space="0" w:color="auto"/>
            <w:right w:val="none" w:sz="0" w:space="0" w:color="auto"/>
          </w:divBdr>
        </w:div>
        <w:div w:id="226376308">
          <w:marLeft w:val="274"/>
          <w:marRight w:val="0"/>
          <w:marTop w:val="0"/>
          <w:marBottom w:val="120"/>
          <w:divBdr>
            <w:top w:val="none" w:sz="0" w:space="0" w:color="auto"/>
            <w:left w:val="none" w:sz="0" w:space="0" w:color="auto"/>
            <w:bottom w:val="none" w:sz="0" w:space="0" w:color="auto"/>
            <w:right w:val="none" w:sz="0" w:space="0" w:color="auto"/>
          </w:divBdr>
        </w:div>
        <w:div w:id="878317893">
          <w:marLeft w:val="274"/>
          <w:marRight w:val="0"/>
          <w:marTop w:val="0"/>
          <w:marBottom w:val="120"/>
          <w:divBdr>
            <w:top w:val="none" w:sz="0" w:space="0" w:color="auto"/>
            <w:left w:val="none" w:sz="0" w:space="0" w:color="auto"/>
            <w:bottom w:val="none" w:sz="0" w:space="0" w:color="auto"/>
            <w:right w:val="none" w:sz="0" w:space="0" w:color="auto"/>
          </w:divBdr>
        </w:div>
      </w:divsChild>
    </w:div>
    <w:div w:id="408112821">
      <w:bodyDiv w:val="1"/>
      <w:marLeft w:val="0"/>
      <w:marRight w:val="0"/>
      <w:marTop w:val="0"/>
      <w:marBottom w:val="0"/>
      <w:divBdr>
        <w:top w:val="none" w:sz="0" w:space="0" w:color="auto"/>
        <w:left w:val="none" w:sz="0" w:space="0" w:color="auto"/>
        <w:bottom w:val="none" w:sz="0" w:space="0" w:color="auto"/>
        <w:right w:val="none" w:sz="0" w:space="0" w:color="auto"/>
      </w:divBdr>
    </w:div>
    <w:div w:id="410926185">
      <w:bodyDiv w:val="1"/>
      <w:marLeft w:val="0"/>
      <w:marRight w:val="0"/>
      <w:marTop w:val="0"/>
      <w:marBottom w:val="0"/>
      <w:divBdr>
        <w:top w:val="none" w:sz="0" w:space="0" w:color="auto"/>
        <w:left w:val="none" w:sz="0" w:space="0" w:color="auto"/>
        <w:bottom w:val="none" w:sz="0" w:space="0" w:color="auto"/>
        <w:right w:val="none" w:sz="0" w:space="0" w:color="auto"/>
      </w:divBdr>
    </w:div>
    <w:div w:id="413210473">
      <w:bodyDiv w:val="1"/>
      <w:marLeft w:val="0"/>
      <w:marRight w:val="0"/>
      <w:marTop w:val="0"/>
      <w:marBottom w:val="0"/>
      <w:divBdr>
        <w:top w:val="none" w:sz="0" w:space="0" w:color="auto"/>
        <w:left w:val="none" w:sz="0" w:space="0" w:color="auto"/>
        <w:bottom w:val="none" w:sz="0" w:space="0" w:color="auto"/>
        <w:right w:val="none" w:sz="0" w:space="0" w:color="auto"/>
      </w:divBdr>
    </w:div>
    <w:div w:id="421339415">
      <w:bodyDiv w:val="1"/>
      <w:marLeft w:val="0"/>
      <w:marRight w:val="0"/>
      <w:marTop w:val="0"/>
      <w:marBottom w:val="0"/>
      <w:divBdr>
        <w:top w:val="none" w:sz="0" w:space="0" w:color="auto"/>
        <w:left w:val="none" w:sz="0" w:space="0" w:color="auto"/>
        <w:bottom w:val="none" w:sz="0" w:space="0" w:color="auto"/>
        <w:right w:val="none" w:sz="0" w:space="0" w:color="auto"/>
      </w:divBdr>
    </w:div>
    <w:div w:id="422991658">
      <w:bodyDiv w:val="1"/>
      <w:marLeft w:val="0"/>
      <w:marRight w:val="0"/>
      <w:marTop w:val="0"/>
      <w:marBottom w:val="0"/>
      <w:divBdr>
        <w:top w:val="none" w:sz="0" w:space="0" w:color="auto"/>
        <w:left w:val="none" w:sz="0" w:space="0" w:color="auto"/>
        <w:bottom w:val="none" w:sz="0" w:space="0" w:color="auto"/>
        <w:right w:val="none" w:sz="0" w:space="0" w:color="auto"/>
      </w:divBdr>
    </w:div>
    <w:div w:id="423573342">
      <w:bodyDiv w:val="1"/>
      <w:marLeft w:val="0"/>
      <w:marRight w:val="0"/>
      <w:marTop w:val="0"/>
      <w:marBottom w:val="0"/>
      <w:divBdr>
        <w:top w:val="none" w:sz="0" w:space="0" w:color="auto"/>
        <w:left w:val="none" w:sz="0" w:space="0" w:color="auto"/>
        <w:bottom w:val="none" w:sz="0" w:space="0" w:color="auto"/>
        <w:right w:val="none" w:sz="0" w:space="0" w:color="auto"/>
      </w:divBdr>
    </w:div>
    <w:div w:id="446044435">
      <w:bodyDiv w:val="1"/>
      <w:marLeft w:val="0"/>
      <w:marRight w:val="0"/>
      <w:marTop w:val="0"/>
      <w:marBottom w:val="0"/>
      <w:divBdr>
        <w:top w:val="none" w:sz="0" w:space="0" w:color="auto"/>
        <w:left w:val="none" w:sz="0" w:space="0" w:color="auto"/>
        <w:bottom w:val="none" w:sz="0" w:space="0" w:color="auto"/>
        <w:right w:val="none" w:sz="0" w:space="0" w:color="auto"/>
      </w:divBdr>
    </w:div>
    <w:div w:id="449207106">
      <w:bodyDiv w:val="1"/>
      <w:marLeft w:val="0"/>
      <w:marRight w:val="0"/>
      <w:marTop w:val="0"/>
      <w:marBottom w:val="0"/>
      <w:divBdr>
        <w:top w:val="none" w:sz="0" w:space="0" w:color="auto"/>
        <w:left w:val="none" w:sz="0" w:space="0" w:color="auto"/>
        <w:bottom w:val="none" w:sz="0" w:space="0" w:color="auto"/>
        <w:right w:val="none" w:sz="0" w:space="0" w:color="auto"/>
      </w:divBdr>
    </w:div>
    <w:div w:id="462235154">
      <w:bodyDiv w:val="1"/>
      <w:marLeft w:val="0"/>
      <w:marRight w:val="0"/>
      <w:marTop w:val="0"/>
      <w:marBottom w:val="0"/>
      <w:divBdr>
        <w:top w:val="none" w:sz="0" w:space="0" w:color="auto"/>
        <w:left w:val="none" w:sz="0" w:space="0" w:color="auto"/>
        <w:bottom w:val="none" w:sz="0" w:space="0" w:color="auto"/>
        <w:right w:val="none" w:sz="0" w:space="0" w:color="auto"/>
      </w:divBdr>
    </w:div>
    <w:div w:id="476150524">
      <w:bodyDiv w:val="1"/>
      <w:marLeft w:val="0"/>
      <w:marRight w:val="0"/>
      <w:marTop w:val="0"/>
      <w:marBottom w:val="0"/>
      <w:divBdr>
        <w:top w:val="none" w:sz="0" w:space="0" w:color="auto"/>
        <w:left w:val="none" w:sz="0" w:space="0" w:color="auto"/>
        <w:bottom w:val="none" w:sz="0" w:space="0" w:color="auto"/>
        <w:right w:val="none" w:sz="0" w:space="0" w:color="auto"/>
      </w:divBdr>
    </w:div>
    <w:div w:id="500849504">
      <w:bodyDiv w:val="1"/>
      <w:marLeft w:val="0"/>
      <w:marRight w:val="0"/>
      <w:marTop w:val="0"/>
      <w:marBottom w:val="0"/>
      <w:divBdr>
        <w:top w:val="none" w:sz="0" w:space="0" w:color="auto"/>
        <w:left w:val="none" w:sz="0" w:space="0" w:color="auto"/>
        <w:bottom w:val="none" w:sz="0" w:space="0" w:color="auto"/>
        <w:right w:val="none" w:sz="0" w:space="0" w:color="auto"/>
      </w:divBdr>
    </w:div>
    <w:div w:id="514269060">
      <w:bodyDiv w:val="1"/>
      <w:marLeft w:val="0"/>
      <w:marRight w:val="0"/>
      <w:marTop w:val="0"/>
      <w:marBottom w:val="0"/>
      <w:divBdr>
        <w:top w:val="none" w:sz="0" w:space="0" w:color="auto"/>
        <w:left w:val="none" w:sz="0" w:space="0" w:color="auto"/>
        <w:bottom w:val="none" w:sz="0" w:space="0" w:color="auto"/>
        <w:right w:val="none" w:sz="0" w:space="0" w:color="auto"/>
      </w:divBdr>
    </w:div>
    <w:div w:id="519976606">
      <w:bodyDiv w:val="1"/>
      <w:marLeft w:val="0"/>
      <w:marRight w:val="0"/>
      <w:marTop w:val="0"/>
      <w:marBottom w:val="0"/>
      <w:divBdr>
        <w:top w:val="none" w:sz="0" w:space="0" w:color="auto"/>
        <w:left w:val="none" w:sz="0" w:space="0" w:color="auto"/>
        <w:bottom w:val="none" w:sz="0" w:space="0" w:color="auto"/>
        <w:right w:val="none" w:sz="0" w:space="0" w:color="auto"/>
      </w:divBdr>
    </w:div>
    <w:div w:id="521238881">
      <w:bodyDiv w:val="1"/>
      <w:marLeft w:val="0"/>
      <w:marRight w:val="0"/>
      <w:marTop w:val="0"/>
      <w:marBottom w:val="0"/>
      <w:divBdr>
        <w:top w:val="none" w:sz="0" w:space="0" w:color="auto"/>
        <w:left w:val="none" w:sz="0" w:space="0" w:color="auto"/>
        <w:bottom w:val="none" w:sz="0" w:space="0" w:color="auto"/>
        <w:right w:val="none" w:sz="0" w:space="0" w:color="auto"/>
      </w:divBdr>
    </w:div>
    <w:div w:id="528959637">
      <w:bodyDiv w:val="1"/>
      <w:marLeft w:val="0"/>
      <w:marRight w:val="0"/>
      <w:marTop w:val="0"/>
      <w:marBottom w:val="0"/>
      <w:divBdr>
        <w:top w:val="none" w:sz="0" w:space="0" w:color="auto"/>
        <w:left w:val="none" w:sz="0" w:space="0" w:color="auto"/>
        <w:bottom w:val="none" w:sz="0" w:space="0" w:color="auto"/>
        <w:right w:val="none" w:sz="0" w:space="0" w:color="auto"/>
      </w:divBdr>
    </w:div>
    <w:div w:id="562256476">
      <w:bodyDiv w:val="1"/>
      <w:marLeft w:val="0"/>
      <w:marRight w:val="0"/>
      <w:marTop w:val="0"/>
      <w:marBottom w:val="0"/>
      <w:divBdr>
        <w:top w:val="none" w:sz="0" w:space="0" w:color="auto"/>
        <w:left w:val="none" w:sz="0" w:space="0" w:color="auto"/>
        <w:bottom w:val="none" w:sz="0" w:space="0" w:color="auto"/>
        <w:right w:val="none" w:sz="0" w:space="0" w:color="auto"/>
      </w:divBdr>
    </w:div>
    <w:div w:id="573979743">
      <w:bodyDiv w:val="1"/>
      <w:marLeft w:val="0"/>
      <w:marRight w:val="0"/>
      <w:marTop w:val="0"/>
      <w:marBottom w:val="0"/>
      <w:divBdr>
        <w:top w:val="none" w:sz="0" w:space="0" w:color="auto"/>
        <w:left w:val="none" w:sz="0" w:space="0" w:color="auto"/>
        <w:bottom w:val="none" w:sz="0" w:space="0" w:color="auto"/>
        <w:right w:val="none" w:sz="0" w:space="0" w:color="auto"/>
      </w:divBdr>
      <w:divsChild>
        <w:div w:id="1137337936">
          <w:marLeft w:val="0"/>
          <w:marRight w:val="0"/>
          <w:marTop w:val="0"/>
          <w:marBottom w:val="0"/>
          <w:divBdr>
            <w:top w:val="none" w:sz="0" w:space="0" w:color="auto"/>
            <w:left w:val="none" w:sz="0" w:space="0" w:color="auto"/>
            <w:bottom w:val="none" w:sz="0" w:space="0" w:color="auto"/>
            <w:right w:val="none" w:sz="0" w:space="0" w:color="auto"/>
          </w:divBdr>
          <w:divsChild>
            <w:div w:id="1470786189">
              <w:marLeft w:val="0"/>
              <w:marRight w:val="0"/>
              <w:marTop w:val="0"/>
              <w:marBottom w:val="0"/>
              <w:divBdr>
                <w:top w:val="none" w:sz="0" w:space="0" w:color="auto"/>
                <w:left w:val="none" w:sz="0" w:space="0" w:color="auto"/>
                <w:bottom w:val="none" w:sz="0" w:space="0" w:color="auto"/>
                <w:right w:val="none" w:sz="0" w:space="0" w:color="auto"/>
              </w:divBdr>
              <w:divsChild>
                <w:div w:id="1428499892">
                  <w:marLeft w:val="0"/>
                  <w:marRight w:val="0"/>
                  <w:marTop w:val="0"/>
                  <w:marBottom w:val="0"/>
                  <w:divBdr>
                    <w:top w:val="none" w:sz="0" w:space="0" w:color="auto"/>
                    <w:left w:val="none" w:sz="0" w:space="0" w:color="auto"/>
                    <w:bottom w:val="none" w:sz="0" w:space="0" w:color="auto"/>
                    <w:right w:val="none" w:sz="0" w:space="0" w:color="auto"/>
                  </w:divBdr>
                  <w:divsChild>
                    <w:div w:id="206769772">
                      <w:marLeft w:val="0"/>
                      <w:marRight w:val="0"/>
                      <w:marTop w:val="0"/>
                      <w:marBottom w:val="0"/>
                      <w:divBdr>
                        <w:top w:val="none" w:sz="0" w:space="0" w:color="auto"/>
                        <w:left w:val="none" w:sz="0" w:space="0" w:color="auto"/>
                        <w:bottom w:val="none" w:sz="0" w:space="0" w:color="auto"/>
                        <w:right w:val="none" w:sz="0" w:space="0" w:color="auto"/>
                      </w:divBdr>
                      <w:divsChild>
                        <w:div w:id="1309476928">
                          <w:marLeft w:val="0"/>
                          <w:marRight w:val="0"/>
                          <w:marTop w:val="0"/>
                          <w:marBottom w:val="0"/>
                          <w:divBdr>
                            <w:top w:val="none" w:sz="0" w:space="0" w:color="auto"/>
                            <w:left w:val="none" w:sz="0" w:space="0" w:color="auto"/>
                            <w:bottom w:val="none" w:sz="0" w:space="0" w:color="auto"/>
                            <w:right w:val="none" w:sz="0" w:space="0" w:color="auto"/>
                          </w:divBdr>
                          <w:divsChild>
                            <w:div w:id="1689211138">
                              <w:marLeft w:val="0"/>
                              <w:marRight w:val="0"/>
                              <w:marTop w:val="0"/>
                              <w:marBottom w:val="0"/>
                              <w:divBdr>
                                <w:top w:val="none" w:sz="0" w:space="0" w:color="auto"/>
                                <w:left w:val="none" w:sz="0" w:space="0" w:color="auto"/>
                                <w:bottom w:val="none" w:sz="0" w:space="0" w:color="auto"/>
                                <w:right w:val="none" w:sz="0" w:space="0" w:color="auto"/>
                              </w:divBdr>
                              <w:divsChild>
                                <w:div w:id="949706331">
                                  <w:marLeft w:val="0"/>
                                  <w:marRight w:val="0"/>
                                  <w:marTop w:val="0"/>
                                  <w:marBottom w:val="0"/>
                                  <w:divBdr>
                                    <w:top w:val="none" w:sz="0" w:space="0" w:color="auto"/>
                                    <w:left w:val="none" w:sz="0" w:space="0" w:color="auto"/>
                                    <w:bottom w:val="none" w:sz="0" w:space="0" w:color="auto"/>
                                    <w:right w:val="none" w:sz="0" w:space="0" w:color="auto"/>
                                  </w:divBdr>
                                  <w:divsChild>
                                    <w:div w:id="7953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08662">
      <w:bodyDiv w:val="1"/>
      <w:marLeft w:val="0"/>
      <w:marRight w:val="0"/>
      <w:marTop w:val="0"/>
      <w:marBottom w:val="0"/>
      <w:divBdr>
        <w:top w:val="none" w:sz="0" w:space="0" w:color="auto"/>
        <w:left w:val="none" w:sz="0" w:space="0" w:color="auto"/>
        <w:bottom w:val="none" w:sz="0" w:space="0" w:color="auto"/>
        <w:right w:val="none" w:sz="0" w:space="0" w:color="auto"/>
      </w:divBdr>
    </w:div>
    <w:div w:id="581566466">
      <w:bodyDiv w:val="1"/>
      <w:marLeft w:val="0"/>
      <w:marRight w:val="0"/>
      <w:marTop w:val="0"/>
      <w:marBottom w:val="0"/>
      <w:divBdr>
        <w:top w:val="none" w:sz="0" w:space="0" w:color="auto"/>
        <w:left w:val="none" w:sz="0" w:space="0" w:color="auto"/>
        <w:bottom w:val="none" w:sz="0" w:space="0" w:color="auto"/>
        <w:right w:val="none" w:sz="0" w:space="0" w:color="auto"/>
      </w:divBdr>
    </w:div>
    <w:div w:id="581960728">
      <w:bodyDiv w:val="1"/>
      <w:marLeft w:val="0"/>
      <w:marRight w:val="0"/>
      <w:marTop w:val="0"/>
      <w:marBottom w:val="0"/>
      <w:divBdr>
        <w:top w:val="none" w:sz="0" w:space="0" w:color="auto"/>
        <w:left w:val="none" w:sz="0" w:space="0" w:color="auto"/>
        <w:bottom w:val="none" w:sz="0" w:space="0" w:color="auto"/>
        <w:right w:val="none" w:sz="0" w:space="0" w:color="auto"/>
      </w:divBdr>
    </w:div>
    <w:div w:id="604073609">
      <w:bodyDiv w:val="1"/>
      <w:marLeft w:val="0"/>
      <w:marRight w:val="0"/>
      <w:marTop w:val="0"/>
      <w:marBottom w:val="0"/>
      <w:divBdr>
        <w:top w:val="none" w:sz="0" w:space="0" w:color="auto"/>
        <w:left w:val="none" w:sz="0" w:space="0" w:color="auto"/>
        <w:bottom w:val="none" w:sz="0" w:space="0" w:color="auto"/>
        <w:right w:val="none" w:sz="0" w:space="0" w:color="auto"/>
      </w:divBdr>
    </w:div>
    <w:div w:id="608394591">
      <w:bodyDiv w:val="1"/>
      <w:marLeft w:val="0"/>
      <w:marRight w:val="0"/>
      <w:marTop w:val="0"/>
      <w:marBottom w:val="0"/>
      <w:divBdr>
        <w:top w:val="none" w:sz="0" w:space="0" w:color="auto"/>
        <w:left w:val="none" w:sz="0" w:space="0" w:color="auto"/>
        <w:bottom w:val="none" w:sz="0" w:space="0" w:color="auto"/>
        <w:right w:val="none" w:sz="0" w:space="0" w:color="auto"/>
      </w:divBdr>
    </w:div>
    <w:div w:id="612519464">
      <w:bodyDiv w:val="1"/>
      <w:marLeft w:val="0"/>
      <w:marRight w:val="0"/>
      <w:marTop w:val="0"/>
      <w:marBottom w:val="0"/>
      <w:divBdr>
        <w:top w:val="none" w:sz="0" w:space="0" w:color="auto"/>
        <w:left w:val="none" w:sz="0" w:space="0" w:color="auto"/>
        <w:bottom w:val="none" w:sz="0" w:space="0" w:color="auto"/>
        <w:right w:val="none" w:sz="0" w:space="0" w:color="auto"/>
      </w:divBdr>
    </w:div>
    <w:div w:id="614483839">
      <w:bodyDiv w:val="1"/>
      <w:marLeft w:val="0"/>
      <w:marRight w:val="0"/>
      <w:marTop w:val="0"/>
      <w:marBottom w:val="0"/>
      <w:divBdr>
        <w:top w:val="none" w:sz="0" w:space="0" w:color="auto"/>
        <w:left w:val="none" w:sz="0" w:space="0" w:color="auto"/>
        <w:bottom w:val="none" w:sz="0" w:space="0" w:color="auto"/>
        <w:right w:val="none" w:sz="0" w:space="0" w:color="auto"/>
      </w:divBdr>
    </w:div>
    <w:div w:id="636565156">
      <w:bodyDiv w:val="1"/>
      <w:marLeft w:val="0"/>
      <w:marRight w:val="0"/>
      <w:marTop w:val="0"/>
      <w:marBottom w:val="0"/>
      <w:divBdr>
        <w:top w:val="none" w:sz="0" w:space="0" w:color="auto"/>
        <w:left w:val="none" w:sz="0" w:space="0" w:color="auto"/>
        <w:bottom w:val="none" w:sz="0" w:space="0" w:color="auto"/>
        <w:right w:val="none" w:sz="0" w:space="0" w:color="auto"/>
      </w:divBdr>
    </w:div>
    <w:div w:id="645167715">
      <w:bodyDiv w:val="1"/>
      <w:marLeft w:val="0"/>
      <w:marRight w:val="0"/>
      <w:marTop w:val="0"/>
      <w:marBottom w:val="0"/>
      <w:divBdr>
        <w:top w:val="none" w:sz="0" w:space="0" w:color="auto"/>
        <w:left w:val="none" w:sz="0" w:space="0" w:color="auto"/>
        <w:bottom w:val="none" w:sz="0" w:space="0" w:color="auto"/>
        <w:right w:val="none" w:sz="0" w:space="0" w:color="auto"/>
      </w:divBdr>
    </w:div>
    <w:div w:id="658191610">
      <w:bodyDiv w:val="1"/>
      <w:marLeft w:val="0"/>
      <w:marRight w:val="0"/>
      <w:marTop w:val="0"/>
      <w:marBottom w:val="0"/>
      <w:divBdr>
        <w:top w:val="none" w:sz="0" w:space="0" w:color="auto"/>
        <w:left w:val="none" w:sz="0" w:space="0" w:color="auto"/>
        <w:bottom w:val="none" w:sz="0" w:space="0" w:color="auto"/>
        <w:right w:val="none" w:sz="0" w:space="0" w:color="auto"/>
      </w:divBdr>
    </w:div>
    <w:div w:id="674652395">
      <w:bodyDiv w:val="1"/>
      <w:marLeft w:val="0"/>
      <w:marRight w:val="0"/>
      <w:marTop w:val="0"/>
      <w:marBottom w:val="0"/>
      <w:divBdr>
        <w:top w:val="none" w:sz="0" w:space="0" w:color="auto"/>
        <w:left w:val="none" w:sz="0" w:space="0" w:color="auto"/>
        <w:bottom w:val="none" w:sz="0" w:space="0" w:color="auto"/>
        <w:right w:val="none" w:sz="0" w:space="0" w:color="auto"/>
      </w:divBdr>
    </w:div>
    <w:div w:id="682320413">
      <w:bodyDiv w:val="1"/>
      <w:marLeft w:val="0"/>
      <w:marRight w:val="0"/>
      <w:marTop w:val="0"/>
      <w:marBottom w:val="0"/>
      <w:divBdr>
        <w:top w:val="none" w:sz="0" w:space="0" w:color="auto"/>
        <w:left w:val="none" w:sz="0" w:space="0" w:color="auto"/>
        <w:bottom w:val="none" w:sz="0" w:space="0" w:color="auto"/>
        <w:right w:val="none" w:sz="0" w:space="0" w:color="auto"/>
      </w:divBdr>
    </w:div>
    <w:div w:id="685525987">
      <w:bodyDiv w:val="1"/>
      <w:marLeft w:val="0"/>
      <w:marRight w:val="0"/>
      <w:marTop w:val="0"/>
      <w:marBottom w:val="0"/>
      <w:divBdr>
        <w:top w:val="none" w:sz="0" w:space="0" w:color="auto"/>
        <w:left w:val="none" w:sz="0" w:space="0" w:color="auto"/>
        <w:bottom w:val="none" w:sz="0" w:space="0" w:color="auto"/>
        <w:right w:val="none" w:sz="0" w:space="0" w:color="auto"/>
      </w:divBdr>
    </w:div>
    <w:div w:id="687172721">
      <w:bodyDiv w:val="1"/>
      <w:marLeft w:val="0"/>
      <w:marRight w:val="0"/>
      <w:marTop w:val="0"/>
      <w:marBottom w:val="0"/>
      <w:divBdr>
        <w:top w:val="none" w:sz="0" w:space="0" w:color="auto"/>
        <w:left w:val="none" w:sz="0" w:space="0" w:color="auto"/>
        <w:bottom w:val="none" w:sz="0" w:space="0" w:color="auto"/>
        <w:right w:val="none" w:sz="0" w:space="0" w:color="auto"/>
      </w:divBdr>
    </w:div>
    <w:div w:id="690911092">
      <w:bodyDiv w:val="1"/>
      <w:marLeft w:val="0"/>
      <w:marRight w:val="0"/>
      <w:marTop w:val="0"/>
      <w:marBottom w:val="0"/>
      <w:divBdr>
        <w:top w:val="none" w:sz="0" w:space="0" w:color="auto"/>
        <w:left w:val="none" w:sz="0" w:space="0" w:color="auto"/>
        <w:bottom w:val="none" w:sz="0" w:space="0" w:color="auto"/>
        <w:right w:val="none" w:sz="0" w:space="0" w:color="auto"/>
      </w:divBdr>
    </w:div>
    <w:div w:id="700663390">
      <w:bodyDiv w:val="1"/>
      <w:marLeft w:val="0"/>
      <w:marRight w:val="0"/>
      <w:marTop w:val="0"/>
      <w:marBottom w:val="0"/>
      <w:divBdr>
        <w:top w:val="none" w:sz="0" w:space="0" w:color="auto"/>
        <w:left w:val="none" w:sz="0" w:space="0" w:color="auto"/>
        <w:bottom w:val="none" w:sz="0" w:space="0" w:color="auto"/>
        <w:right w:val="none" w:sz="0" w:space="0" w:color="auto"/>
      </w:divBdr>
    </w:div>
    <w:div w:id="709383398">
      <w:bodyDiv w:val="1"/>
      <w:marLeft w:val="0"/>
      <w:marRight w:val="0"/>
      <w:marTop w:val="0"/>
      <w:marBottom w:val="0"/>
      <w:divBdr>
        <w:top w:val="none" w:sz="0" w:space="0" w:color="auto"/>
        <w:left w:val="none" w:sz="0" w:space="0" w:color="auto"/>
        <w:bottom w:val="none" w:sz="0" w:space="0" w:color="auto"/>
        <w:right w:val="none" w:sz="0" w:space="0" w:color="auto"/>
      </w:divBdr>
    </w:div>
    <w:div w:id="723680572">
      <w:bodyDiv w:val="1"/>
      <w:marLeft w:val="0"/>
      <w:marRight w:val="0"/>
      <w:marTop w:val="0"/>
      <w:marBottom w:val="0"/>
      <w:divBdr>
        <w:top w:val="none" w:sz="0" w:space="0" w:color="auto"/>
        <w:left w:val="none" w:sz="0" w:space="0" w:color="auto"/>
        <w:bottom w:val="none" w:sz="0" w:space="0" w:color="auto"/>
        <w:right w:val="none" w:sz="0" w:space="0" w:color="auto"/>
      </w:divBdr>
    </w:div>
    <w:div w:id="740717902">
      <w:bodyDiv w:val="1"/>
      <w:marLeft w:val="0"/>
      <w:marRight w:val="0"/>
      <w:marTop w:val="0"/>
      <w:marBottom w:val="0"/>
      <w:divBdr>
        <w:top w:val="none" w:sz="0" w:space="0" w:color="auto"/>
        <w:left w:val="none" w:sz="0" w:space="0" w:color="auto"/>
        <w:bottom w:val="none" w:sz="0" w:space="0" w:color="auto"/>
        <w:right w:val="none" w:sz="0" w:space="0" w:color="auto"/>
      </w:divBdr>
    </w:div>
    <w:div w:id="745298565">
      <w:bodyDiv w:val="1"/>
      <w:marLeft w:val="0"/>
      <w:marRight w:val="0"/>
      <w:marTop w:val="0"/>
      <w:marBottom w:val="0"/>
      <w:divBdr>
        <w:top w:val="none" w:sz="0" w:space="0" w:color="auto"/>
        <w:left w:val="none" w:sz="0" w:space="0" w:color="auto"/>
        <w:bottom w:val="none" w:sz="0" w:space="0" w:color="auto"/>
        <w:right w:val="none" w:sz="0" w:space="0" w:color="auto"/>
      </w:divBdr>
    </w:div>
    <w:div w:id="746728366">
      <w:bodyDiv w:val="1"/>
      <w:marLeft w:val="0"/>
      <w:marRight w:val="0"/>
      <w:marTop w:val="0"/>
      <w:marBottom w:val="0"/>
      <w:divBdr>
        <w:top w:val="none" w:sz="0" w:space="0" w:color="auto"/>
        <w:left w:val="none" w:sz="0" w:space="0" w:color="auto"/>
        <w:bottom w:val="none" w:sz="0" w:space="0" w:color="auto"/>
        <w:right w:val="none" w:sz="0" w:space="0" w:color="auto"/>
      </w:divBdr>
    </w:div>
    <w:div w:id="765468802">
      <w:bodyDiv w:val="1"/>
      <w:marLeft w:val="0"/>
      <w:marRight w:val="0"/>
      <w:marTop w:val="0"/>
      <w:marBottom w:val="0"/>
      <w:divBdr>
        <w:top w:val="none" w:sz="0" w:space="0" w:color="auto"/>
        <w:left w:val="none" w:sz="0" w:space="0" w:color="auto"/>
        <w:bottom w:val="none" w:sz="0" w:space="0" w:color="auto"/>
        <w:right w:val="none" w:sz="0" w:space="0" w:color="auto"/>
      </w:divBdr>
    </w:div>
    <w:div w:id="776371176">
      <w:bodyDiv w:val="1"/>
      <w:marLeft w:val="0"/>
      <w:marRight w:val="0"/>
      <w:marTop w:val="0"/>
      <w:marBottom w:val="0"/>
      <w:divBdr>
        <w:top w:val="none" w:sz="0" w:space="0" w:color="auto"/>
        <w:left w:val="none" w:sz="0" w:space="0" w:color="auto"/>
        <w:bottom w:val="none" w:sz="0" w:space="0" w:color="auto"/>
        <w:right w:val="none" w:sz="0" w:space="0" w:color="auto"/>
      </w:divBdr>
      <w:divsChild>
        <w:div w:id="3360816">
          <w:marLeft w:val="274"/>
          <w:marRight w:val="0"/>
          <w:marTop w:val="0"/>
          <w:marBottom w:val="240"/>
          <w:divBdr>
            <w:top w:val="none" w:sz="0" w:space="0" w:color="auto"/>
            <w:left w:val="none" w:sz="0" w:space="0" w:color="auto"/>
            <w:bottom w:val="none" w:sz="0" w:space="0" w:color="auto"/>
            <w:right w:val="none" w:sz="0" w:space="0" w:color="auto"/>
          </w:divBdr>
        </w:div>
        <w:div w:id="672224269">
          <w:marLeft w:val="274"/>
          <w:marRight w:val="0"/>
          <w:marTop w:val="0"/>
          <w:marBottom w:val="240"/>
          <w:divBdr>
            <w:top w:val="none" w:sz="0" w:space="0" w:color="auto"/>
            <w:left w:val="none" w:sz="0" w:space="0" w:color="auto"/>
            <w:bottom w:val="none" w:sz="0" w:space="0" w:color="auto"/>
            <w:right w:val="none" w:sz="0" w:space="0" w:color="auto"/>
          </w:divBdr>
        </w:div>
        <w:div w:id="1237516392">
          <w:marLeft w:val="274"/>
          <w:marRight w:val="0"/>
          <w:marTop w:val="0"/>
          <w:marBottom w:val="240"/>
          <w:divBdr>
            <w:top w:val="none" w:sz="0" w:space="0" w:color="auto"/>
            <w:left w:val="none" w:sz="0" w:space="0" w:color="auto"/>
            <w:bottom w:val="none" w:sz="0" w:space="0" w:color="auto"/>
            <w:right w:val="none" w:sz="0" w:space="0" w:color="auto"/>
          </w:divBdr>
        </w:div>
        <w:div w:id="1675911434">
          <w:marLeft w:val="274"/>
          <w:marRight w:val="0"/>
          <w:marTop w:val="0"/>
          <w:marBottom w:val="240"/>
          <w:divBdr>
            <w:top w:val="none" w:sz="0" w:space="0" w:color="auto"/>
            <w:left w:val="none" w:sz="0" w:space="0" w:color="auto"/>
            <w:bottom w:val="none" w:sz="0" w:space="0" w:color="auto"/>
            <w:right w:val="none" w:sz="0" w:space="0" w:color="auto"/>
          </w:divBdr>
        </w:div>
      </w:divsChild>
    </w:div>
    <w:div w:id="790830831">
      <w:bodyDiv w:val="1"/>
      <w:marLeft w:val="0"/>
      <w:marRight w:val="0"/>
      <w:marTop w:val="0"/>
      <w:marBottom w:val="0"/>
      <w:divBdr>
        <w:top w:val="none" w:sz="0" w:space="0" w:color="auto"/>
        <w:left w:val="none" w:sz="0" w:space="0" w:color="auto"/>
        <w:bottom w:val="none" w:sz="0" w:space="0" w:color="auto"/>
        <w:right w:val="none" w:sz="0" w:space="0" w:color="auto"/>
      </w:divBdr>
    </w:div>
    <w:div w:id="831022798">
      <w:bodyDiv w:val="1"/>
      <w:marLeft w:val="0"/>
      <w:marRight w:val="0"/>
      <w:marTop w:val="0"/>
      <w:marBottom w:val="0"/>
      <w:divBdr>
        <w:top w:val="none" w:sz="0" w:space="0" w:color="auto"/>
        <w:left w:val="none" w:sz="0" w:space="0" w:color="auto"/>
        <w:bottom w:val="none" w:sz="0" w:space="0" w:color="auto"/>
        <w:right w:val="none" w:sz="0" w:space="0" w:color="auto"/>
      </w:divBdr>
    </w:div>
    <w:div w:id="837309788">
      <w:bodyDiv w:val="1"/>
      <w:marLeft w:val="0"/>
      <w:marRight w:val="0"/>
      <w:marTop w:val="0"/>
      <w:marBottom w:val="0"/>
      <w:divBdr>
        <w:top w:val="none" w:sz="0" w:space="0" w:color="auto"/>
        <w:left w:val="none" w:sz="0" w:space="0" w:color="auto"/>
        <w:bottom w:val="none" w:sz="0" w:space="0" w:color="auto"/>
        <w:right w:val="none" w:sz="0" w:space="0" w:color="auto"/>
      </w:divBdr>
    </w:div>
    <w:div w:id="838084397">
      <w:bodyDiv w:val="1"/>
      <w:marLeft w:val="0"/>
      <w:marRight w:val="0"/>
      <w:marTop w:val="0"/>
      <w:marBottom w:val="0"/>
      <w:divBdr>
        <w:top w:val="none" w:sz="0" w:space="0" w:color="auto"/>
        <w:left w:val="none" w:sz="0" w:space="0" w:color="auto"/>
        <w:bottom w:val="none" w:sz="0" w:space="0" w:color="auto"/>
        <w:right w:val="none" w:sz="0" w:space="0" w:color="auto"/>
      </w:divBdr>
    </w:div>
    <w:div w:id="842090911">
      <w:bodyDiv w:val="1"/>
      <w:marLeft w:val="0"/>
      <w:marRight w:val="0"/>
      <w:marTop w:val="0"/>
      <w:marBottom w:val="0"/>
      <w:divBdr>
        <w:top w:val="none" w:sz="0" w:space="0" w:color="auto"/>
        <w:left w:val="none" w:sz="0" w:space="0" w:color="auto"/>
        <w:bottom w:val="none" w:sz="0" w:space="0" w:color="auto"/>
        <w:right w:val="none" w:sz="0" w:space="0" w:color="auto"/>
      </w:divBdr>
    </w:div>
    <w:div w:id="844904811">
      <w:bodyDiv w:val="1"/>
      <w:marLeft w:val="0"/>
      <w:marRight w:val="0"/>
      <w:marTop w:val="0"/>
      <w:marBottom w:val="0"/>
      <w:divBdr>
        <w:top w:val="none" w:sz="0" w:space="0" w:color="auto"/>
        <w:left w:val="none" w:sz="0" w:space="0" w:color="auto"/>
        <w:bottom w:val="none" w:sz="0" w:space="0" w:color="auto"/>
        <w:right w:val="none" w:sz="0" w:space="0" w:color="auto"/>
      </w:divBdr>
      <w:divsChild>
        <w:div w:id="108815186">
          <w:marLeft w:val="245"/>
          <w:marRight w:val="0"/>
          <w:marTop w:val="0"/>
          <w:marBottom w:val="0"/>
          <w:divBdr>
            <w:top w:val="none" w:sz="0" w:space="0" w:color="auto"/>
            <w:left w:val="none" w:sz="0" w:space="0" w:color="auto"/>
            <w:bottom w:val="none" w:sz="0" w:space="0" w:color="auto"/>
            <w:right w:val="none" w:sz="0" w:space="0" w:color="auto"/>
          </w:divBdr>
        </w:div>
        <w:div w:id="294604292">
          <w:marLeft w:val="245"/>
          <w:marRight w:val="0"/>
          <w:marTop w:val="0"/>
          <w:marBottom w:val="0"/>
          <w:divBdr>
            <w:top w:val="none" w:sz="0" w:space="0" w:color="auto"/>
            <w:left w:val="none" w:sz="0" w:space="0" w:color="auto"/>
            <w:bottom w:val="none" w:sz="0" w:space="0" w:color="auto"/>
            <w:right w:val="none" w:sz="0" w:space="0" w:color="auto"/>
          </w:divBdr>
        </w:div>
        <w:div w:id="1527792771">
          <w:marLeft w:val="245"/>
          <w:marRight w:val="0"/>
          <w:marTop w:val="0"/>
          <w:marBottom w:val="0"/>
          <w:divBdr>
            <w:top w:val="none" w:sz="0" w:space="0" w:color="auto"/>
            <w:left w:val="none" w:sz="0" w:space="0" w:color="auto"/>
            <w:bottom w:val="none" w:sz="0" w:space="0" w:color="auto"/>
            <w:right w:val="none" w:sz="0" w:space="0" w:color="auto"/>
          </w:divBdr>
        </w:div>
        <w:div w:id="1756436670">
          <w:marLeft w:val="245"/>
          <w:marRight w:val="0"/>
          <w:marTop w:val="0"/>
          <w:marBottom w:val="0"/>
          <w:divBdr>
            <w:top w:val="none" w:sz="0" w:space="0" w:color="auto"/>
            <w:left w:val="none" w:sz="0" w:space="0" w:color="auto"/>
            <w:bottom w:val="none" w:sz="0" w:space="0" w:color="auto"/>
            <w:right w:val="none" w:sz="0" w:space="0" w:color="auto"/>
          </w:divBdr>
        </w:div>
      </w:divsChild>
    </w:div>
    <w:div w:id="872352343">
      <w:bodyDiv w:val="1"/>
      <w:marLeft w:val="0"/>
      <w:marRight w:val="0"/>
      <w:marTop w:val="0"/>
      <w:marBottom w:val="0"/>
      <w:divBdr>
        <w:top w:val="none" w:sz="0" w:space="0" w:color="auto"/>
        <w:left w:val="none" w:sz="0" w:space="0" w:color="auto"/>
        <w:bottom w:val="none" w:sz="0" w:space="0" w:color="auto"/>
        <w:right w:val="none" w:sz="0" w:space="0" w:color="auto"/>
      </w:divBdr>
    </w:div>
    <w:div w:id="874269796">
      <w:bodyDiv w:val="1"/>
      <w:marLeft w:val="0"/>
      <w:marRight w:val="0"/>
      <w:marTop w:val="0"/>
      <w:marBottom w:val="0"/>
      <w:divBdr>
        <w:top w:val="none" w:sz="0" w:space="0" w:color="auto"/>
        <w:left w:val="none" w:sz="0" w:space="0" w:color="auto"/>
        <w:bottom w:val="none" w:sz="0" w:space="0" w:color="auto"/>
        <w:right w:val="none" w:sz="0" w:space="0" w:color="auto"/>
      </w:divBdr>
    </w:div>
    <w:div w:id="874654678">
      <w:bodyDiv w:val="1"/>
      <w:marLeft w:val="0"/>
      <w:marRight w:val="0"/>
      <w:marTop w:val="0"/>
      <w:marBottom w:val="0"/>
      <w:divBdr>
        <w:top w:val="none" w:sz="0" w:space="0" w:color="auto"/>
        <w:left w:val="none" w:sz="0" w:space="0" w:color="auto"/>
        <w:bottom w:val="none" w:sz="0" w:space="0" w:color="auto"/>
        <w:right w:val="none" w:sz="0" w:space="0" w:color="auto"/>
      </w:divBdr>
    </w:div>
    <w:div w:id="881750131">
      <w:bodyDiv w:val="1"/>
      <w:marLeft w:val="0"/>
      <w:marRight w:val="0"/>
      <w:marTop w:val="0"/>
      <w:marBottom w:val="0"/>
      <w:divBdr>
        <w:top w:val="none" w:sz="0" w:space="0" w:color="auto"/>
        <w:left w:val="none" w:sz="0" w:space="0" w:color="auto"/>
        <w:bottom w:val="none" w:sz="0" w:space="0" w:color="auto"/>
        <w:right w:val="none" w:sz="0" w:space="0" w:color="auto"/>
      </w:divBdr>
    </w:div>
    <w:div w:id="889414074">
      <w:bodyDiv w:val="1"/>
      <w:marLeft w:val="0"/>
      <w:marRight w:val="0"/>
      <w:marTop w:val="0"/>
      <w:marBottom w:val="0"/>
      <w:divBdr>
        <w:top w:val="none" w:sz="0" w:space="0" w:color="auto"/>
        <w:left w:val="none" w:sz="0" w:space="0" w:color="auto"/>
        <w:bottom w:val="none" w:sz="0" w:space="0" w:color="auto"/>
        <w:right w:val="none" w:sz="0" w:space="0" w:color="auto"/>
      </w:divBdr>
    </w:div>
    <w:div w:id="893470454">
      <w:bodyDiv w:val="1"/>
      <w:marLeft w:val="0"/>
      <w:marRight w:val="0"/>
      <w:marTop w:val="0"/>
      <w:marBottom w:val="0"/>
      <w:divBdr>
        <w:top w:val="none" w:sz="0" w:space="0" w:color="auto"/>
        <w:left w:val="none" w:sz="0" w:space="0" w:color="auto"/>
        <w:bottom w:val="none" w:sz="0" w:space="0" w:color="auto"/>
        <w:right w:val="none" w:sz="0" w:space="0" w:color="auto"/>
      </w:divBdr>
    </w:div>
    <w:div w:id="918909448">
      <w:bodyDiv w:val="1"/>
      <w:marLeft w:val="0"/>
      <w:marRight w:val="0"/>
      <w:marTop w:val="0"/>
      <w:marBottom w:val="0"/>
      <w:divBdr>
        <w:top w:val="none" w:sz="0" w:space="0" w:color="auto"/>
        <w:left w:val="none" w:sz="0" w:space="0" w:color="auto"/>
        <w:bottom w:val="none" w:sz="0" w:space="0" w:color="auto"/>
        <w:right w:val="none" w:sz="0" w:space="0" w:color="auto"/>
      </w:divBdr>
      <w:divsChild>
        <w:div w:id="29454088">
          <w:marLeft w:val="1166"/>
          <w:marRight w:val="0"/>
          <w:marTop w:val="0"/>
          <w:marBottom w:val="160"/>
          <w:divBdr>
            <w:top w:val="none" w:sz="0" w:space="0" w:color="auto"/>
            <w:left w:val="none" w:sz="0" w:space="0" w:color="auto"/>
            <w:bottom w:val="none" w:sz="0" w:space="0" w:color="auto"/>
            <w:right w:val="none" w:sz="0" w:space="0" w:color="auto"/>
          </w:divBdr>
        </w:div>
        <w:div w:id="111941191">
          <w:marLeft w:val="274"/>
          <w:marRight w:val="0"/>
          <w:marTop w:val="0"/>
          <w:marBottom w:val="80"/>
          <w:divBdr>
            <w:top w:val="none" w:sz="0" w:space="0" w:color="auto"/>
            <w:left w:val="none" w:sz="0" w:space="0" w:color="auto"/>
            <w:bottom w:val="none" w:sz="0" w:space="0" w:color="auto"/>
            <w:right w:val="none" w:sz="0" w:space="0" w:color="auto"/>
          </w:divBdr>
        </w:div>
        <w:div w:id="133840623">
          <w:marLeft w:val="1166"/>
          <w:marRight w:val="0"/>
          <w:marTop w:val="0"/>
          <w:marBottom w:val="120"/>
          <w:divBdr>
            <w:top w:val="none" w:sz="0" w:space="0" w:color="auto"/>
            <w:left w:val="none" w:sz="0" w:space="0" w:color="auto"/>
            <w:bottom w:val="none" w:sz="0" w:space="0" w:color="auto"/>
            <w:right w:val="none" w:sz="0" w:space="0" w:color="auto"/>
          </w:divBdr>
        </w:div>
        <w:div w:id="289015953">
          <w:marLeft w:val="274"/>
          <w:marRight w:val="0"/>
          <w:marTop w:val="0"/>
          <w:marBottom w:val="120"/>
          <w:divBdr>
            <w:top w:val="none" w:sz="0" w:space="0" w:color="auto"/>
            <w:left w:val="none" w:sz="0" w:space="0" w:color="auto"/>
            <w:bottom w:val="none" w:sz="0" w:space="0" w:color="auto"/>
            <w:right w:val="none" w:sz="0" w:space="0" w:color="auto"/>
          </w:divBdr>
        </w:div>
        <w:div w:id="419371868">
          <w:marLeft w:val="1166"/>
          <w:marRight w:val="0"/>
          <w:marTop w:val="0"/>
          <w:marBottom w:val="160"/>
          <w:divBdr>
            <w:top w:val="none" w:sz="0" w:space="0" w:color="auto"/>
            <w:left w:val="none" w:sz="0" w:space="0" w:color="auto"/>
            <w:bottom w:val="none" w:sz="0" w:space="0" w:color="auto"/>
            <w:right w:val="none" w:sz="0" w:space="0" w:color="auto"/>
          </w:divBdr>
        </w:div>
        <w:div w:id="736171956">
          <w:marLeft w:val="274"/>
          <w:marRight w:val="0"/>
          <w:marTop w:val="0"/>
          <w:marBottom w:val="80"/>
          <w:divBdr>
            <w:top w:val="none" w:sz="0" w:space="0" w:color="auto"/>
            <w:left w:val="none" w:sz="0" w:space="0" w:color="auto"/>
            <w:bottom w:val="none" w:sz="0" w:space="0" w:color="auto"/>
            <w:right w:val="none" w:sz="0" w:space="0" w:color="auto"/>
          </w:divBdr>
        </w:div>
        <w:div w:id="778791177">
          <w:marLeft w:val="1166"/>
          <w:marRight w:val="0"/>
          <w:marTop w:val="0"/>
          <w:marBottom w:val="240"/>
          <w:divBdr>
            <w:top w:val="none" w:sz="0" w:space="0" w:color="auto"/>
            <w:left w:val="none" w:sz="0" w:space="0" w:color="auto"/>
            <w:bottom w:val="none" w:sz="0" w:space="0" w:color="auto"/>
            <w:right w:val="none" w:sz="0" w:space="0" w:color="auto"/>
          </w:divBdr>
        </w:div>
        <w:div w:id="1016540372">
          <w:marLeft w:val="1166"/>
          <w:marRight w:val="0"/>
          <w:marTop w:val="0"/>
          <w:marBottom w:val="120"/>
          <w:divBdr>
            <w:top w:val="none" w:sz="0" w:space="0" w:color="auto"/>
            <w:left w:val="none" w:sz="0" w:space="0" w:color="auto"/>
            <w:bottom w:val="none" w:sz="0" w:space="0" w:color="auto"/>
            <w:right w:val="none" w:sz="0" w:space="0" w:color="auto"/>
          </w:divBdr>
        </w:div>
        <w:div w:id="1223902553">
          <w:marLeft w:val="1166"/>
          <w:marRight w:val="0"/>
          <w:marTop w:val="0"/>
          <w:marBottom w:val="160"/>
          <w:divBdr>
            <w:top w:val="none" w:sz="0" w:space="0" w:color="auto"/>
            <w:left w:val="none" w:sz="0" w:space="0" w:color="auto"/>
            <w:bottom w:val="none" w:sz="0" w:space="0" w:color="auto"/>
            <w:right w:val="none" w:sz="0" w:space="0" w:color="auto"/>
          </w:divBdr>
        </w:div>
        <w:div w:id="1282615257">
          <w:marLeft w:val="274"/>
          <w:marRight w:val="0"/>
          <w:marTop w:val="0"/>
          <w:marBottom w:val="80"/>
          <w:divBdr>
            <w:top w:val="none" w:sz="0" w:space="0" w:color="auto"/>
            <w:left w:val="none" w:sz="0" w:space="0" w:color="auto"/>
            <w:bottom w:val="none" w:sz="0" w:space="0" w:color="auto"/>
            <w:right w:val="none" w:sz="0" w:space="0" w:color="auto"/>
          </w:divBdr>
        </w:div>
        <w:div w:id="1533225148">
          <w:marLeft w:val="274"/>
          <w:marRight w:val="0"/>
          <w:marTop w:val="0"/>
          <w:marBottom w:val="80"/>
          <w:divBdr>
            <w:top w:val="none" w:sz="0" w:space="0" w:color="auto"/>
            <w:left w:val="none" w:sz="0" w:space="0" w:color="auto"/>
            <w:bottom w:val="none" w:sz="0" w:space="0" w:color="auto"/>
            <w:right w:val="none" w:sz="0" w:space="0" w:color="auto"/>
          </w:divBdr>
        </w:div>
      </w:divsChild>
    </w:div>
    <w:div w:id="922497131">
      <w:bodyDiv w:val="1"/>
      <w:marLeft w:val="0"/>
      <w:marRight w:val="0"/>
      <w:marTop w:val="0"/>
      <w:marBottom w:val="0"/>
      <w:divBdr>
        <w:top w:val="none" w:sz="0" w:space="0" w:color="auto"/>
        <w:left w:val="none" w:sz="0" w:space="0" w:color="auto"/>
        <w:bottom w:val="none" w:sz="0" w:space="0" w:color="auto"/>
        <w:right w:val="none" w:sz="0" w:space="0" w:color="auto"/>
      </w:divBdr>
    </w:div>
    <w:div w:id="935870055">
      <w:bodyDiv w:val="1"/>
      <w:marLeft w:val="0"/>
      <w:marRight w:val="0"/>
      <w:marTop w:val="0"/>
      <w:marBottom w:val="0"/>
      <w:divBdr>
        <w:top w:val="none" w:sz="0" w:space="0" w:color="auto"/>
        <w:left w:val="none" w:sz="0" w:space="0" w:color="auto"/>
        <w:bottom w:val="none" w:sz="0" w:space="0" w:color="auto"/>
        <w:right w:val="none" w:sz="0" w:space="0" w:color="auto"/>
      </w:divBdr>
    </w:div>
    <w:div w:id="939796256">
      <w:bodyDiv w:val="1"/>
      <w:marLeft w:val="0"/>
      <w:marRight w:val="0"/>
      <w:marTop w:val="0"/>
      <w:marBottom w:val="0"/>
      <w:divBdr>
        <w:top w:val="none" w:sz="0" w:space="0" w:color="auto"/>
        <w:left w:val="none" w:sz="0" w:space="0" w:color="auto"/>
        <w:bottom w:val="none" w:sz="0" w:space="0" w:color="auto"/>
        <w:right w:val="none" w:sz="0" w:space="0" w:color="auto"/>
      </w:divBdr>
    </w:div>
    <w:div w:id="943342278">
      <w:bodyDiv w:val="1"/>
      <w:marLeft w:val="0"/>
      <w:marRight w:val="0"/>
      <w:marTop w:val="0"/>
      <w:marBottom w:val="0"/>
      <w:divBdr>
        <w:top w:val="none" w:sz="0" w:space="0" w:color="auto"/>
        <w:left w:val="none" w:sz="0" w:space="0" w:color="auto"/>
        <w:bottom w:val="none" w:sz="0" w:space="0" w:color="auto"/>
        <w:right w:val="none" w:sz="0" w:space="0" w:color="auto"/>
      </w:divBdr>
    </w:div>
    <w:div w:id="943731988">
      <w:bodyDiv w:val="1"/>
      <w:marLeft w:val="0"/>
      <w:marRight w:val="0"/>
      <w:marTop w:val="0"/>
      <w:marBottom w:val="0"/>
      <w:divBdr>
        <w:top w:val="none" w:sz="0" w:space="0" w:color="auto"/>
        <w:left w:val="none" w:sz="0" w:space="0" w:color="auto"/>
        <w:bottom w:val="none" w:sz="0" w:space="0" w:color="auto"/>
        <w:right w:val="none" w:sz="0" w:space="0" w:color="auto"/>
      </w:divBdr>
    </w:div>
    <w:div w:id="946888209">
      <w:bodyDiv w:val="1"/>
      <w:marLeft w:val="0"/>
      <w:marRight w:val="0"/>
      <w:marTop w:val="0"/>
      <w:marBottom w:val="0"/>
      <w:divBdr>
        <w:top w:val="none" w:sz="0" w:space="0" w:color="auto"/>
        <w:left w:val="none" w:sz="0" w:space="0" w:color="auto"/>
        <w:bottom w:val="none" w:sz="0" w:space="0" w:color="auto"/>
        <w:right w:val="none" w:sz="0" w:space="0" w:color="auto"/>
      </w:divBdr>
    </w:div>
    <w:div w:id="970987169">
      <w:bodyDiv w:val="1"/>
      <w:marLeft w:val="0"/>
      <w:marRight w:val="0"/>
      <w:marTop w:val="0"/>
      <w:marBottom w:val="0"/>
      <w:divBdr>
        <w:top w:val="none" w:sz="0" w:space="0" w:color="auto"/>
        <w:left w:val="none" w:sz="0" w:space="0" w:color="auto"/>
        <w:bottom w:val="none" w:sz="0" w:space="0" w:color="auto"/>
        <w:right w:val="none" w:sz="0" w:space="0" w:color="auto"/>
      </w:divBdr>
    </w:div>
    <w:div w:id="994646086">
      <w:bodyDiv w:val="1"/>
      <w:marLeft w:val="0"/>
      <w:marRight w:val="0"/>
      <w:marTop w:val="0"/>
      <w:marBottom w:val="0"/>
      <w:divBdr>
        <w:top w:val="none" w:sz="0" w:space="0" w:color="auto"/>
        <w:left w:val="none" w:sz="0" w:space="0" w:color="auto"/>
        <w:bottom w:val="none" w:sz="0" w:space="0" w:color="auto"/>
        <w:right w:val="none" w:sz="0" w:space="0" w:color="auto"/>
      </w:divBdr>
    </w:div>
    <w:div w:id="1004355933">
      <w:bodyDiv w:val="1"/>
      <w:marLeft w:val="0"/>
      <w:marRight w:val="0"/>
      <w:marTop w:val="0"/>
      <w:marBottom w:val="0"/>
      <w:divBdr>
        <w:top w:val="none" w:sz="0" w:space="0" w:color="auto"/>
        <w:left w:val="none" w:sz="0" w:space="0" w:color="auto"/>
        <w:bottom w:val="none" w:sz="0" w:space="0" w:color="auto"/>
        <w:right w:val="none" w:sz="0" w:space="0" w:color="auto"/>
      </w:divBdr>
    </w:div>
    <w:div w:id="1004817524">
      <w:bodyDiv w:val="1"/>
      <w:marLeft w:val="0"/>
      <w:marRight w:val="0"/>
      <w:marTop w:val="0"/>
      <w:marBottom w:val="0"/>
      <w:divBdr>
        <w:top w:val="none" w:sz="0" w:space="0" w:color="auto"/>
        <w:left w:val="none" w:sz="0" w:space="0" w:color="auto"/>
        <w:bottom w:val="none" w:sz="0" w:space="0" w:color="auto"/>
        <w:right w:val="none" w:sz="0" w:space="0" w:color="auto"/>
      </w:divBdr>
    </w:div>
    <w:div w:id="1008562925">
      <w:bodyDiv w:val="1"/>
      <w:marLeft w:val="0"/>
      <w:marRight w:val="0"/>
      <w:marTop w:val="0"/>
      <w:marBottom w:val="0"/>
      <w:divBdr>
        <w:top w:val="none" w:sz="0" w:space="0" w:color="auto"/>
        <w:left w:val="none" w:sz="0" w:space="0" w:color="auto"/>
        <w:bottom w:val="none" w:sz="0" w:space="0" w:color="auto"/>
        <w:right w:val="none" w:sz="0" w:space="0" w:color="auto"/>
      </w:divBdr>
    </w:div>
    <w:div w:id="1012492853">
      <w:bodyDiv w:val="1"/>
      <w:marLeft w:val="0"/>
      <w:marRight w:val="0"/>
      <w:marTop w:val="0"/>
      <w:marBottom w:val="0"/>
      <w:divBdr>
        <w:top w:val="none" w:sz="0" w:space="0" w:color="auto"/>
        <w:left w:val="none" w:sz="0" w:space="0" w:color="auto"/>
        <w:bottom w:val="none" w:sz="0" w:space="0" w:color="auto"/>
        <w:right w:val="none" w:sz="0" w:space="0" w:color="auto"/>
      </w:divBdr>
    </w:div>
    <w:div w:id="1033068248">
      <w:bodyDiv w:val="1"/>
      <w:marLeft w:val="0"/>
      <w:marRight w:val="0"/>
      <w:marTop w:val="0"/>
      <w:marBottom w:val="0"/>
      <w:divBdr>
        <w:top w:val="none" w:sz="0" w:space="0" w:color="auto"/>
        <w:left w:val="none" w:sz="0" w:space="0" w:color="auto"/>
        <w:bottom w:val="none" w:sz="0" w:space="0" w:color="auto"/>
        <w:right w:val="none" w:sz="0" w:space="0" w:color="auto"/>
      </w:divBdr>
    </w:div>
    <w:div w:id="1034312369">
      <w:bodyDiv w:val="1"/>
      <w:marLeft w:val="0"/>
      <w:marRight w:val="0"/>
      <w:marTop w:val="0"/>
      <w:marBottom w:val="0"/>
      <w:divBdr>
        <w:top w:val="none" w:sz="0" w:space="0" w:color="auto"/>
        <w:left w:val="none" w:sz="0" w:space="0" w:color="auto"/>
        <w:bottom w:val="none" w:sz="0" w:space="0" w:color="auto"/>
        <w:right w:val="none" w:sz="0" w:space="0" w:color="auto"/>
      </w:divBdr>
    </w:div>
    <w:div w:id="1039816547">
      <w:bodyDiv w:val="1"/>
      <w:marLeft w:val="0"/>
      <w:marRight w:val="0"/>
      <w:marTop w:val="0"/>
      <w:marBottom w:val="0"/>
      <w:divBdr>
        <w:top w:val="none" w:sz="0" w:space="0" w:color="auto"/>
        <w:left w:val="none" w:sz="0" w:space="0" w:color="auto"/>
        <w:bottom w:val="none" w:sz="0" w:space="0" w:color="auto"/>
        <w:right w:val="none" w:sz="0" w:space="0" w:color="auto"/>
      </w:divBdr>
    </w:div>
    <w:div w:id="1050423538">
      <w:bodyDiv w:val="1"/>
      <w:marLeft w:val="0"/>
      <w:marRight w:val="0"/>
      <w:marTop w:val="0"/>
      <w:marBottom w:val="0"/>
      <w:divBdr>
        <w:top w:val="none" w:sz="0" w:space="0" w:color="auto"/>
        <w:left w:val="none" w:sz="0" w:space="0" w:color="auto"/>
        <w:bottom w:val="none" w:sz="0" w:space="0" w:color="auto"/>
        <w:right w:val="none" w:sz="0" w:space="0" w:color="auto"/>
      </w:divBdr>
    </w:div>
    <w:div w:id="1055928361">
      <w:bodyDiv w:val="1"/>
      <w:marLeft w:val="0"/>
      <w:marRight w:val="0"/>
      <w:marTop w:val="0"/>
      <w:marBottom w:val="0"/>
      <w:divBdr>
        <w:top w:val="none" w:sz="0" w:space="0" w:color="auto"/>
        <w:left w:val="none" w:sz="0" w:space="0" w:color="auto"/>
        <w:bottom w:val="none" w:sz="0" w:space="0" w:color="auto"/>
        <w:right w:val="none" w:sz="0" w:space="0" w:color="auto"/>
      </w:divBdr>
    </w:div>
    <w:div w:id="1072196304">
      <w:bodyDiv w:val="1"/>
      <w:marLeft w:val="0"/>
      <w:marRight w:val="0"/>
      <w:marTop w:val="0"/>
      <w:marBottom w:val="0"/>
      <w:divBdr>
        <w:top w:val="none" w:sz="0" w:space="0" w:color="auto"/>
        <w:left w:val="none" w:sz="0" w:space="0" w:color="auto"/>
        <w:bottom w:val="none" w:sz="0" w:space="0" w:color="auto"/>
        <w:right w:val="none" w:sz="0" w:space="0" w:color="auto"/>
      </w:divBdr>
    </w:div>
    <w:div w:id="1077947271">
      <w:bodyDiv w:val="1"/>
      <w:marLeft w:val="0"/>
      <w:marRight w:val="0"/>
      <w:marTop w:val="0"/>
      <w:marBottom w:val="0"/>
      <w:divBdr>
        <w:top w:val="none" w:sz="0" w:space="0" w:color="auto"/>
        <w:left w:val="none" w:sz="0" w:space="0" w:color="auto"/>
        <w:bottom w:val="none" w:sz="0" w:space="0" w:color="auto"/>
        <w:right w:val="none" w:sz="0" w:space="0" w:color="auto"/>
      </w:divBdr>
    </w:div>
    <w:div w:id="1089351682">
      <w:bodyDiv w:val="1"/>
      <w:marLeft w:val="0"/>
      <w:marRight w:val="0"/>
      <w:marTop w:val="0"/>
      <w:marBottom w:val="0"/>
      <w:divBdr>
        <w:top w:val="none" w:sz="0" w:space="0" w:color="auto"/>
        <w:left w:val="none" w:sz="0" w:space="0" w:color="auto"/>
        <w:bottom w:val="none" w:sz="0" w:space="0" w:color="auto"/>
        <w:right w:val="none" w:sz="0" w:space="0" w:color="auto"/>
      </w:divBdr>
    </w:div>
    <w:div w:id="1089473058">
      <w:bodyDiv w:val="1"/>
      <w:marLeft w:val="0"/>
      <w:marRight w:val="0"/>
      <w:marTop w:val="0"/>
      <w:marBottom w:val="0"/>
      <w:divBdr>
        <w:top w:val="none" w:sz="0" w:space="0" w:color="auto"/>
        <w:left w:val="none" w:sz="0" w:space="0" w:color="auto"/>
        <w:bottom w:val="none" w:sz="0" w:space="0" w:color="auto"/>
        <w:right w:val="none" w:sz="0" w:space="0" w:color="auto"/>
      </w:divBdr>
    </w:div>
    <w:div w:id="1102722122">
      <w:bodyDiv w:val="1"/>
      <w:marLeft w:val="0"/>
      <w:marRight w:val="0"/>
      <w:marTop w:val="0"/>
      <w:marBottom w:val="0"/>
      <w:divBdr>
        <w:top w:val="none" w:sz="0" w:space="0" w:color="auto"/>
        <w:left w:val="none" w:sz="0" w:space="0" w:color="auto"/>
        <w:bottom w:val="none" w:sz="0" w:space="0" w:color="auto"/>
        <w:right w:val="none" w:sz="0" w:space="0" w:color="auto"/>
      </w:divBdr>
    </w:div>
    <w:div w:id="1117455710">
      <w:bodyDiv w:val="1"/>
      <w:marLeft w:val="0"/>
      <w:marRight w:val="0"/>
      <w:marTop w:val="0"/>
      <w:marBottom w:val="0"/>
      <w:divBdr>
        <w:top w:val="none" w:sz="0" w:space="0" w:color="auto"/>
        <w:left w:val="none" w:sz="0" w:space="0" w:color="auto"/>
        <w:bottom w:val="none" w:sz="0" w:space="0" w:color="auto"/>
        <w:right w:val="none" w:sz="0" w:space="0" w:color="auto"/>
      </w:divBdr>
    </w:div>
    <w:div w:id="1122959542">
      <w:bodyDiv w:val="1"/>
      <w:marLeft w:val="0"/>
      <w:marRight w:val="0"/>
      <w:marTop w:val="0"/>
      <w:marBottom w:val="0"/>
      <w:divBdr>
        <w:top w:val="none" w:sz="0" w:space="0" w:color="auto"/>
        <w:left w:val="none" w:sz="0" w:space="0" w:color="auto"/>
        <w:bottom w:val="none" w:sz="0" w:space="0" w:color="auto"/>
        <w:right w:val="none" w:sz="0" w:space="0" w:color="auto"/>
      </w:divBdr>
    </w:div>
    <w:div w:id="1123110472">
      <w:bodyDiv w:val="1"/>
      <w:marLeft w:val="0"/>
      <w:marRight w:val="0"/>
      <w:marTop w:val="0"/>
      <w:marBottom w:val="0"/>
      <w:divBdr>
        <w:top w:val="none" w:sz="0" w:space="0" w:color="auto"/>
        <w:left w:val="none" w:sz="0" w:space="0" w:color="auto"/>
        <w:bottom w:val="none" w:sz="0" w:space="0" w:color="auto"/>
        <w:right w:val="none" w:sz="0" w:space="0" w:color="auto"/>
      </w:divBdr>
    </w:div>
    <w:div w:id="1131283235">
      <w:bodyDiv w:val="1"/>
      <w:marLeft w:val="0"/>
      <w:marRight w:val="0"/>
      <w:marTop w:val="0"/>
      <w:marBottom w:val="0"/>
      <w:divBdr>
        <w:top w:val="none" w:sz="0" w:space="0" w:color="auto"/>
        <w:left w:val="none" w:sz="0" w:space="0" w:color="auto"/>
        <w:bottom w:val="none" w:sz="0" w:space="0" w:color="auto"/>
        <w:right w:val="none" w:sz="0" w:space="0" w:color="auto"/>
      </w:divBdr>
    </w:div>
    <w:div w:id="1132821592">
      <w:bodyDiv w:val="1"/>
      <w:marLeft w:val="0"/>
      <w:marRight w:val="0"/>
      <w:marTop w:val="0"/>
      <w:marBottom w:val="0"/>
      <w:divBdr>
        <w:top w:val="none" w:sz="0" w:space="0" w:color="auto"/>
        <w:left w:val="none" w:sz="0" w:space="0" w:color="auto"/>
        <w:bottom w:val="none" w:sz="0" w:space="0" w:color="auto"/>
        <w:right w:val="none" w:sz="0" w:space="0" w:color="auto"/>
      </w:divBdr>
    </w:div>
    <w:div w:id="1148404987">
      <w:bodyDiv w:val="1"/>
      <w:marLeft w:val="0"/>
      <w:marRight w:val="0"/>
      <w:marTop w:val="0"/>
      <w:marBottom w:val="0"/>
      <w:divBdr>
        <w:top w:val="none" w:sz="0" w:space="0" w:color="auto"/>
        <w:left w:val="none" w:sz="0" w:space="0" w:color="auto"/>
        <w:bottom w:val="none" w:sz="0" w:space="0" w:color="auto"/>
        <w:right w:val="none" w:sz="0" w:space="0" w:color="auto"/>
      </w:divBdr>
    </w:div>
    <w:div w:id="1150902505">
      <w:bodyDiv w:val="1"/>
      <w:marLeft w:val="0"/>
      <w:marRight w:val="0"/>
      <w:marTop w:val="0"/>
      <w:marBottom w:val="0"/>
      <w:divBdr>
        <w:top w:val="none" w:sz="0" w:space="0" w:color="auto"/>
        <w:left w:val="none" w:sz="0" w:space="0" w:color="auto"/>
        <w:bottom w:val="none" w:sz="0" w:space="0" w:color="auto"/>
        <w:right w:val="none" w:sz="0" w:space="0" w:color="auto"/>
      </w:divBdr>
    </w:div>
    <w:div w:id="1151169765">
      <w:bodyDiv w:val="1"/>
      <w:marLeft w:val="0"/>
      <w:marRight w:val="0"/>
      <w:marTop w:val="0"/>
      <w:marBottom w:val="0"/>
      <w:divBdr>
        <w:top w:val="none" w:sz="0" w:space="0" w:color="auto"/>
        <w:left w:val="none" w:sz="0" w:space="0" w:color="auto"/>
        <w:bottom w:val="none" w:sz="0" w:space="0" w:color="auto"/>
        <w:right w:val="none" w:sz="0" w:space="0" w:color="auto"/>
      </w:divBdr>
    </w:div>
    <w:div w:id="1165392771">
      <w:bodyDiv w:val="1"/>
      <w:marLeft w:val="0"/>
      <w:marRight w:val="0"/>
      <w:marTop w:val="0"/>
      <w:marBottom w:val="0"/>
      <w:divBdr>
        <w:top w:val="none" w:sz="0" w:space="0" w:color="auto"/>
        <w:left w:val="none" w:sz="0" w:space="0" w:color="auto"/>
        <w:bottom w:val="none" w:sz="0" w:space="0" w:color="auto"/>
        <w:right w:val="none" w:sz="0" w:space="0" w:color="auto"/>
      </w:divBdr>
    </w:div>
    <w:div w:id="1184592368">
      <w:bodyDiv w:val="1"/>
      <w:marLeft w:val="0"/>
      <w:marRight w:val="0"/>
      <w:marTop w:val="0"/>
      <w:marBottom w:val="0"/>
      <w:divBdr>
        <w:top w:val="none" w:sz="0" w:space="0" w:color="auto"/>
        <w:left w:val="none" w:sz="0" w:space="0" w:color="auto"/>
        <w:bottom w:val="none" w:sz="0" w:space="0" w:color="auto"/>
        <w:right w:val="none" w:sz="0" w:space="0" w:color="auto"/>
      </w:divBdr>
    </w:div>
    <w:div w:id="1212426733">
      <w:bodyDiv w:val="1"/>
      <w:marLeft w:val="0"/>
      <w:marRight w:val="0"/>
      <w:marTop w:val="0"/>
      <w:marBottom w:val="0"/>
      <w:divBdr>
        <w:top w:val="none" w:sz="0" w:space="0" w:color="auto"/>
        <w:left w:val="none" w:sz="0" w:space="0" w:color="auto"/>
        <w:bottom w:val="none" w:sz="0" w:space="0" w:color="auto"/>
        <w:right w:val="none" w:sz="0" w:space="0" w:color="auto"/>
      </w:divBdr>
      <w:divsChild>
        <w:div w:id="343358251">
          <w:marLeft w:val="1166"/>
          <w:marRight w:val="0"/>
          <w:marTop w:val="0"/>
          <w:marBottom w:val="120"/>
          <w:divBdr>
            <w:top w:val="none" w:sz="0" w:space="0" w:color="auto"/>
            <w:left w:val="none" w:sz="0" w:space="0" w:color="auto"/>
            <w:bottom w:val="none" w:sz="0" w:space="0" w:color="auto"/>
            <w:right w:val="none" w:sz="0" w:space="0" w:color="auto"/>
          </w:divBdr>
        </w:div>
        <w:div w:id="603925256">
          <w:marLeft w:val="1166"/>
          <w:marRight w:val="0"/>
          <w:marTop w:val="0"/>
          <w:marBottom w:val="120"/>
          <w:divBdr>
            <w:top w:val="none" w:sz="0" w:space="0" w:color="auto"/>
            <w:left w:val="none" w:sz="0" w:space="0" w:color="auto"/>
            <w:bottom w:val="none" w:sz="0" w:space="0" w:color="auto"/>
            <w:right w:val="none" w:sz="0" w:space="0" w:color="auto"/>
          </w:divBdr>
        </w:div>
        <w:div w:id="1404791618">
          <w:marLeft w:val="1166"/>
          <w:marRight w:val="0"/>
          <w:marTop w:val="0"/>
          <w:marBottom w:val="120"/>
          <w:divBdr>
            <w:top w:val="none" w:sz="0" w:space="0" w:color="auto"/>
            <w:left w:val="none" w:sz="0" w:space="0" w:color="auto"/>
            <w:bottom w:val="none" w:sz="0" w:space="0" w:color="auto"/>
            <w:right w:val="none" w:sz="0" w:space="0" w:color="auto"/>
          </w:divBdr>
        </w:div>
        <w:div w:id="1602765197">
          <w:marLeft w:val="1166"/>
          <w:marRight w:val="0"/>
          <w:marTop w:val="0"/>
          <w:marBottom w:val="120"/>
          <w:divBdr>
            <w:top w:val="none" w:sz="0" w:space="0" w:color="auto"/>
            <w:left w:val="none" w:sz="0" w:space="0" w:color="auto"/>
            <w:bottom w:val="none" w:sz="0" w:space="0" w:color="auto"/>
            <w:right w:val="none" w:sz="0" w:space="0" w:color="auto"/>
          </w:divBdr>
        </w:div>
      </w:divsChild>
    </w:div>
    <w:div w:id="1228757631">
      <w:bodyDiv w:val="1"/>
      <w:marLeft w:val="0"/>
      <w:marRight w:val="0"/>
      <w:marTop w:val="0"/>
      <w:marBottom w:val="0"/>
      <w:divBdr>
        <w:top w:val="none" w:sz="0" w:space="0" w:color="auto"/>
        <w:left w:val="none" w:sz="0" w:space="0" w:color="auto"/>
        <w:bottom w:val="none" w:sz="0" w:space="0" w:color="auto"/>
        <w:right w:val="none" w:sz="0" w:space="0" w:color="auto"/>
      </w:divBdr>
    </w:div>
    <w:div w:id="1230581913">
      <w:bodyDiv w:val="1"/>
      <w:marLeft w:val="0"/>
      <w:marRight w:val="0"/>
      <w:marTop w:val="0"/>
      <w:marBottom w:val="0"/>
      <w:divBdr>
        <w:top w:val="none" w:sz="0" w:space="0" w:color="auto"/>
        <w:left w:val="none" w:sz="0" w:space="0" w:color="auto"/>
        <w:bottom w:val="none" w:sz="0" w:space="0" w:color="auto"/>
        <w:right w:val="none" w:sz="0" w:space="0" w:color="auto"/>
      </w:divBdr>
    </w:div>
    <w:div w:id="1247809097">
      <w:bodyDiv w:val="1"/>
      <w:marLeft w:val="0"/>
      <w:marRight w:val="0"/>
      <w:marTop w:val="0"/>
      <w:marBottom w:val="0"/>
      <w:divBdr>
        <w:top w:val="none" w:sz="0" w:space="0" w:color="auto"/>
        <w:left w:val="none" w:sz="0" w:space="0" w:color="auto"/>
        <w:bottom w:val="none" w:sz="0" w:space="0" w:color="auto"/>
        <w:right w:val="none" w:sz="0" w:space="0" w:color="auto"/>
      </w:divBdr>
    </w:div>
    <w:div w:id="1251695377">
      <w:bodyDiv w:val="1"/>
      <w:marLeft w:val="0"/>
      <w:marRight w:val="0"/>
      <w:marTop w:val="0"/>
      <w:marBottom w:val="0"/>
      <w:divBdr>
        <w:top w:val="none" w:sz="0" w:space="0" w:color="auto"/>
        <w:left w:val="none" w:sz="0" w:space="0" w:color="auto"/>
        <w:bottom w:val="none" w:sz="0" w:space="0" w:color="auto"/>
        <w:right w:val="none" w:sz="0" w:space="0" w:color="auto"/>
      </w:divBdr>
    </w:div>
    <w:div w:id="1255673720">
      <w:bodyDiv w:val="1"/>
      <w:marLeft w:val="0"/>
      <w:marRight w:val="0"/>
      <w:marTop w:val="0"/>
      <w:marBottom w:val="0"/>
      <w:divBdr>
        <w:top w:val="none" w:sz="0" w:space="0" w:color="auto"/>
        <w:left w:val="none" w:sz="0" w:space="0" w:color="auto"/>
        <w:bottom w:val="none" w:sz="0" w:space="0" w:color="auto"/>
        <w:right w:val="none" w:sz="0" w:space="0" w:color="auto"/>
      </w:divBdr>
    </w:div>
    <w:div w:id="1258095493">
      <w:bodyDiv w:val="1"/>
      <w:marLeft w:val="0"/>
      <w:marRight w:val="0"/>
      <w:marTop w:val="0"/>
      <w:marBottom w:val="0"/>
      <w:divBdr>
        <w:top w:val="none" w:sz="0" w:space="0" w:color="auto"/>
        <w:left w:val="none" w:sz="0" w:space="0" w:color="auto"/>
        <w:bottom w:val="none" w:sz="0" w:space="0" w:color="auto"/>
        <w:right w:val="none" w:sz="0" w:space="0" w:color="auto"/>
      </w:divBdr>
    </w:div>
    <w:div w:id="1261255848">
      <w:bodyDiv w:val="1"/>
      <w:marLeft w:val="0"/>
      <w:marRight w:val="0"/>
      <w:marTop w:val="0"/>
      <w:marBottom w:val="0"/>
      <w:divBdr>
        <w:top w:val="none" w:sz="0" w:space="0" w:color="auto"/>
        <w:left w:val="none" w:sz="0" w:space="0" w:color="auto"/>
        <w:bottom w:val="none" w:sz="0" w:space="0" w:color="auto"/>
        <w:right w:val="none" w:sz="0" w:space="0" w:color="auto"/>
      </w:divBdr>
    </w:div>
    <w:div w:id="1270314480">
      <w:bodyDiv w:val="1"/>
      <w:marLeft w:val="0"/>
      <w:marRight w:val="0"/>
      <w:marTop w:val="0"/>
      <w:marBottom w:val="0"/>
      <w:divBdr>
        <w:top w:val="none" w:sz="0" w:space="0" w:color="auto"/>
        <w:left w:val="none" w:sz="0" w:space="0" w:color="auto"/>
        <w:bottom w:val="none" w:sz="0" w:space="0" w:color="auto"/>
        <w:right w:val="none" w:sz="0" w:space="0" w:color="auto"/>
      </w:divBdr>
    </w:div>
    <w:div w:id="1284994304">
      <w:bodyDiv w:val="1"/>
      <w:marLeft w:val="0"/>
      <w:marRight w:val="0"/>
      <w:marTop w:val="0"/>
      <w:marBottom w:val="0"/>
      <w:divBdr>
        <w:top w:val="none" w:sz="0" w:space="0" w:color="auto"/>
        <w:left w:val="none" w:sz="0" w:space="0" w:color="auto"/>
        <w:bottom w:val="none" w:sz="0" w:space="0" w:color="auto"/>
        <w:right w:val="none" w:sz="0" w:space="0" w:color="auto"/>
      </w:divBdr>
    </w:div>
    <w:div w:id="1285694067">
      <w:bodyDiv w:val="1"/>
      <w:marLeft w:val="0"/>
      <w:marRight w:val="0"/>
      <w:marTop w:val="0"/>
      <w:marBottom w:val="0"/>
      <w:divBdr>
        <w:top w:val="none" w:sz="0" w:space="0" w:color="auto"/>
        <w:left w:val="none" w:sz="0" w:space="0" w:color="auto"/>
        <w:bottom w:val="none" w:sz="0" w:space="0" w:color="auto"/>
        <w:right w:val="none" w:sz="0" w:space="0" w:color="auto"/>
      </w:divBdr>
    </w:div>
    <w:div w:id="1288002090">
      <w:bodyDiv w:val="1"/>
      <w:marLeft w:val="0"/>
      <w:marRight w:val="0"/>
      <w:marTop w:val="0"/>
      <w:marBottom w:val="0"/>
      <w:divBdr>
        <w:top w:val="none" w:sz="0" w:space="0" w:color="auto"/>
        <w:left w:val="none" w:sz="0" w:space="0" w:color="auto"/>
        <w:bottom w:val="none" w:sz="0" w:space="0" w:color="auto"/>
        <w:right w:val="none" w:sz="0" w:space="0" w:color="auto"/>
      </w:divBdr>
    </w:div>
    <w:div w:id="1288202162">
      <w:bodyDiv w:val="1"/>
      <w:marLeft w:val="0"/>
      <w:marRight w:val="0"/>
      <w:marTop w:val="0"/>
      <w:marBottom w:val="0"/>
      <w:divBdr>
        <w:top w:val="none" w:sz="0" w:space="0" w:color="auto"/>
        <w:left w:val="none" w:sz="0" w:space="0" w:color="auto"/>
        <w:bottom w:val="none" w:sz="0" w:space="0" w:color="auto"/>
        <w:right w:val="none" w:sz="0" w:space="0" w:color="auto"/>
      </w:divBdr>
    </w:div>
    <w:div w:id="1300962752">
      <w:bodyDiv w:val="1"/>
      <w:marLeft w:val="0"/>
      <w:marRight w:val="0"/>
      <w:marTop w:val="0"/>
      <w:marBottom w:val="0"/>
      <w:divBdr>
        <w:top w:val="none" w:sz="0" w:space="0" w:color="auto"/>
        <w:left w:val="none" w:sz="0" w:space="0" w:color="auto"/>
        <w:bottom w:val="none" w:sz="0" w:space="0" w:color="auto"/>
        <w:right w:val="none" w:sz="0" w:space="0" w:color="auto"/>
      </w:divBdr>
    </w:div>
    <w:div w:id="1302077645">
      <w:bodyDiv w:val="1"/>
      <w:marLeft w:val="0"/>
      <w:marRight w:val="0"/>
      <w:marTop w:val="0"/>
      <w:marBottom w:val="0"/>
      <w:divBdr>
        <w:top w:val="none" w:sz="0" w:space="0" w:color="auto"/>
        <w:left w:val="none" w:sz="0" w:space="0" w:color="auto"/>
        <w:bottom w:val="none" w:sz="0" w:space="0" w:color="auto"/>
        <w:right w:val="none" w:sz="0" w:space="0" w:color="auto"/>
      </w:divBdr>
    </w:div>
    <w:div w:id="1302615525">
      <w:bodyDiv w:val="1"/>
      <w:marLeft w:val="0"/>
      <w:marRight w:val="0"/>
      <w:marTop w:val="0"/>
      <w:marBottom w:val="0"/>
      <w:divBdr>
        <w:top w:val="none" w:sz="0" w:space="0" w:color="auto"/>
        <w:left w:val="none" w:sz="0" w:space="0" w:color="auto"/>
        <w:bottom w:val="none" w:sz="0" w:space="0" w:color="auto"/>
        <w:right w:val="none" w:sz="0" w:space="0" w:color="auto"/>
      </w:divBdr>
    </w:div>
    <w:div w:id="1304652842">
      <w:bodyDiv w:val="1"/>
      <w:marLeft w:val="0"/>
      <w:marRight w:val="0"/>
      <w:marTop w:val="0"/>
      <w:marBottom w:val="0"/>
      <w:divBdr>
        <w:top w:val="none" w:sz="0" w:space="0" w:color="auto"/>
        <w:left w:val="none" w:sz="0" w:space="0" w:color="auto"/>
        <w:bottom w:val="none" w:sz="0" w:space="0" w:color="auto"/>
        <w:right w:val="none" w:sz="0" w:space="0" w:color="auto"/>
      </w:divBdr>
    </w:div>
    <w:div w:id="1309944756">
      <w:bodyDiv w:val="1"/>
      <w:marLeft w:val="0"/>
      <w:marRight w:val="0"/>
      <w:marTop w:val="0"/>
      <w:marBottom w:val="0"/>
      <w:divBdr>
        <w:top w:val="none" w:sz="0" w:space="0" w:color="auto"/>
        <w:left w:val="none" w:sz="0" w:space="0" w:color="auto"/>
        <w:bottom w:val="none" w:sz="0" w:space="0" w:color="auto"/>
        <w:right w:val="none" w:sz="0" w:space="0" w:color="auto"/>
      </w:divBdr>
    </w:div>
    <w:div w:id="1316764924">
      <w:bodyDiv w:val="1"/>
      <w:marLeft w:val="0"/>
      <w:marRight w:val="0"/>
      <w:marTop w:val="0"/>
      <w:marBottom w:val="0"/>
      <w:divBdr>
        <w:top w:val="none" w:sz="0" w:space="0" w:color="auto"/>
        <w:left w:val="none" w:sz="0" w:space="0" w:color="auto"/>
        <w:bottom w:val="none" w:sz="0" w:space="0" w:color="auto"/>
        <w:right w:val="none" w:sz="0" w:space="0" w:color="auto"/>
      </w:divBdr>
    </w:div>
    <w:div w:id="1317102744">
      <w:bodyDiv w:val="1"/>
      <w:marLeft w:val="0"/>
      <w:marRight w:val="0"/>
      <w:marTop w:val="0"/>
      <w:marBottom w:val="0"/>
      <w:divBdr>
        <w:top w:val="none" w:sz="0" w:space="0" w:color="auto"/>
        <w:left w:val="none" w:sz="0" w:space="0" w:color="auto"/>
        <w:bottom w:val="none" w:sz="0" w:space="0" w:color="auto"/>
        <w:right w:val="none" w:sz="0" w:space="0" w:color="auto"/>
      </w:divBdr>
      <w:divsChild>
        <w:div w:id="205726751">
          <w:marLeft w:val="0"/>
          <w:marRight w:val="0"/>
          <w:marTop w:val="90"/>
          <w:marBottom w:val="150"/>
          <w:divBdr>
            <w:top w:val="none" w:sz="0" w:space="0" w:color="auto"/>
            <w:left w:val="none" w:sz="0" w:space="0" w:color="auto"/>
            <w:bottom w:val="none" w:sz="0" w:space="0" w:color="auto"/>
            <w:right w:val="none" w:sz="0" w:space="0" w:color="auto"/>
          </w:divBdr>
          <w:divsChild>
            <w:div w:id="163666013">
              <w:marLeft w:val="0"/>
              <w:marRight w:val="0"/>
              <w:marTop w:val="0"/>
              <w:marBottom w:val="30"/>
              <w:divBdr>
                <w:top w:val="none" w:sz="0" w:space="0" w:color="auto"/>
                <w:left w:val="none" w:sz="0" w:space="0" w:color="auto"/>
                <w:bottom w:val="none" w:sz="0" w:space="0" w:color="auto"/>
                <w:right w:val="none" w:sz="0" w:space="0" w:color="auto"/>
              </w:divBdr>
              <w:divsChild>
                <w:div w:id="1080100654">
                  <w:marLeft w:val="90"/>
                  <w:marRight w:val="90"/>
                  <w:marTop w:val="180"/>
                  <w:marBottom w:val="180"/>
                  <w:divBdr>
                    <w:top w:val="none" w:sz="0" w:space="0" w:color="auto"/>
                    <w:left w:val="none" w:sz="0" w:space="0" w:color="auto"/>
                    <w:bottom w:val="none" w:sz="0" w:space="0" w:color="auto"/>
                    <w:right w:val="none" w:sz="0" w:space="0" w:color="auto"/>
                  </w:divBdr>
                  <w:divsChild>
                    <w:div w:id="1682775774">
                      <w:marLeft w:val="0"/>
                      <w:marRight w:val="0"/>
                      <w:marTop w:val="0"/>
                      <w:marBottom w:val="0"/>
                      <w:divBdr>
                        <w:top w:val="none" w:sz="0" w:space="0" w:color="auto"/>
                        <w:left w:val="none" w:sz="0" w:space="0" w:color="auto"/>
                        <w:bottom w:val="none" w:sz="0" w:space="0" w:color="auto"/>
                        <w:right w:val="none" w:sz="0" w:space="0" w:color="auto"/>
                      </w:divBdr>
                      <w:divsChild>
                        <w:div w:id="1532259305">
                          <w:marLeft w:val="0"/>
                          <w:marRight w:val="0"/>
                          <w:marTop w:val="0"/>
                          <w:marBottom w:val="0"/>
                          <w:divBdr>
                            <w:top w:val="none" w:sz="0" w:space="0" w:color="auto"/>
                            <w:left w:val="none" w:sz="0" w:space="0" w:color="auto"/>
                            <w:bottom w:val="none" w:sz="0" w:space="0" w:color="auto"/>
                            <w:right w:val="none" w:sz="0" w:space="0" w:color="auto"/>
                          </w:divBdr>
                          <w:divsChild>
                            <w:div w:id="1895659621">
                              <w:marLeft w:val="0"/>
                              <w:marRight w:val="0"/>
                              <w:marTop w:val="0"/>
                              <w:marBottom w:val="0"/>
                              <w:divBdr>
                                <w:top w:val="none" w:sz="0" w:space="0" w:color="auto"/>
                                <w:left w:val="none" w:sz="0" w:space="0" w:color="auto"/>
                                <w:bottom w:val="none" w:sz="0" w:space="0" w:color="auto"/>
                                <w:right w:val="none" w:sz="0" w:space="0" w:color="auto"/>
                              </w:divBdr>
                              <w:divsChild>
                                <w:div w:id="5360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222858">
      <w:bodyDiv w:val="1"/>
      <w:marLeft w:val="0"/>
      <w:marRight w:val="0"/>
      <w:marTop w:val="0"/>
      <w:marBottom w:val="0"/>
      <w:divBdr>
        <w:top w:val="none" w:sz="0" w:space="0" w:color="auto"/>
        <w:left w:val="none" w:sz="0" w:space="0" w:color="auto"/>
        <w:bottom w:val="none" w:sz="0" w:space="0" w:color="auto"/>
        <w:right w:val="none" w:sz="0" w:space="0" w:color="auto"/>
      </w:divBdr>
    </w:div>
    <w:div w:id="1322851879">
      <w:bodyDiv w:val="1"/>
      <w:marLeft w:val="0"/>
      <w:marRight w:val="0"/>
      <w:marTop w:val="0"/>
      <w:marBottom w:val="0"/>
      <w:divBdr>
        <w:top w:val="none" w:sz="0" w:space="0" w:color="auto"/>
        <w:left w:val="none" w:sz="0" w:space="0" w:color="auto"/>
        <w:bottom w:val="none" w:sz="0" w:space="0" w:color="auto"/>
        <w:right w:val="none" w:sz="0" w:space="0" w:color="auto"/>
      </w:divBdr>
    </w:div>
    <w:div w:id="1329946767">
      <w:bodyDiv w:val="1"/>
      <w:marLeft w:val="0"/>
      <w:marRight w:val="0"/>
      <w:marTop w:val="0"/>
      <w:marBottom w:val="0"/>
      <w:divBdr>
        <w:top w:val="none" w:sz="0" w:space="0" w:color="auto"/>
        <w:left w:val="none" w:sz="0" w:space="0" w:color="auto"/>
        <w:bottom w:val="none" w:sz="0" w:space="0" w:color="auto"/>
        <w:right w:val="none" w:sz="0" w:space="0" w:color="auto"/>
      </w:divBdr>
    </w:div>
    <w:div w:id="1351418147">
      <w:bodyDiv w:val="1"/>
      <w:marLeft w:val="0"/>
      <w:marRight w:val="0"/>
      <w:marTop w:val="0"/>
      <w:marBottom w:val="0"/>
      <w:divBdr>
        <w:top w:val="none" w:sz="0" w:space="0" w:color="auto"/>
        <w:left w:val="none" w:sz="0" w:space="0" w:color="auto"/>
        <w:bottom w:val="none" w:sz="0" w:space="0" w:color="auto"/>
        <w:right w:val="none" w:sz="0" w:space="0" w:color="auto"/>
      </w:divBdr>
      <w:divsChild>
        <w:div w:id="91315867">
          <w:marLeft w:val="562"/>
          <w:marRight w:val="0"/>
          <w:marTop w:val="0"/>
          <w:marBottom w:val="40"/>
          <w:divBdr>
            <w:top w:val="none" w:sz="0" w:space="0" w:color="auto"/>
            <w:left w:val="none" w:sz="0" w:space="0" w:color="auto"/>
            <w:bottom w:val="none" w:sz="0" w:space="0" w:color="auto"/>
            <w:right w:val="none" w:sz="0" w:space="0" w:color="auto"/>
          </w:divBdr>
        </w:div>
        <w:div w:id="783572849">
          <w:marLeft w:val="562"/>
          <w:marRight w:val="0"/>
          <w:marTop w:val="0"/>
          <w:marBottom w:val="40"/>
          <w:divBdr>
            <w:top w:val="none" w:sz="0" w:space="0" w:color="auto"/>
            <w:left w:val="none" w:sz="0" w:space="0" w:color="auto"/>
            <w:bottom w:val="none" w:sz="0" w:space="0" w:color="auto"/>
            <w:right w:val="none" w:sz="0" w:space="0" w:color="auto"/>
          </w:divBdr>
        </w:div>
        <w:div w:id="1545479082">
          <w:marLeft w:val="562"/>
          <w:marRight w:val="0"/>
          <w:marTop w:val="0"/>
          <w:marBottom w:val="120"/>
          <w:divBdr>
            <w:top w:val="none" w:sz="0" w:space="0" w:color="auto"/>
            <w:left w:val="none" w:sz="0" w:space="0" w:color="auto"/>
            <w:bottom w:val="none" w:sz="0" w:space="0" w:color="auto"/>
            <w:right w:val="none" w:sz="0" w:space="0" w:color="auto"/>
          </w:divBdr>
        </w:div>
      </w:divsChild>
    </w:div>
    <w:div w:id="1356425917">
      <w:bodyDiv w:val="1"/>
      <w:marLeft w:val="0"/>
      <w:marRight w:val="0"/>
      <w:marTop w:val="0"/>
      <w:marBottom w:val="0"/>
      <w:divBdr>
        <w:top w:val="none" w:sz="0" w:space="0" w:color="auto"/>
        <w:left w:val="none" w:sz="0" w:space="0" w:color="auto"/>
        <w:bottom w:val="none" w:sz="0" w:space="0" w:color="auto"/>
        <w:right w:val="none" w:sz="0" w:space="0" w:color="auto"/>
      </w:divBdr>
    </w:div>
    <w:div w:id="1371145771">
      <w:bodyDiv w:val="1"/>
      <w:marLeft w:val="0"/>
      <w:marRight w:val="0"/>
      <w:marTop w:val="0"/>
      <w:marBottom w:val="0"/>
      <w:divBdr>
        <w:top w:val="none" w:sz="0" w:space="0" w:color="auto"/>
        <w:left w:val="none" w:sz="0" w:space="0" w:color="auto"/>
        <w:bottom w:val="none" w:sz="0" w:space="0" w:color="auto"/>
        <w:right w:val="none" w:sz="0" w:space="0" w:color="auto"/>
      </w:divBdr>
    </w:div>
    <w:div w:id="1375885985">
      <w:bodyDiv w:val="1"/>
      <w:marLeft w:val="0"/>
      <w:marRight w:val="0"/>
      <w:marTop w:val="0"/>
      <w:marBottom w:val="0"/>
      <w:divBdr>
        <w:top w:val="none" w:sz="0" w:space="0" w:color="auto"/>
        <w:left w:val="none" w:sz="0" w:space="0" w:color="auto"/>
        <w:bottom w:val="none" w:sz="0" w:space="0" w:color="auto"/>
        <w:right w:val="none" w:sz="0" w:space="0" w:color="auto"/>
      </w:divBdr>
      <w:divsChild>
        <w:div w:id="1320117317">
          <w:marLeft w:val="0"/>
          <w:marRight w:val="0"/>
          <w:marTop w:val="0"/>
          <w:marBottom w:val="0"/>
          <w:divBdr>
            <w:top w:val="none" w:sz="0" w:space="0" w:color="auto"/>
            <w:left w:val="none" w:sz="0" w:space="0" w:color="auto"/>
            <w:bottom w:val="none" w:sz="0" w:space="0" w:color="auto"/>
            <w:right w:val="none" w:sz="0" w:space="0" w:color="auto"/>
          </w:divBdr>
          <w:divsChild>
            <w:div w:id="1966308206">
              <w:marLeft w:val="0"/>
              <w:marRight w:val="0"/>
              <w:marTop w:val="0"/>
              <w:marBottom w:val="0"/>
              <w:divBdr>
                <w:top w:val="none" w:sz="0" w:space="0" w:color="auto"/>
                <w:left w:val="none" w:sz="0" w:space="0" w:color="auto"/>
                <w:bottom w:val="none" w:sz="0" w:space="0" w:color="auto"/>
                <w:right w:val="none" w:sz="0" w:space="0" w:color="auto"/>
              </w:divBdr>
              <w:divsChild>
                <w:div w:id="2007514086">
                  <w:marLeft w:val="0"/>
                  <w:marRight w:val="0"/>
                  <w:marTop w:val="0"/>
                  <w:marBottom w:val="0"/>
                  <w:divBdr>
                    <w:top w:val="none" w:sz="0" w:space="0" w:color="auto"/>
                    <w:left w:val="none" w:sz="0" w:space="0" w:color="auto"/>
                    <w:bottom w:val="none" w:sz="0" w:space="0" w:color="auto"/>
                    <w:right w:val="none" w:sz="0" w:space="0" w:color="auto"/>
                  </w:divBdr>
                  <w:divsChild>
                    <w:div w:id="1692336972">
                      <w:marLeft w:val="0"/>
                      <w:marRight w:val="0"/>
                      <w:marTop w:val="0"/>
                      <w:marBottom w:val="0"/>
                      <w:divBdr>
                        <w:top w:val="none" w:sz="0" w:space="0" w:color="auto"/>
                        <w:left w:val="none" w:sz="0" w:space="0" w:color="auto"/>
                        <w:bottom w:val="none" w:sz="0" w:space="0" w:color="auto"/>
                        <w:right w:val="none" w:sz="0" w:space="0" w:color="auto"/>
                      </w:divBdr>
                      <w:divsChild>
                        <w:div w:id="1146626126">
                          <w:marLeft w:val="0"/>
                          <w:marRight w:val="0"/>
                          <w:marTop w:val="0"/>
                          <w:marBottom w:val="0"/>
                          <w:divBdr>
                            <w:top w:val="none" w:sz="0" w:space="0" w:color="auto"/>
                            <w:left w:val="none" w:sz="0" w:space="0" w:color="auto"/>
                            <w:bottom w:val="none" w:sz="0" w:space="0" w:color="auto"/>
                            <w:right w:val="none" w:sz="0" w:space="0" w:color="auto"/>
                          </w:divBdr>
                          <w:divsChild>
                            <w:div w:id="1259409527">
                              <w:marLeft w:val="0"/>
                              <w:marRight w:val="0"/>
                              <w:marTop w:val="0"/>
                              <w:marBottom w:val="0"/>
                              <w:divBdr>
                                <w:top w:val="none" w:sz="0" w:space="0" w:color="auto"/>
                                <w:left w:val="none" w:sz="0" w:space="0" w:color="auto"/>
                                <w:bottom w:val="none" w:sz="0" w:space="0" w:color="auto"/>
                                <w:right w:val="none" w:sz="0" w:space="0" w:color="auto"/>
                              </w:divBdr>
                              <w:divsChild>
                                <w:div w:id="1936547088">
                                  <w:marLeft w:val="0"/>
                                  <w:marRight w:val="0"/>
                                  <w:marTop w:val="0"/>
                                  <w:marBottom w:val="0"/>
                                  <w:divBdr>
                                    <w:top w:val="none" w:sz="0" w:space="0" w:color="auto"/>
                                    <w:left w:val="none" w:sz="0" w:space="0" w:color="auto"/>
                                    <w:bottom w:val="none" w:sz="0" w:space="0" w:color="auto"/>
                                    <w:right w:val="none" w:sz="0" w:space="0" w:color="auto"/>
                                  </w:divBdr>
                                  <w:divsChild>
                                    <w:div w:id="19792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269240">
      <w:bodyDiv w:val="1"/>
      <w:marLeft w:val="0"/>
      <w:marRight w:val="0"/>
      <w:marTop w:val="0"/>
      <w:marBottom w:val="0"/>
      <w:divBdr>
        <w:top w:val="none" w:sz="0" w:space="0" w:color="auto"/>
        <w:left w:val="none" w:sz="0" w:space="0" w:color="auto"/>
        <w:bottom w:val="none" w:sz="0" w:space="0" w:color="auto"/>
        <w:right w:val="none" w:sz="0" w:space="0" w:color="auto"/>
      </w:divBdr>
    </w:div>
    <w:div w:id="1402365074">
      <w:bodyDiv w:val="1"/>
      <w:marLeft w:val="0"/>
      <w:marRight w:val="0"/>
      <w:marTop w:val="0"/>
      <w:marBottom w:val="0"/>
      <w:divBdr>
        <w:top w:val="none" w:sz="0" w:space="0" w:color="auto"/>
        <w:left w:val="none" w:sz="0" w:space="0" w:color="auto"/>
        <w:bottom w:val="none" w:sz="0" w:space="0" w:color="auto"/>
        <w:right w:val="none" w:sz="0" w:space="0" w:color="auto"/>
      </w:divBdr>
    </w:div>
    <w:div w:id="1405570977">
      <w:bodyDiv w:val="1"/>
      <w:marLeft w:val="0"/>
      <w:marRight w:val="0"/>
      <w:marTop w:val="0"/>
      <w:marBottom w:val="0"/>
      <w:divBdr>
        <w:top w:val="none" w:sz="0" w:space="0" w:color="auto"/>
        <w:left w:val="none" w:sz="0" w:space="0" w:color="auto"/>
        <w:bottom w:val="none" w:sz="0" w:space="0" w:color="auto"/>
        <w:right w:val="none" w:sz="0" w:space="0" w:color="auto"/>
      </w:divBdr>
    </w:div>
    <w:div w:id="1407193713">
      <w:bodyDiv w:val="1"/>
      <w:marLeft w:val="0"/>
      <w:marRight w:val="0"/>
      <w:marTop w:val="0"/>
      <w:marBottom w:val="0"/>
      <w:divBdr>
        <w:top w:val="none" w:sz="0" w:space="0" w:color="auto"/>
        <w:left w:val="none" w:sz="0" w:space="0" w:color="auto"/>
        <w:bottom w:val="none" w:sz="0" w:space="0" w:color="auto"/>
        <w:right w:val="none" w:sz="0" w:space="0" w:color="auto"/>
      </w:divBdr>
      <w:divsChild>
        <w:div w:id="11341700">
          <w:marLeft w:val="0"/>
          <w:marRight w:val="0"/>
          <w:marTop w:val="0"/>
          <w:marBottom w:val="0"/>
          <w:divBdr>
            <w:top w:val="none" w:sz="0" w:space="0" w:color="auto"/>
            <w:left w:val="none" w:sz="0" w:space="0" w:color="auto"/>
            <w:bottom w:val="none" w:sz="0" w:space="0" w:color="auto"/>
            <w:right w:val="none" w:sz="0" w:space="0" w:color="auto"/>
          </w:divBdr>
        </w:div>
      </w:divsChild>
    </w:div>
    <w:div w:id="1424304865">
      <w:bodyDiv w:val="1"/>
      <w:marLeft w:val="0"/>
      <w:marRight w:val="0"/>
      <w:marTop w:val="0"/>
      <w:marBottom w:val="0"/>
      <w:divBdr>
        <w:top w:val="none" w:sz="0" w:space="0" w:color="auto"/>
        <w:left w:val="none" w:sz="0" w:space="0" w:color="auto"/>
        <w:bottom w:val="none" w:sz="0" w:space="0" w:color="auto"/>
        <w:right w:val="none" w:sz="0" w:space="0" w:color="auto"/>
      </w:divBdr>
      <w:divsChild>
        <w:div w:id="337853402">
          <w:marLeft w:val="245"/>
          <w:marRight w:val="0"/>
          <w:marTop w:val="0"/>
          <w:marBottom w:val="0"/>
          <w:divBdr>
            <w:top w:val="none" w:sz="0" w:space="0" w:color="auto"/>
            <w:left w:val="none" w:sz="0" w:space="0" w:color="auto"/>
            <w:bottom w:val="none" w:sz="0" w:space="0" w:color="auto"/>
            <w:right w:val="none" w:sz="0" w:space="0" w:color="auto"/>
          </w:divBdr>
        </w:div>
        <w:div w:id="422457979">
          <w:marLeft w:val="245"/>
          <w:marRight w:val="0"/>
          <w:marTop w:val="0"/>
          <w:marBottom w:val="0"/>
          <w:divBdr>
            <w:top w:val="none" w:sz="0" w:space="0" w:color="auto"/>
            <w:left w:val="none" w:sz="0" w:space="0" w:color="auto"/>
            <w:bottom w:val="none" w:sz="0" w:space="0" w:color="auto"/>
            <w:right w:val="none" w:sz="0" w:space="0" w:color="auto"/>
          </w:divBdr>
        </w:div>
        <w:div w:id="1110005993">
          <w:marLeft w:val="245"/>
          <w:marRight w:val="0"/>
          <w:marTop w:val="0"/>
          <w:marBottom w:val="0"/>
          <w:divBdr>
            <w:top w:val="none" w:sz="0" w:space="0" w:color="auto"/>
            <w:left w:val="none" w:sz="0" w:space="0" w:color="auto"/>
            <w:bottom w:val="none" w:sz="0" w:space="0" w:color="auto"/>
            <w:right w:val="none" w:sz="0" w:space="0" w:color="auto"/>
          </w:divBdr>
        </w:div>
        <w:div w:id="1288272039">
          <w:marLeft w:val="245"/>
          <w:marRight w:val="0"/>
          <w:marTop w:val="0"/>
          <w:marBottom w:val="0"/>
          <w:divBdr>
            <w:top w:val="none" w:sz="0" w:space="0" w:color="auto"/>
            <w:left w:val="none" w:sz="0" w:space="0" w:color="auto"/>
            <w:bottom w:val="none" w:sz="0" w:space="0" w:color="auto"/>
            <w:right w:val="none" w:sz="0" w:space="0" w:color="auto"/>
          </w:divBdr>
        </w:div>
        <w:div w:id="2034915386">
          <w:marLeft w:val="245"/>
          <w:marRight w:val="0"/>
          <w:marTop w:val="0"/>
          <w:marBottom w:val="0"/>
          <w:divBdr>
            <w:top w:val="none" w:sz="0" w:space="0" w:color="auto"/>
            <w:left w:val="none" w:sz="0" w:space="0" w:color="auto"/>
            <w:bottom w:val="none" w:sz="0" w:space="0" w:color="auto"/>
            <w:right w:val="none" w:sz="0" w:space="0" w:color="auto"/>
          </w:divBdr>
        </w:div>
      </w:divsChild>
    </w:div>
    <w:div w:id="1424837617">
      <w:bodyDiv w:val="1"/>
      <w:marLeft w:val="0"/>
      <w:marRight w:val="0"/>
      <w:marTop w:val="0"/>
      <w:marBottom w:val="0"/>
      <w:divBdr>
        <w:top w:val="none" w:sz="0" w:space="0" w:color="auto"/>
        <w:left w:val="none" w:sz="0" w:space="0" w:color="auto"/>
        <w:bottom w:val="none" w:sz="0" w:space="0" w:color="auto"/>
        <w:right w:val="none" w:sz="0" w:space="0" w:color="auto"/>
      </w:divBdr>
    </w:div>
    <w:div w:id="1429543897">
      <w:bodyDiv w:val="1"/>
      <w:marLeft w:val="0"/>
      <w:marRight w:val="0"/>
      <w:marTop w:val="0"/>
      <w:marBottom w:val="0"/>
      <w:divBdr>
        <w:top w:val="none" w:sz="0" w:space="0" w:color="auto"/>
        <w:left w:val="none" w:sz="0" w:space="0" w:color="auto"/>
        <w:bottom w:val="none" w:sz="0" w:space="0" w:color="auto"/>
        <w:right w:val="none" w:sz="0" w:space="0" w:color="auto"/>
      </w:divBdr>
    </w:div>
    <w:div w:id="1475564535">
      <w:bodyDiv w:val="1"/>
      <w:marLeft w:val="0"/>
      <w:marRight w:val="0"/>
      <w:marTop w:val="0"/>
      <w:marBottom w:val="0"/>
      <w:divBdr>
        <w:top w:val="none" w:sz="0" w:space="0" w:color="auto"/>
        <w:left w:val="none" w:sz="0" w:space="0" w:color="auto"/>
        <w:bottom w:val="none" w:sz="0" w:space="0" w:color="auto"/>
        <w:right w:val="none" w:sz="0" w:space="0" w:color="auto"/>
      </w:divBdr>
    </w:div>
    <w:div w:id="1476295572">
      <w:bodyDiv w:val="1"/>
      <w:marLeft w:val="0"/>
      <w:marRight w:val="0"/>
      <w:marTop w:val="0"/>
      <w:marBottom w:val="0"/>
      <w:divBdr>
        <w:top w:val="none" w:sz="0" w:space="0" w:color="auto"/>
        <w:left w:val="none" w:sz="0" w:space="0" w:color="auto"/>
        <w:bottom w:val="none" w:sz="0" w:space="0" w:color="auto"/>
        <w:right w:val="none" w:sz="0" w:space="0" w:color="auto"/>
      </w:divBdr>
    </w:div>
    <w:div w:id="1496144145">
      <w:bodyDiv w:val="1"/>
      <w:marLeft w:val="0"/>
      <w:marRight w:val="0"/>
      <w:marTop w:val="0"/>
      <w:marBottom w:val="0"/>
      <w:divBdr>
        <w:top w:val="none" w:sz="0" w:space="0" w:color="auto"/>
        <w:left w:val="none" w:sz="0" w:space="0" w:color="auto"/>
        <w:bottom w:val="none" w:sz="0" w:space="0" w:color="auto"/>
        <w:right w:val="none" w:sz="0" w:space="0" w:color="auto"/>
      </w:divBdr>
    </w:div>
    <w:div w:id="1501233298">
      <w:bodyDiv w:val="1"/>
      <w:marLeft w:val="0"/>
      <w:marRight w:val="0"/>
      <w:marTop w:val="0"/>
      <w:marBottom w:val="0"/>
      <w:divBdr>
        <w:top w:val="none" w:sz="0" w:space="0" w:color="auto"/>
        <w:left w:val="none" w:sz="0" w:space="0" w:color="auto"/>
        <w:bottom w:val="none" w:sz="0" w:space="0" w:color="auto"/>
        <w:right w:val="none" w:sz="0" w:space="0" w:color="auto"/>
      </w:divBdr>
    </w:div>
    <w:div w:id="1503544628">
      <w:bodyDiv w:val="1"/>
      <w:marLeft w:val="0"/>
      <w:marRight w:val="0"/>
      <w:marTop w:val="0"/>
      <w:marBottom w:val="0"/>
      <w:divBdr>
        <w:top w:val="none" w:sz="0" w:space="0" w:color="auto"/>
        <w:left w:val="none" w:sz="0" w:space="0" w:color="auto"/>
        <w:bottom w:val="none" w:sz="0" w:space="0" w:color="auto"/>
        <w:right w:val="none" w:sz="0" w:space="0" w:color="auto"/>
      </w:divBdr>
    </w:div>
    <w:div w:id="1506901674">
      <w:bodyDiv w:val="1"/>
      <w:marLeft w:val="0"/>
      <w:marRight w:val="0"/>
      <w:marTop w:val="0"/>
      <w:marBottom w:val="0"/>
      <w:divBdr>
        <w:top w:val="none" w:sz="0" w:space="0" w:color="auto"/>
        <w:left w:val="none" w:sz="0" w:space="0" w:color="auto"/>
        <w:bottom w:val="none" w:sz="0" w:space="0" w:color="auto"/>
        <w:right w:val="none" w:sz="0" w:space="0" w:color="auto"/>
      </w:divBdr>
    </w:div>
    <w:div w:id="1507474281">
      <w:bodyDiv w:val="1"/>
      <w:marLeft w:val="0"/>
      <w:marRight w:val="0"/>
      <w:marTop w:val="0"/>
      <w:marBottom w:val="0"/>
      <w:divBdr>
        <w:top w:val="none" w:sz="0" w:space="0" w:color="auto"/>
        <w:left w:val="none" w:sz="0" w:space="0" w:color="auto"/>
        <w:bottom w:val="none" w:sz="0" w:space="0" w:color="auto"/>
        <w:right w:val="none" w:sz="0" w:space="0" w:color="auto"/>
      </w:divBdr>
    </w:div>
    <w:div w:id="1523737882">
      <w:bodyDiv w:val="1"/>
      <w:marLeft w:val="0"/>
      <w:marRight w:val="0"/>
      <w:marTop w:val="0"/>
      <w:marBottom w:val="0"/>
      <w:divBdr>
        <w:top w:val="none" w:sz="0" w:space="0" w:color="auto"/>
        <w:left w:val="none" w:sz="0" w:space="0" w:color="auto"/>
        <w:bottom w:val="none" w:sz="0" w:space="0" w:color="auto"/>
        <w:right w:val="none" w:sz="0" w:space="0" w:color="auto"/>
      </w:divBdr>
    </w:div>
    <w:div w:id="1549998486">
      <w:bodyDiv w:val="1"/>
      <w:marLeft w:val="0"/>
      <w:marRight w:val="0"/>
      <w:marTop w:val="0"/>
      <w:marBottom w:val="0"/>
      <w:divBdr>
        <w:top w:val="none" w:sz="0" w:space="0" w:color="auto"/>
        <w:left w:val="none" w:sz="0" w:space="0" w:color="auto"/>
        <w:bottom w:val="none" w:sz="0" w:space="0" w:color="auto"/>
        <w:right w:val="none" w:sz="0" w:space="0" w:color="auto"/>
      </w:divBdr>
    </w:div>
    <w:div w:id="1550919497">
      <w:bodyDiv w:val="1"/>
      <w:marLeft w:val="0"/>
      <w:marRight w:val="0"/>
      <w:marTop w:val="0"/>
      <w:marBottom w:val="0"/>
      <w:divBdr>
        <w:top w:val="none" w:sz="0" w:space="0" w:color="auto"/>
        <w:left w:val="none" w:sz="0" w:space="0" w:color="auto"/>
        <w:bottom w:val="none" w:sz="0" w:space="0" w:color="auto"/>
        <w:right w:val="none" w:sz="0" w:space="0" w:color="auto"/>
      </w:divBdr>
    </w:div>
    <w:div w:id="1552113850">
      <w:bodyDiv w:val="1"/>
      <w:marLeft w:val="0"/>
      <w:marRight w:val="0"/>
      <w:marTop w:val="0"/>
      <w:marBottom w:val="0"/>
      <w:divBdr>
        <w:top w:val="none" w:sz="0" w:space="0" w:color="auto"/>
        <w:left w:val="none" w:sz="0" w:space="0" w:color="auto"/>
        <w:bottom w:val="none" w:sz="0" w:space="0" w:color="auto"/>
        <w:right w:val="none" w:sz="0" w:space="0" w:color="auto"/>
      </w:divBdr>
    </w:div>
    <w:div w:id="1558854990">
      <w:bodyDiv w:val="1"/>
      <w:marLeft w:val="0"/>
      <w:marRight w:val="0"/>
      <w:marTop w:val="0"/>
      <w:marBottom w:val="0"/>
      <w:divBdr>
        <w:top w:val="none" w:sz="0" w:space="0" w:color="auto"/>
        <w:left w:val="none" w:sz="0" w:space="0" w:color="auto"/>
        <w:bottom w:val="none" w:sz="0" w:space="0" w:color="auto"/>
        <w:right w:val="none" w:sz="0" w:space="0" w:color="auto"/>
      </w:divBdr>
    </w:div>
    <w:div w:id="1566719696">
      <w:bodyDiv w:val="1"/>
      <w:marLeft w:val="0"/>
      <w:marRight w:val="0"/>
      <w:marTop w:val="0"/>
      <w:marBottom w:val="0"/>
      <w:divBdr>
        <w:top w:val="none" w:sz="0" w:space="0" w:color="auto"/>
        <w:left w:val="none" w:sz="0" w:space="0" w:color="auto"/>
        <w:bottom w:val="none" w:sz="0" w:space="0" w:color="auto"/>
        <w:right w:val="none" w:sz="0" w:space="0" w:color="auto"/>
      </w:divBdr>
    </w:div>
    <w:div w:id="1579359748">
      <w:bodyDiv w:val="1"/>
      <w:marLeft w:val="0"/>
      <w:marRight w:val="0"/>
      <w:marTop w:val="0"/>
      <w:marBottom w:val="0"/>
      <w:divBdr>
        <w:top w:val="none" w:sz="0" w:space="0" w:color="auto"/>
        <w:left w:val="none" w:sz="0" w:space="0" w:color="auto"/>
        <w:bottom w:val="none" w:sz="0" w:space="0" w:color="auto"/>
        <w:right w:val="none" w:sz="0" w:space="0" w:color="auto"/>
      </w:divBdr>
    </w:div>
    <w:div w:id="1582449804">
      <w:bodyDiv w:val="1"/>
      <w:marLeft w:val="0"/>
      <w:marRight w:val="0"/>
      <w:marTop w:val="0"/>
      <w:marBottom w:val="0"/>
      <w:divBdr>
        <w:top w:val="none" w:sz="0" w:space="0" w:color="auto"/>
        <w:left w:val="none" w:sz="0" w:space="0" w:color="auto"/>
        <w:bottom w:val="none" w:sz="0" w:space="0" w:color="auto"/>
        <w:right w:val="none" w:sz="0" w:space="0" w:color="auto"/>
      </w:divBdr>
    </w:div>
    <w:div w:id="1591279983">
      <w:bodyDiv w:val="1"/>
      <w:marLeft w:val="0"/>
      <w:marRight w:val="0"/>
      <w:marTop w:val="0"/>
      <w:marBottom w:val="0"/>
      <w:divBdr>
        <w:top w:val="none" w:sz="0" w:space="0" w:color="auto"/>
        <w:left w:val="none" w:sz="0" w:space="0" w:color="auto"/>
        <w:bottom w:val="none" w:sz="0" w:space="0" w:color="auto"/>
        <w:right w:val="none" w:sz="0" w:space="0" w:color="auto"/>
      </w:divBdr>
    </w:div>
    <w:div w:id="1594976677">
      <w:bodyDiv w:val="1"/>
      <w:marLeft w:val="0"/>
      <w:marRight w:val="0"/>
      <w:marTop w:val="0"/>
      <w:marBottom w:val="0"/>
      <w:divBdr>
        <w:top w:val="none" w:sz="0" w:space="0" w:color="auto"/>
        <w:left w:val="none" w:sz="0" w:space="0" w:color="auto"/>
        <w:bottom w:val="none" w:sz="0" w:space="0" w:color="auto"/>
        <w:right w:val="none" w:sz="0" w:space="0" w:color="auto"/>
      </w:divBdr>
    </w:div>
    <w:div w:id="1615406358">
      <w:bodyDiv w:val="1"/>
      <w:marLeft w:val="0"/>
      <w:marRight w:val="0"/>
      <w:marTop w:val="0"/>
      <w:marBottom w:val="0"/>
      <w:divBdr>
        <w:top w:val="none" w:sz="0" w:space="0" w:color="auto"/>
        <w:left w:val="none" w:sz="0" w:space="0" w:color="auto"/>
        <w:bottom w:val="none" w:sz="0" w:space="0" w:color="auto"/>
        <w:right w:val="none" w:sz="0" w:space="0" w:color="auto"/>
      </w:divBdr>
    </w:div>
    <w:div w:id="1618680743">
      <w:bodyDiv w:val="1"/>
      <w:marLeft w:val="0"/>
      <w:marRight w:val="0"/>
      <w:marTop w:val="0"/>
      <w:marBottom w:val="0"/>
      <w:divBdr>
        <w:top w:val="none" w:sz="0" w:space="0" w:color="auto"/>
        <w:left w:val="none" w:sz="0" w:space="0" w:color="auto"/>
        <w:bottom w:val="none" w:sz="0" w:space="0" w:color="auto"/>
        <w:right w:val="none" w:sz="0" w:space="0" w:color="auto"/>
      </w:divBdr>
    </w:div>
    <w:div w:id="1622957781">
      <w:bodyDiv w:val="1"/>
      <w:marLeft w:val="0"/>
      <w:marRight w:val="0"/>
      <w:marTop w:val="0"/>
      <w:marBottom w:val="0"/>
      <w:divBdr>
        <w:top w:val="none" w:sz="0" w:space="0" w:color="auto"/>
        <w:left w:val="none" w:sz="0" w:space="0" w:color="auto"/>
        <w:bottom w:val="none" w:sz="0" w:space="0" w:color="auto"/>
        <w:right w:val="none" w:sz="0" w:space="0" w:color="auto"/>
      </w:divBdr>
    </w:div>
    <w:div w:id="1632247476">
      <w:bodyDiv w:val="1"/>
      <w:marLeft w:val="0"/>
      <w:marRight w:val="0"/>
      <w:marTop w:val="0"/>
      <w:marBottom w:val="0"/>
      <w:divBdr>
        <w:top w:val="none" w:sz="0" w:space="0" w:color="auto"/>
        <w:left w:val="none" w:sz="0" w:space="0" w:color="auto"/>
        <w:bottom w:val="none" w:sz="0" w:space="0" w:color="auto"/>
        <w:right w:val="none" w:sz="0" w:space="0" w:color="auto"/>
      </w:divBdr>
    </w:div>
    <w:div w:id="1644312735">
      <w:bodyDiv w:val="1"/>
      <w:marLeft w:val="0"/>
      <w:marRight w:val="0"/>
      <w:marTop w:val="0"/>
      <w:marBottom w:val="0"/>
      <w:divBdr>
        <w:top w:val="none" w:sz="0" w:space="0" w:color="auto"/>
        <w:left w:val="none" w:sz="0" w:space="0" w:color="auto"/>
        <w:bottom w:val="none" w:sz="0" w:space="0" w:color="auto"/>
        <w:right w:val="none" w:sz="0" w:space="0" w:color="auto"/>
      </w:divBdr>
    </w:div>
    <w:div w:id="1644918937">
      <w:bodyDiv w:val="1"/>
      <w:marLeft w:val="0"/>
      <w:marRight w:val="0"/>
      <w:marTop w:val="0"/>
      <w:marBottom w:val="0"/>
      <w:divBdr>
        <w:top w:val="none" w:sz="0" w:space="0" w:color="auto"/>
        <w:left w:val="none" w:sz="0" w:space="0" w:color="auto"/>
        <w:bottom w:val="none" w:sz="0" w:space="0" w:color="auto"/>
        <w:right w:val="none" w:sz="0" w:space="0" w:color="auto"/>
      </w:divBdr>
    </w:div>
    <w:div w:id="1669867289">
      <w:bodyDiv w:val="1"/>
      <w:marLeft w:val="0"/>
      <w:marRight w:val="0"/>
      <w:marTop w:val="0"/>
      <w:marBottom w:val="0"/>
      <w:divBdr>
        <w:top w:val="none" w:sz="0" w:space="0" w:color="auto"/>
        <w:left w:val="none" w:sz="0" w:space="0" w:color="auto"/>
        <w:bottom w:val="none" w:sz="0" w:space="0" w:color="auto"/>
        <w:right w:val="none" w:sz="0" w:space="0" w:color="auto"/>
      </w:divBdr>
    </w:div>
    <w:div w:id="1674339533">
      <w:bodyDiv w:val="1"/>
      <w:marLeft w:val="0"/>
      <w:marRight w:val="0"/>
      <w:marTop w:val="0"/>
      <w:marBottom w:val="0"/>
      <w:divBdr>
        <w:top w:val="none" w:sz="0" w:space="0" w:color="auto"/>
        <w:left w:val="none" w:sz="0" w:space="0" w:color="auto"/>
        <w:bottom w:val="none" w:sz="0" w:space="0" w:color="auto"/>
        <w:right w:val="none" w:sz="0" w:space="0" w:color="auto"/>
      </w:divBdr>
    </w:div>
    <w:div w:id="1681466331">
      <w:bodyDiv w:val="1"/>
      <w:marLeft w:val="0"/>
      <w:marRight w:val="0"/>
      <w:marTop w:val="0"/>
      <w:marBottom w:val="0"/>
      <w:divBdr>
        <w:top w:val="none" w:sz="0" w:space="0" w:color="auto"/>
        <w:left w:val="none" w:sz="0" w:space="0" w:color="auto"/>
        <w:bottom w:val="none" w:sz="0" w:space="0" w:color="auto"/>
        <w:right w:val="none" w:sz="0" w:space="0" w:color="auto"/>
      </w:divBdr>
    </w:div>
    <w:div w:id="1685664391">
      <w:bodyDiv w:val="1"/>
      <w:marLeft w:val="0"/>
      <w:marRight w:val="0"/>
      <w:marTop w:val="0"/>
      <w:marBottom w:val="0"/>
      <w:divBdr>
        <w:top w:val="none" w:sz="0" w:space="0" w:color="auto"/>
        <w:left w:val="none" w:sz="0" w:space="0" w:color="auto"/>
        <w:bottom w:val="none" w:sz="0" w:space="0" w:color="auto"/>
        <w:right w:val="none" w:sz="0" w:space="0" w:color="auto"/>
      </w:divBdr>
    </w:div>
    <w:div w:id="1687831267">
      <w:bodyDiv w:val="1"/>
      <w:marLeft w:val="0"/>
      <w:marRight w:val="0"/>
      <w:marTop w:val="0"/>
      <w:marBottom w:val="0"/>
      <w:divBdr>
        <w:top w:val="none" w:sz="0" w:space="0" w:color="auto"/>
        <w:left w:val="none" w:sz="0" w:space="0" w:color="auto"/>
        <w:bottom w:val="none" w:sz="0" w:space="0" w:color="auto"/>
        <w:right w:val="none" w:sz="0" w:space="0" w:color="auto"/>
      </w:divBdr>
    </w:div>
    <w:div w:id="1693720390">
      <w:bodyDiv w:val="1"/>
      <w:marLeft w:val="0"/>
      <w:marRight w:val="0"/>
      <w:marTop w:val="0"/>
      <w:marBottom w:val="0"/>
      <w:divBdr>
        <w:top w:val="none" w:sz="0" w:space="0" w:color="auto"/>
        <w:left w:val="none" w:sz="0" w:space="0" w:color="auto"/>
        <w:bottom w:val="none" w:sz="0" w:space="0" w:color="auto"/>
        <w:right w:val="none" w:sz="0" w:space="0" w:color="auto"/>
      </w:divBdr>
    </w:div>
    <w:div w:id="1693917322">
      <w:bodyDiv w:val="1"/>
      <w:marLeft w:val="0"/>
      <w:marRight w:val="0"/>
      <w:marTop w:val="0"/>
      <w:marBottom w:val="0"/>
      <w:divBdr>
        <w:top w:val="none" w:sz="0" w:space="0" w:color="auto"/>
        <w:left w:val="none" w:sz="0" w:space="0" w:color="auto"/>
        <w:bottom w:val="none" w:sz="0" w:space="0" w:color="auto"/>
        <w:right w:val="none" w:sz="0" w:space="0" w:color="auto"/>
      </w:divBdr>
    </w:div>
    <w:div w:id="1701857297">
      <w:bodyDiv w:val="1"/>
      <w:marLeft w:val="0"/>
      <w:marRight w:val="0"/>
      <w:marTop w:val="0"/>
      <w:marBottom w:val="0"/>
      <w:divBdr>
        <w:top w:val="none" w:sz="0" w:space="0" w:color="auto"/>
        <w:left w:val="none" w:sz="0" w:space="0" w:color="auto"/>
        <w:bottom w:val="none" w:sz="0" w:space="0" w:color="auto"/>
        <w:right w:val="none" w:sz="0" w:space="0" w:color="auto"/>
      </w:divBdr>
    </w:div>
    <w:div w:id="1702824297">
      <w:bodyDiv w:val="1"/>
      <w:marLeft w:val="0"/>
      <w:marRight w:val="0"/>
      <w:marTop w:val="0"/>
      <w:marBottom w:val="0"/>
      <w:divBdr>
        <w:top w:val="none" w:sz="0" w:space="0" w:color="auto"/>
        <w:left w:val="none" w:sz="0" w:space="0" w:color="auto"/>
        <w:bottom w:val="none" w:sz="0" w:space="0" w:color="auto"/>
        <w:right w:val="none" w:sz="0" w:space="0" w:color="auto"/>
      </w:divBdr>
    </w:div>
    <w:div w:id="1713921817">
      <w:bodyDiv w:val="1"/>
      <w:marLeft w:val="0"/>
      <w:marRight w:val="0"/>
      <w:marTop w:val="0"/>
      <w:marBottom w:val="0"/>
      <w:divBdr>
        <w:top w:val="none" w:sz="0" w:space="0" w:color="auto"/>
        <w:left w:val="none" w:sz="0" w:space="0" w:color="auto"/>
        <w:bottom w:val="none" w:sz="0" w:space="0" w:color="auto"/>
        <w:right w:val="none" w:sz="0" w:space="0" w:color="auto"/>
      </w:divBdr>
    </w:div>
    <w:div w:id="1723676158">
      <w:bodyDiv w:val="1"/>
      <w:marLeft w:val="0"/>
      <w:marRight w:val="0"/>
      <w:marTop w:val="0"/>
      <w:marBottom w:val="0"/>
      <w:divBdr>
        <w:top w:val="none" w:sz="0" w:space="0" w:color="auto"/>
        <w:left w:val="none" w:sz="0" w:space="0" w:color="auto"/>
        <w:bottom w:val="none" w:sz="0" w:space="0" w:color="auto"/>
        <w:right w:val="none" w:sz="0" w:space="0" w:color="auto"/>
      </w:divBdr>
      <w:divsChild>
        <w:div w:id="477189349">
          <w:marLeft w:val="677"/>
          <w:marRight w:val="0"/>
          <w:marTop w:val="0"/>
          <w:marBottom w:val="120"/>
          <w:divBdr>
            <w:top w:val="none" w:sz="0" w:space="0" w:color="auto"/>
            <w:left w:val="none" w:sz="0" w:space="0" w:color="auto"/>
            <w:bottom w:val="none" w:sz="0" w:space="0" w:color="auto"/>
            <w:right w:val="none" w:sz="0" w:space="0" w:color="auto"/>
          </w:divBdr>
        </w:div>
        <w:div w:id="1503466102">
          <w:marLeft w:val="677"/>
          <w:marRight w:val="0"/>
          <w:marTop w:val="0"/>
          <w:marBottom w:val="0"/>
          <w:divBdr>
            <w:top w:val="none" w:sz="0" w:space="0" w:color="auto"/>
            <w:left w:val="none" w:sz="0" w:space="0" w:color="auto"/>
            <w:bottom w:val="none" w:sz="0" w:space="0" w:color="auto"/>
            <w:right w:val="none" w:sz="0" w:space="0" w:color="auto"/>
          </w:divBdr>
        </w:div>
        <w:div w:id="1506163970">
          <w:marLeft w:val="1267"/>
          <w:marRight w:val="0"/>
          <w:marTop w:val="0"/>
          <w:marBottom w:val="120"/>
          <w:divBdr>
            <w:top w:val="none" w:sz="0" w:space="0" w:color="auto"/>
            <w:left w:val="none" w:sz="0" w:space="0" w:color="auto"/>
            <w:bottom w:val="none" w:sz="0" w:space="0" w:color="auto"/>
            <w:right w:val="none" w:sz="0" w:space="0" w:color="auto"/>
          </w:divBdr>
        </w:div>
      </w:divsChild>
    </w:div>
    <w:div w:id="1729718047">
      <w:bodyDiv w:val="1"/>
      <w:marLeft w:val="0"/>
      <w:marRight w:val="0"/>
      <w:marTop w:val="0"/>
      <w:marBottom w:val="0"/>
      <w:divBdr>
        <w:top w:val="none" w:sz="0" w:space="0" w:color="auto"/>
        <w:left w:val="none" w:sz="0" w:space="0" w:color="auto"/>
        <w:bottom w:val="none" w:sz="0" w:space="0" w:color="auto"/>
        <w:right w:val="none" w:sz="0" w:space="0" w:color="auto"/>
      </w:divBdr>
    </w:div>
    <w:div w:id="1737387911">
      <w:bodyDiv w:val="1"/>
      <w:marLeft w:val="0"/>
      <w:marRight w:val="0"/>
      <w:marTop w:val="0"/>
      <w:marBottom w:val="0"/>
      <w:divBdr>
        <w:top w:val="none" w:sz="0" w:space="0" w:color="auto"/>
        <w:left w:val="none" w:sz="0" w:space="0" w:color="auto"/>
        <w:bottom w:val="none" w:sz="0" w:space="0" w:color="auto"/>
        <w:right w:val="none" w:sz="0" w:space="0" w:color="auto"/>
      </w:divBdr>
    </w:div>
    <w:div w:id="1747146986">
      <w:bodyDiv w:val="1"/>
      <w:marLeft w:val="0"/>
      <w:marRight w:val="0"/>
      <w:marTop w:val="0"/>
      <w:marBottom w:val="0"/>
      <w:divBdr>
        <w:top w:val="none" w:sz="0" w:space="0" w:color="auto"/>
        <w:left w:val="none" w:sz="0" w:space="0" w:color="auto"/>
        <w:bottom w:val="none" w:sz="0" w:space="0" w:color="auto"/>
        <w:right w:val="none" w:sz="0" w:space="0" w:color="auto"/>
      </w:divBdr>
    </w:div>
    <w:div w:id="1748574006">
      <w:bodyDiv w:val="1"/>
      <w:marLeft w:val="0"/>
      <w:marRight w:val="0"/>
      <w:marTop w:val="0"/>
      <w:marBottom w:val="0"/>
      <w:divBdr>
        <w:top w:val="none" w:sz="0" w:space="0" w:color="auto"/>
        <w:left w:val="none" w:sz="0" w:space="0" w:color="auto"/>
        <w:bottom w:val="none" w:sz="0" w:space="0" w:color="auto"/>
        <w:right w:val="none" w:sz="0" w:space="0" w:color="auto"/>
      </w:divBdr>
      <w:divsChild>
        <w:div w:id="1762604305">
          <w:marLeft w:val="1267"/>
          <w:marRight w:val="0"/>
          <w:marTop w:val="0"/>
          <w:marBottom w:val="40"/>
          <w:divBdr>
            <w:top w:val="none" w:sz="0" w:space="0" w:color="auto"/>
            <w:left w:val="none" w:sz="0" w:space="0" w:color="auto"/>
            <w:bottom w:val="none" w:sz="0" w:space="0" w:color="auto"/>
            <w:right w:val="none" w:sz="0" w:space="0" w:color="auto"/>
          </w:divBdr>
        </w:div>
      </w:divsChild>
    </w:div>
    <w:div w:id="1754279916">
      <w:bodyDiv w:val="1"/>
      <w:marLeft w:val="0"/>
      <w:marRight w:val="0"/>
      <w:marTop w:val="0"/>
      <w:marBottom w:val="0"/>
      <w:divBdr>
        <w:top w:val="none" w:sz="0" w:space="0" w:color="auto"/>
        <w:left w:val="none" w:sz="0" w:space="0" w:color="auto"/>
        <w:bottom w:val="none" w:sz="0" w:space="0" w:color="auto"/>
        <w:right w:val="none" w:sz="0" w:space="0" w:color="auto"/>
      </w:divBdr>
    </w:div>
    <w:div w:id="1776948719">
      <w:bodyDiv w:val="1"/>
      <w:marLeft w:val="0"/>
      <w:marRight w:val="0"/>
      <w:marTop w:val="0"/>
      <w:marBottom w:val="0"/>
      <w:divBdr>
        <w:top w:val="none" w:sz="0" w:space="0" w:color="auto"/>
        <w:left w:val="none" w:sz="0" w:space="0" w:color="auto"/>
        <w:bottom w:val="none" w:sz="0" w:space="0" w:color="auto"/>
        <w:right w:val="none" w:sz="0" w:space="0" w:color="auto"/>
      </w:divBdr>
    </w:div>
    <w:div w:id="1779715143">
      <w:bodyDiv w:val="1"/>
      <w:marLeft w:val="0"/>
      <w:marRight w:val="0"/>
      <w:marTop w:val="0"/>
      <w:marBottom w:val="0"/>
      <w:divBdr>
        <w:top w:val="none" w:sz="0" w:space="0" w:color="auto"/>
        <w:left w:val="none" w:sz="0" w:space="0" w:color="auto"/>
        <w:bottom w:val="none" w:sz="0" w:space="0" w:color="auto"/>
        <w:right w:val="none" w:sz="0" w:space="0" w:color="auto"/>
      </w:divBdr>
    </w:div>
    <w:div w:id="1782534107">
      <w:bodyDiv w:val="1"/>
      <w:marLeft w:val="0"/>
      <w:marRight w:val="0"/>
      <w:marTop w:val="0"/>
      <w:marBottom w:val="0"/>
      <w:divBdr>
        <w:top w:val="none" w:sz="0" w:space="0" w:color="auto"/>
        <w:left w:val="none" w:sz="0" w:space="0" w:color="auto"/>
        <w:bottom w:val="none" w:sz="0" w:space="0" w:color="auto"/>
        <w:right w:val="none" w:sz="0" w:space="0" w:color="auto"/>
      </w:divBdr>
    </w:div>
    <w:div w:id="1782799983">
      <w:bodyDiv w:val="1"/>
      <w:marLeft w:val="0"/>
      <w:marRight w:val="0"/>
      <w:marTop w:val="0"/>
      <w:marBottom w:val="0"/>
      <w:divBdr>
        <w:top w:val="none" w:sz="0" w:space="0" w:color="auto"/>
        <w:left w:val="none" w:sz="0" w:space="0" w:color="auto"/>
        <w:bottom w:val="none" w:sz="0" w:space="0" w:color="auto"/>
        <w:right w:val="none" w:sz="0" w:space="0" w:color="auto"/>
      </w:divBdr>
    </w:div>
    <w:div w:id="1785228790">
      <w:bodyDiv w:val="1"/>
      <w:marLeft w:val="0"/>
      <w:marRight w:val="0"/>
      <w:marTop w:val="0"/>
      <w:marBottom w:val="0"/>
      <w:divBdr>
        <w:top w:val="none" w:sz="0" w:space="0" w:color="auto"/>
        <w:left w:val="none" w:sz="0" w:space="0" w:color="auto"/>
        <w:bottom w:val="none" w:sz="0" w:space="0" w:color="auto"/>
        <w:right w:val="none" w:sz="0" w:space="0" w:color="auto"/>
      </w:divBdr>
    </w:div>
    <w:div w:id="1787650650">
      <w:bodyDiv w:val="1"/>
      <w:marLeft w:val="0"/>
      <w:marRight w:val="0"/>
      <w:marTop w:val="0"/>
      <w:marBottom w:val="0"/>
      <w:divBdr>
        <w:top w:val="none" w:sz="0" w:space="0" w:color="auto"/>
        <w:left w:val="none" w:sz="0" w:space="0" w:color="auto"/>
        <w:bottom w:val="none" w:sz="0" w:space="0" w:color="auto"/>
        <w:right w:val="none" w:sz="0" w:space="0" w:color="auto"/>
      </w:divBdr>
    </w:div>
    <w:div w:id="1788307374">
      <w:bodyDiv w:val="1"/>
      <w:marLeft w:val="0"/>
      <w:marRight w:val="0"/>
      <w:marTop w:val="0"/>
      <w:marBottom w:val="0"/>
      <w:divBdr>
        <w:top w:val="none" w:sz="0" w:space="0" w:color="auto"/>
        <w:left w:val="none" w:sz="0" w:space="0" w:color="auto"/>
        <w:bottom w:val="none" w:sz="0" w:space="0" w:color="auto"/>
        <w:right w:val="none" w:sz="0" w:space="0" w:color="auto"/>
      </w:divBdr>
    </w:div>
    <w:div w:id="1797796643">
      <w:bodyDiv w:val="1"/>
      <w:marLeft w:val="0"/>
      <w:marRight w:val="0"/>
      <w:marTop w:val="0"/>
      <w:marBottom w:val="0"/>
      <w:divBdr>
        <w:top w:val="none" w:sz="0" w:space="0" w:color="auto"/>
        <w:left w:val="none" w:sz="0" w:space="0" w:color="auto"/>
        <w:bottom w:val="none" w:sz="0" w:space="0" w:color="auto"/>
        <w:right w:val="none" w:sz="0" w:space="0" w:color="auto"/>
      </w:divBdr>
    </w:div>
    <w:div w:id="1801072342">
      <w:bodyDiv w:val="1"/>
      <w:marLeft w:val="0"/>
      <w:marRight w:val="0"/>
      <w:marTop w:val="0"/>
      <w:marBottom w:val="0"/>
      <w:divBdr>
        <w:top w:val="none" w:sz="0" w:space="0" w:color="auto"/>
        <w:left w:val="none" w:sz="0" w:space="0" w:color="auto"/>
        <w:bottom w:val="none" w:sz="0" w:space="0" w:color="auto"/>
        <w:right w:val="none" w:sz="0" w:space="0" w:color="auto"/>
      </w:divBdr>
    </w:div>
    <w:div w:id="1838837704">
      <w:bodyDiv w:val="1"/>
      <w:marLeft w:val="0"/>
      <w:marRight w:val="0"/>
      <w:marTop w:val="0"/>
      <w:marBottom w:val="0"/>
      <w:divBdr>
        <w:top w:val="none" w:sz="0" w:space="0" w:color="auto"/>
        <w:left w:val="none" w:sz="0" w:space="0" w:color="auto"/>
        <w:bottom w:val="none" w:sz="0" w:space="0" w:color="auto"/>
        <w:right w:val="none" w:sz="0" w:space="0" w:color="auto"/>
      </w:divBdr>
    </w:div>
    <w:div w:id="1863591753">
      <w:bodyDiv w:val="1"/>
      <w:marLeft w:val="0"/>
      <w:marRight w:val="0"/>
      <w:marTop w:val="0"/>
      <w:marBottom w:val="0"/>
      <w:divBdr>
        <w:top w:val="none" w:sz="0" w:space="0" w:color="auto"/>
        <w:left w:val="none" w:sz="0" w:space="0" w:color="auto"/>
        <w:bottom w:val="none" w:sz="0" w:space="0" w:color="auto"/>
        <w:right w:val="none" w:sz="0" w:space="0" w:color="auto"/>
      </w:divBdr>
    </w:div>
    <w:div w:id="1864516778">
      <w:bodyDiv w:val="1"/>
      <w:marLeft w:val="0"/>
      <w:marRight w:val="0"/>
      <w:marTop w:val="0"/>
      <w:marBottom w:val="0"/>
      <w:divBdr>
        <w:top w:val="none" w:sz="0" w:space="0" w:color="auto"/>
        <w:left w:val="none" w:sz="0" w:space="0" w:color="auto"/>
        <w:bottom w:val="none" w:sz="0" w:space="0" w:color="auto"/>
        <w:right w:val="none" w:sz="0" w:space="0" w:color="auto"/>
      </w:divBdr>
    </w:div>
    <w:div w:id="1872063251">
      <w:bodyDiv w:val="1"/>
      <w:marLeft w:val="0"/>
      <w:marRight w:val="0"/>
      <w:marTop w:val="0"/>
      <w:marBottom w:val="0"/>
      <w:divBdr>
        <w:top w:val="none" w:sz="0" w:space="0" w:color="auto"/>
        <w:left w:val="none" w:sz="0" w:space="0" w:color="auto"/>
        <w:bottom w:val="none" w:sz="0" w:space="0" w:color="auto"/>
        <w:right w:val="none" w:sz="0" w:space="0" w:color="auto"/>
      </w:divBdr>
    </w:div>
    <w:div w:id="1882327979">
      <w:bodyDiv w:val="1"/>
      <w:marLeft w:val="0"/>
      <w:marRight w:val="0"/>
      <w:marTop w:val="0"/>
      <w:marBottom w:val="0"/>
      <w:divBdr>
        <w:top w:val="none" w:sz="0" w:space="0" w:color="auto"/>
        <w:left w:val="none" w:sz="0" w:space="0" w:color="auto"/>
        <w:bottom w:val="none" w:sz="0" w:space="0" w:color="auto"/>
        <w:right w:val="none" w:sz="0" w:space="0" w:color="auto"/>
      </w:divBdr>
    </w:div>
    <w:div w:id="1915309203">
      <w:bodyDiv w:val="1"/>
      <w:marLeft w:val="0"/>
      <w:marRight w:val="0"/>
      <w:marTop w:val="0"/>
      <w:marBottom w:val="0"/>
      <w:divBdr>
        <w:top w:val="none" w:sz="0" w:space="0" w:color="auto"/>
        <w:left w:val="none" w:sz="0" w:space="0" w:color="auto"/>
        <w:bottom w:val="none" w:sz="0" w:space="0" w:color="auto"/>
        <w:right w:val="none" w:sz="0" w:space="0" w:color="auto"/>
      </w:divBdr>
    </w:div>
    <w:div w:id="1927962295">
      <w:bodyDiv w:val="1"/>
      <w:marLeft w:val="0"/>
      <w:marRight w:val="0"/>
      <w:marTop w:val="0"/>
      <w:marBottom w:val="0"/>
      <w:divBdr>
        <w:top w:val="none" w:sz="0" w:space="0" w:color="auto"/>
        <w:left w:val="none" w:sz="0" w:space="0" w:color="auto"/>
        <w:bottom w:val="none" w:sz="0" w:space="0" w:color="auto"/>
        <w:right w:val="none" w:sz="0" w:space="0" w:color="auto"/>
      </w:divBdr>
      <w:divsChild>
        <w:div w:id="317611148">
          <w:marLeft w:val="720"/>
          <w:marRight w:val="0"/>
          <w:marTop w:val="0"/>
          <w:marBottom w:val="240"/>
          <w:divBdr>
            <w:top w:val="none" w:sz="0" w:space="0" w:color="auto"/>
            <w:left w:val="none" w:sz="0" w:space="0" w:color="auto"/>
            <w:bottom w:val="none" w:sz="0" w:space="0" w:color="auto"/>
            <w:right w:val="none" w:sz="0" w:space="0" w:color="auto"/>
          </w:divBdr>
        </w:div>
        <w:div w:id="496920621">
          <w:marLeft w:val="720"/>
          <w:marRight w:val="0"/>
          <w:marTop w:val="0"/>
          <w:marBottom w:val="240"/>
          <w:divBdr>
            <w:top w:val="none" w:sz="0" w:space="0" w:color="auto"/>
            <w:left w:val="none" w:sz="0" w:space="0" w:color="auto"/>
            <w:bottom w:val="none" w:sz="0" w:space="0" w:color="auto"/>
            <w:right w:val="none" w:sz="0" w:space="0" w:color="auto"/>
          </w:divBdr>
        </w:div>
        <w:div w:id="1282569278">
          <w:marLeft w:val="720"/>
          <w:marRight w:val="0"/>
          <w:marTop w:val="0"/>
          <w:marBottom w:val="240"/>
          <w:divBdr>
            <w:top w:val="none" w:sz="0" w:space="0" w:color="auto"/>
            <w:left w:val="none" w:sz="0" w:space="0" w:color="auto"/>
            <w:bottom w:val="none" w:sz="0" w:space="0" w:color="auto"/>
            <w:right w:val="none" w:sz="0" w:space="0" w:color="auto"/>
          </w:divBdr>
        </w:div>
        <w:div w:id="1482698348">
          <w:marLeft w:val="720"/>
          <w:marRight w:val="0"/>
          <w:marTop w:val="0"/>
          <w:marBottom w:val="240"/>
          <w:divBdr>
            <w:top w:val="none" w:sz="0" w:space="0" w:color="auto"/>
            <w:left w:val="none" w:sz="0" w:space="0" w:color="auto"/>
            <w:bottom w:val="none" w:sz="0" w:space="0" w:color="auto"/>
            <w:right w:val="none" w:sz="0" w:space="0" w:color="auto"/>
          </w:divBdr>
        </w:div>
        <w:div w:id="1971209630">
          <w:marLeft w:val="720"/>
          <w:marRight w:val="0"/>
          <w:marTop w:val="0"/>
          <w:marBottom w:val="240"/>
          <w:divBdr>
            <w:top w:val="none" w:sz="0" w:space="0" w:color="auto"/>
            <w:left w:val="none" w:sz="0" w:space="0" w:color="auto"/>
            <w:bottom w:val="none" w:sz="0" w:space="0" w:color="auto"/>
            <w:right w:val="none" w:sz="0" w:space="0" w:color="auto"/>
          </w:divBdr>
        </w:div>
        <w:div w:id="2047679039">
          <w:marLeft w:val="720"/>
          <w:marRight w:val="0"/>
          <w:marTop w:val="0"/>
          <w:marBottom w:val="240"/>
          <w:divBdr>
            <w:top w:val="none" w:sz="0" w:space="0" w:color="auto"/>
            <w:left w:val="none" w:sz="0" w:space="0" w:color="auto"/>
            <w:bottom w:val="none" w:sz="0" w:space="0" w:color="auto"/>
            <w:right w:val="none" w:sz="0" w:space="0" w:color="auto"/>
          </w:divBdr>
        </w:div>
      </w:divsChild>
    </w:div>
    <w:div w:id="1929583561">
      <w:bodyDiv w:val="1"/>
      <w:marLeft w:val="0"/>
      <w:marRight w:val="0"/>
      <w:marTop w:val="0"/>
      <w:marBottom w:val="0"/>
      <w:divBdr>
        <w:top w:val="none" w:sz="0" w:space="0" w:color="auto"/>
        <w:left w:val="none" w:sz="0" w:space="0" w:color="auto"/>
        <w:bottom w:val="none" w:sz="0" w:space="0" w:color="auto"/>
        <w:right w:val="none" w:sz="0" w:space="0" w:color="auto"/>
      </w:divBdr>
    </w:div>
    <w:div w:id="1958440689">
      <w:bodyDiv w:val="1"/>
      <w:marLeft w:val="0"/>
      <w:marRight w:val="0"/>
      <w:marTop w:val="0"/>
      <w:marBottom w:val="0"/>
      <w:divBdr>
        <w:top w:val="none" w:sz="0" w:space="0" w:color="auto"/>
        <w:left w:val="none" w:sz="0" w:space="0" w:color="auto"/>
        <w:bottom w:val="none" w:sz="0" w:space="0" w:color="auto"/>
        <w:right w:val="none" w:sz="0" w:space="0" w:color="auto"/>
      </w:divBdr>
    </w:div>
    <w:div w:id="1960606082">
      <w:bodyDiv w:val="1"/>
      <w:marLeft w:val="0"/>
      <w:marRight w:val="0"/>
      <w:marTop w:val="0"/>
      <w:marBottom w:val="0"/>
      <w:divBdr>
        <w:top w:val="none" w:sz="0" w:space="0" w:color="auto"/>
        <w:left w:val="none" w:sz="0" w:space="0" w:color="auto"/>
        <w:bottom w:val="none" w:sz="0" w:space="0" w:color="auto"/>
        <w:right w:val="none" w:sz="0" w:space="0" w:color="auto"/>
      </w:divBdr>
    </w:div>
    <w:div w:id="1961952173">
      <w:bodyDiv w:val="1"/>
      <w:marLeft w:val="0"/>
      <w:marRight w:val="0"/>
      <w:marTop w:val="0"/>
      <w:marBottom w:val="0"/>
      <w:divBdr>
        <w:top w:val="none" w:sz="0" w:space="0" w:color="auto"/>
        <w:left w:val="none" w:sz="0" w:space="0" w:color="auto"/>
        <w:bottom w:val="none" w:sz="0" w:space="0" w:color="auto"/>
        <w:right w:val="none" w:sz="0" w:space="0" w:color="auto"/>
      </w:divBdr>
    </w:div>
    <w:div w:id="1962492579">
      <w:bodyDiv w:val="1"/>
      <w:marLeft w:val="0"/>
      <w:marRight w:val="0"/>
      <w:marTop w:val="0"/>
      <w:marBottom w:val="0"/>
      <w:divBdr>
        <w:top w:val="none" w:sz="0" w:space="0" w:color="auto"/>
        <w:left w:val="none" w:sz="0" w:space="0" w:color="auto"/>
        <w:bottom w:val="none" w:sz="0" w:space="0" w:color="auto"/>
        <w:right w:val="none" w:sz="0" w:space="0" w:color="auto"/>
      </w:divBdr>
    </w:div>
    <w:div w:id="1963920496">
      <w:bodyDiv w:val="1"/>
      <w:marLeft w:val="0"/>
      <w:marRight w:val="0"/>
      <w:marTop w:val="0"/>
      <w:marBottom w:val="0"/>
      <w:divBdr>
        <w:top w:val="none" w:sz="0" w:space="0" w:color="auto"/>
        <w:left w:val="none" w:sz="0" w:space="0" w:color="auto"/>
        <w:bottom w:val="none" w:sz="0" w:space="0" w:color="auto"/>
        <w:right w:val="none" w:sz="0" w:space="0" w:color="auto"/>
      </w:divBdr>
    </w:div>
    <w:div w:id="1965426643">
      <w:bodyDiv w:val="1"/>
      <w:marLeft w:val="0"/>
      <w:marRight w:val="0"/>
      <w:marTop w:val="0"/>
      <w:marBottom w:val="0"/>
      <w:divBdr>
        <w:top w:val="none" w:sz="0" w:space="0" w:color="auto"/>
        <w:left w:val="none" w:sz="0" w:space="0" w:color="auto"/>
        <w:bottom w:val="none" w:sz="0" w:space="0" w:color="auto"/>
        <w:right w:val="none" w:sz="0" w:space="0" w:color="auto"/>
      </w:divBdr>
    </w:div>
    <w:div w:id="1995797402">
      <w:bodyDiv w:val="1"/>
      <w:marLeft w:val="0"/>
      <w:marRight w:val="0"/>
      <w:marTop w:val="0"/>
      <w:marBottom w:val="0"/>
      <w:divBdr>
        <w:top w:val="none" w:sz="0" w:space="0" w:color="auto"/>
        <w:left w:val="none" w:sz="0" w:space="0" w:color="auto"/>
        <w:bottom w:val="none" w:sz="0" w:space="0" w:color="auto"/>
        <w:right w:val="none" w:sz="0" w:space="0" w:color="auto"/>
      </w:divBdr>
    </w:div>
    <w:div w:id="2003511067">
      <w:bodyDiv w:val="1"/>
      <w:marLeft w:val="0"/>
      <w:marRight w:val="0"/>
      <w:marTop w:val="0"/>
      <w:marBottom w:val="0"/>
      <w:divBdr>
        <w:top w:val="none" w:sz="0" w:space="0" w:color="auto"/>
        <w:left w:val="none" w:sz="0" w:space="0" w:color="auto"/>
        <w:bottom w:val="none" w:sz="0" w:space="0" w:color="auto"/>
        <w:right w:val="none" w:sz="0" w:space="0" w:color="auto"/>
      </w:divBdr>
    </w:div>
    <w:div w:id="2015768282">
      <w:bodyDiv w:val="1"/>
      <w:marLeft w:val="0"/>
      <w:marRight w:val="0"/>
      <w:marTop w:val="0"/>
      <w:marBottom w:val="0"/>
      <w:divBdr>
        <w:top w:val="none" w:sz="0" w:space="0" w:color="auto"/>
        <w:left w:val="none" w:sz="0" w:space="0" w:color="auto"/>
        <w:bottom w:val="none" w:sz="0" w:space="0" w:color="auto"/>
        <w:right w:val="none" w:sz="0" w:space="0" w:color="auto"/>
      </w:divBdr>
    </w:div>
    <w:div w:id="2040231068">
      <w:bodyDiv w:val="1"/>
      <w:marLeft w:val="0"/>
      <w:marRight w:val="0"/>
      <w:marTop w:val="0"/>
      <w:marBottom w:val="0"/>
      <w:divBdr>
        <w:top w:val="none" w:sz="0" w:space="0" w:color="auto"/>
        <w:left w:val="none" w:sz="0" w:space="0" w:color="auto"/>
        <w:bottom w:val="none" w:sz="0" w:space="0" w:color="auto"/>
        <w:right w:val="none" w:sz="0" w:space="0" w:color="auto"/>
      </w:divBdr>
    </w:div>
    <w:div w:id="2049916899">
      <w:bodyDiv w:val="1"/>
      <w:marLeft w:val="0"/>
      <w:marRight w:val="0"/>
      <w:marTop w:val="0"/>
      <w:marBottom w:val="0"/>
      <w:divBdr>
        <w:top w:val="none" w:sz="0" w:space="0" w:color="auto"/>
        <w:left w:val="none" w:sz="0" w:space="0" w:color="auto"/>
        <w:bottom w:val="none" w:sz="0" w:space="0" w:color="auto"/>
        <w:right w:val="none" w:sz="0" w:space="0" w:color="auto"/>
      </w:divBdr>
    </w:div>
    <w:div w:id="2061898780">
      <w:bodyDiv w:val="1"/>
      <w:marLeft w:val="0"/>
      <w:marRight w:val="0"/>
      <w:marTop w:val="0"/>
      <w:marBottom w:val="0"/>
      <w:divBdr>
        <w:top w:val="none" w:sz="0" w:space="0" w:color="auto"/>
        <w:left w:val="none" w:sz="0" w:space="0" w:color="auto"/>
        <w:bottom w:val="none" w:sz="0" w:space="0" w:color="auto"/>
        <w:right w:val="none" w:sz="0" w:space="0" w:color="auto"/>
      </w:divBdr>
    </w:div>
    <w:div w:id="2066299017">
      <w:bodyDiv w:val="1"/>
      <w:marLeft w:val="0"/>
      <w:marRight w:val="0"/>
      <w:marTop w:val="0"/>
      <w:marBottom w:val="0"/>
      <w:divBdr>
        <w:top w:val="none" w:sz="0" w:space="0" w:color="auto"/>
        <w:left w:val="none" w:sz="0" w:space="0" w:color="auto"/>
        <w:bottom w:val="none" w:sz="0" w:space="0" w:color="auto"/>
        <w:right w:val="none" w:sz="0" w:space="0" w:color="auto"/>
      </w:divBdr>
    </w:div>
    <w:div w:id="2095591543">
      <w:bodyDiv w:val="1"/>
      <w:marLeft w:val="0"/>
      <w:marRight w:val="0"/>
      <w:marTop w:val="0"/>
      <w:marBottom w:val="0"/>
      <w:divBdr>
        <w:top w:val="none" w:sz="0" w:space="0" w:color="auto"/>
        <w:left w:val="none" w:sz="0" w:space="0" w:color="auto"/>
        <w:bottom w:val="none" w:sz="0" w:space="0" w:color="auto"/>
        <w:right w:val="none" w:sz="0" w:space="0" w:color="auto"/>
      </w:divBdr>
    </w:div>
    <w:div w:id="2098095956">
      <w:bodyDiv w:val="1"/>
      <w:marLeft w:val="0"/>
      <w:marRight w:val="0"/>
      <w:marTop w:val="0"/>
      <w:marBottom w:val="0"/>
      <w:divBdr>
        <w:top w:val="none" w:sz="0" w:space="0" w:color="auto"/>
        <w:left w:val="none" w:sz="0" w:space="0" w:color="auto"/>
        <w:bottom w:val="none" w:sz="0" w:space="0" w:color="auto"/>
        <w:right w:val="none" w:sz="0" w:space="0" w:color="auto"/>
      </w:divBdr>
    </w:div>
    <w:div w:id="2102753310">
      <w:bodyDiv w:val="1"/>
      <w:marLeft w:val="0"/>
      <w:marRight w:val="0"/>
      <w:marTop w:val="0"/>
      <w:marBottom w:val="0"/>
      <w:divBdr>
        <w:top w:val="none" w:sz="0" w:space="0" w:color="auto"/>
        <w:left w:val="none" w:sz="0" w:space="0" w:color="auto"/>
        <w:bottom w:val="none" w:sz="0" w:space="0" w:color="auto"/>
        <w:right w:val="none" w:sz="0" w:space="0" w:color="auto"/>
      </w:divBdr>
    </w:div>
    <w:div w:id="2110201562">
      <w:bodyDiv w:val="1"/>
      <w:marLeft w:val="0"/>
      <w:marRight w:val="0"/>
      <w:marTop w:val="0"/>
      <w:marBottom w:val="0"/>
      <w:divBdr>
        <w:top w:val="none" w:sz="0" w:space="0" w:color="auto"/>
        <w:left w:val="none" w:sz="0" w:space="0" w:color="auto"/>
        <w:bottom w:val="none" w:sz="0" w:space="0" w:color="auto"/>
        <w:right w:val="none" w:sz="0" w:space="0" w:color="auto"/>
      </w:divBdr>
    </w:div>
    <w:div w:id="2118863134">
      <w:bodyDiv w:val="1"/>
      <w:marLeft w:val="0"/>
      <w:marRight w:val="0"/>
      <w:marTop w:val="0"/>
      <w:marBottom w:val="0"/>
      <w:divBdr>
        <w:top w:val="none" w:sz="0" w:space="0" w:color="auto"/>
        <w:left w:val="none" w:sz="0" w:space="0" w:color="auto"/>
        <w:bottom w:val="none" w:sz="0" w:space="0" w:color="auto"/>
        <w:right w:val="none" w:sz="0" w:space="0" w:color="auto"/>
      </w:divBdr>
    </w:div>
    <w:div w:id="2122648818">
      <w:bodyDiv w:val="1"/>
      <w:marLeft w:val="0"/>
      <w:marRight w:val="0"/>
      <w:marTop w:val="0"/>
      <w:marBottom w:val="0"/>
      <w:divBdr>
        <w:top w:val="none" w:sz="0" w:space="0" w:color="auto"/>
        <w:left w:val="none" w:sz="0" w:space="0" w:color="auto"/>
        <w:bottom w:val="none" w:sz="0" w:space="0" w:color="auto"/>
        <w:right w:val="none" w:sz="0" w:space="0" w:color="auto"/>
      </w:divBdr>
    </w:div>
    <w:div w:id="2130665529">
      <w:bodyDiv w:val="1"/>
      <w:marLeft w:val="0"/>
      <w:marRight w:val="0"/>
      <w:marTop w:val="0"/>
      <w:marBottom w:val="0"/>
      <w:divBdr>
        <w:top w:val="none" w:sz="0" w:space="0" w:color="auto"/>
        <w:left w:val="none" w:sz="0" w:space="0" w:color="auto"/>
        <w:bottom w:val="none" w:sz="0" w:space="0" w:color="auto"/>
        <w:right w:val="none" w:sz="0" w:space="0" w:color="auto"/>
      </w:divBdr>
    </w:div>
    <w:div w:id="2133136776">
      <w:bodyDiv w:val="1"/>
      <w:marLeft w:val="0"/>
      <w:marRight w:val="0"/>
      <w:marTop w:val="0"/>
      <w:marBottom w:val="0"/>
      <w:divBdr>
        <w:top w:val="none" w:sz="0" w:space="0" w:color="auto"/>
        <w:left w:val="none" w:sz="0" w:space="0" w:color="auto"/>
        <w:bottom w:val="none" w:sz="0" w:space="0" w:color="auto"/>
        <w:right w:val="none" w:sz="0" w:space="0" w:color="auto"/>
      </w:divBdr>
    </w:div>
    <w:div w:id="214730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flutter.com/investors" TargetMode="External"/><Relationship Id="rId17" Type="http://schemas.openxmlformats.org/officeDocument/2006/relationships/footer" Target="foot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Received xmlns="http://schemas.microsoft.com/sharepoint/v3/fields">2020-02-27T10:09:38+00:00</DateReceived>
    <JobId xmlns="http://schemas.microsoft.com/sharepoint/v3/fields" xsi:nil="true"/>
    <SendToFR xmlns="http://schemas.microsoft.com/sharepoint/v3/fields">false</SendToFR>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45335-858B-45EC-873D-6CA5A187CCAE}"/>
</file>

<file path=customXml/itemProps2.xml><?xml version="1.0" encoding="utf-8"?>
<ds:datastoreItem xmlns:ds="http://schemas.openxmlformats.org/officeDocument/2006/customXml" ds:itemID="{09FE8936-B6F5-4CE1-9DBC-045C665EE324}"/>
</file>

<file path=customXml/itemProps3.xml><?xml version="1.0" encoding="utf-8"?>
<ds:datastoreItem xmlns:ds="http://schemas.openxmlformats.org/officeDocument/2006/customXml" ds:itemID="{362FBEFE-572E-4440-9CEB-BBD3E40615AB}"/>
</file>

<file path=customXml/itemProps4.xml><?xml version="1.0" encoding="utf-8"?>
<ds:datastoreItem xmlns:ds="http://schemas.openxmlformats.org/officeDocument/2006/customXml" ds:itemID="{311CD1D7-7670-4CA7-9ADB-17437CB8F2FC}"/>
</file>

<file path=docProps/app.xml><?xml version="1.0" encoding="utf-8"?>
<Properties xmlns="http://schemas.openxmlformats.org/officeDocument/2006/extended-properties" xmlns:vt="http://schemas.openxmlformats.org/officeDocument/2006/docPropsVTypes">
  <Template>Normal</Template>
  <TotalTime>1</TotalTime>
  <Pages>54</Pages>
  <Words>22238</Words>
  <Characters>120184</Characters>
  <Application>Microsoft Office Word</Application>
  <DocSecurity>0</DocSecurity>
  <Lines>1001</Lines>
  <Paragraphs>284</Paragraphs>
  <ScaleCrop>false</ScaleCrop>
  <HeadingPairs>
    <vt:vector size="2" baseType="variant">
      <vt:variant>
        <vt:lpstr>Title</vt:lpstr>
      </vt:variant>
      <vt:variant>
        <vt:i4>1</vt:i4>
      </vt:variant>
    </vt:vector>
  </HeadingPairs>
  <TitlesOfParts>
    <vt:vector size="1" baseType="lpstr">
      <vt:lpstr>DIRECTORS AND OTHER INFORMATION</vt:lpstr>
    </vt:vector>
  </TitlesOfParts>
  <Company>Paddy Power PLC</Company>
  <LinksUpToDate>false</LinksUpToDate>
  <CharactersWithSpaces>142138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AND OTHER INFORMATION</dc:title>
  <dc:subject/>
  <dc:creator>N HUNT</dc:creator>
  <cp:keywords/>
  <dc:description/>
  <cp:lastModifiedBy>Jonathan Seeley</cp:lastModifiedBy>
  <cp:revision>2</cp:revision>
  <cp:lastPrinted>2020-02-26T13:44:00Z</cp:lastPrinted>
  <dcterms:created xsi:type="dcterms:W3CDTF">2020-02-27T09:53:00Z</dcterms:created>
  <dcterms:modified xsi:type="dcterms:W3CDTF">2020-02-27T09:53:00Z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MarketServicesEquity">
    <vt:lpwstr>Miscellaneous</vt:lpwstr>
  </property>
  <property fmtid="{D5CDD505-2E9C-101B-9397-08002B2CF9AE}" pid="5" name="IssuerID">
    <vt:lpwstr/>
  </property>
  <property fmtid="{D5CDD505-2E9C-101B-9397-08002B2CF9AE}" pid="6" name="JobContentType">
    <vt:lpwstr/>
  </property>
  <property fmtid="{D5CDD505-2E9C-101B-9397-08002B2CF9AE}" pid="7" name="Organisation">
    <vt:lpwstr/>
  </property>
  <property fmtid="{D5CDD505-2E9C-101B-9397-08002B2CF9AE}" pid="8" name="MediaServiceImageTags">
    <vt:lpwstr/>
  </property>
  <property fmtid="{D5CDD505-2E9C-101B-9397-08002B2CF9AE}" pid="9" name="JobType">
    <vt:lpwstr/>
  </property>
  <property fmtid="{D5CDD505-2E9C-101B-9397-08002B2CF9AE}" pid="10" name="Contact">
    <vt:lpwstr/>
  </property>
  <property fmtid="{D5CDD505-2E9C-101B-9397-08002B2CF9AE}" pid="12" name="IssuerName">
    <vt:lpwstr/>
  </property>
</Properties>
</file>